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D7281" w14:textId="4FDC490B" w:rsidR="00310F7F" w:rsidRDefault="00551FBB" w:rsidP="00F52885">
      <w:pPr>
        <w:pStyle w:val="H1"/>
      </w:pPr>
      <w:bookmarkStart w:id="0" w:name="_GoBack"/>
      <w:bookmarkEnd w:id="0"/>
      <w:r>
        <w:t>Roadmap for</w:t>
      </w:r>
      <w:r w:rsidR="009D28B0">
        <w:t xml:space="preserve"> </w:t>
      </w:r>
      <w:r w:rsidR="00D81822" w:rsidRPr="00C638A0">
        <w:t>cash-sensitive</w:t>
      </w:r>
      <w:r w:rsidR="00D81822">
        <w:t xml:space="preserve"> </w:t>
      </w:r>
      <w:r w:rsidR="009D28B0">
        <w:t xml:space="preserve">community </w:t>
      </w:r>
      <w:r>
        <w:t>assessment</w:t>
      </w:r>
    </w:p>
    <w:p w14:paraId="5A26D9A8" w14:textId="281FF487" w:rsidR="002B4DCC" w:rsidRPr="002B4DCC" w:rsidRDefault="00B365B4" w:rsidP="002B4DCC">
      <w:pPr>
        <w:pStyle w:val="H1"/>
        <w:ind w:left="-170"/>
        <w:rPr>
          <w:sz w:val="20"/>
          <w:szCs w:val="20"/>
        </w:rPr>
      </w:pPr>
      <w:r>
        <w:pict w14:anchorId="61B1A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249.75pt">
            <v:imagedata r:id="rId7" o:title="02-Assessment-rodmap-EN2"/>
          </v:shape>
        </w:pict>
      </w:r>
    </w:p>
    <w:p w14:paraId="62AADDA6" w14:textId="77777777" w:rsidR="00E66A9A" w:rsidRPr="007E00C6" w:rsidRDefault="00E66A9A" w:rsidP="00F52885">
      <w:pPr>
        <w:pStyle w:val="Heading2"/>
      </w:pPr>
      <w:r w:rsidRPr="00F52885">
        <w:t>INTRODUCTION</w:t>
      </w:r>
    </w:p>
    <w:p w14:paraId="52B89936" w14:textId="2A279272" w:rsidR="00231111" w:rsidRPr="00F52885" w:rsidRDefault="00231111" w:rsidP="00F52885">
      <w:r w:rsidRPr="00F52885">
        <w:t>In order to consider cash among the potential response modalities and mechanisms, you must ensure that your assessment is cash-sensitive at</w:t>
      </w:r>
      <w:r w:rsidR="000F4269" w:rsidRPr="00F52885">
        <w:t xml:space="preserve"> every</w:t>
      </w:r>
      <w:r w:rsidRPr="00F52885">
        <w:t xml:space="preserve"> step. </w:t>
      </w:r>
      <w:r w:rsidR="00A22FB8" w:rsidRPr="00F52885">
        <w:t>This road</w:t>
      </w:r>
      <w:r w:rsidR="000F4269" w:rsidRPr="00F52885">
        <w:t xml:space="preserve"> </w:t>
      </w:r>
      <w:r w:rsidR="00A22FB8" w:rsidRPr="00F52885">
        <w:t xml:space="preserve">map will </w:t>
      </w:r>
      <w:r w:rsidR="003712F5" w:rsidRPr="00F52885">
        <w:t xml:space="preserve">help you </w:t>
      </w:r>
      <w:r w:rsidR="000F4269" w:rsidRPr="00F52885">
        <w:t xml:space="preserve">to gather </w:t>
      </w:r>
      <w:r w:rsidR="003B4D61" w:rsidRPr="00F52885">
        <w:t xml:space="preserve">cash-specific information </w:t>
      </w:r>
      <w:r w:rsidRPr="00F52885">
        <w:t>during the community</w:t>
      </w:r>
      <w:r w:rsidR="000B6209" w:rsidRPr="00F52885">
        <w:t xml:space="preserve"> level</w:t>
      </w:r>
      <w:r w:rsidRPr="00F52885">
        <w:t xml:space="preserve"> assessment. </w:t>
      </w:r>
    </w:p>
    <w:p w14:paraId="638FDB40" w14:textId="0057C715" w:rsidR="002514B1" w:rsidRPr="00F52885" w:rsidRDefault="003836BB" w:rsidP="00F52885">
      <w:r w:rsidRPr="00F52885">
        <w:t xml:space="preserve">For the purposes of the CiE Toolkit, community assessment has been divided into four non-sequential sub-steps. For each sub-step, you will find a set of tools that will allow you to gather cash-specific information from shock-affected communities and households. </w:t>
      </w:r>
      <w:r w:rsidR="00231111" w:rsidRPr="00F52885">
        <w:t>The sub-steps and tools made available have been developed based on the assumption that most</w:t>
      </w:r>
      <w:r w:rsidR="003B4D61" w:rsidRPr="00F52885">
        <w:t xml:space="preserve"> assessment </w:t>
      </w:r>
      <w:r w:rsidR="00231111" w:rsidRPr="00F52885">
        <w:t xml:space="preserve">approaches and </w:t>
      </w:r>
      <w:r w:rsidR="003B4D61" w:rsidRPr="00F52885">
        <w:t>tools do not allow for obtaining cash-specific information</w:t>
      </w:r>
      <w:r w:rsidR="00231111" w:rsidRPr="00F52885">
        <w:t xml:space="preserve">. They </w:t>
      </w:r>
      <w:r w:rsidRPr="00F52885">
        <w:t xml:space="preserve">recommend a set of </w:t>
      </w:r>
      <w:r w:rsidR="00231111" w:rsidRPr="00F52885">
        <w:t xml:space="preserve">cash-specific </w:t>
      </w:r>
      <w:r w:rsidR="003B4D61" w:rsidRPr="00F52885">
        <w:t xml:space="preserve">topics and questions that </w:t>
      </w:r>
      <w:r w:rsidR="00F54024" w:rsidRPr="00F52885">
        <w:t>should b</w:t>
      </w:r>
      <w:r w:rsidR="00231111" w:rsidRPr="00F52885">
        <w:t xml:space="preserve">e </w:t>
      </w:r>
      <w:r w:rsidR="002514B1" w:rsidRPr="00F52885">
        <w:t>part of</w:t>
      </w:r>
      <w:r w:rsidR="00231111" w:rsidRPr="00F52885">
        <w:t xml:space="preserve"> your</w:t>
      </w:r>
      <w:r w:rsidR="00F54024" w:rsidRPr="00F52885">
        <w:t xml:space="preserve"> </w:t>
      </w:r>
      <w:r w:rsidR="00231111" w:rsidRPr="00F52885">
        <w:t xml:space="preserve">emergency </w:t>
      </w:r>
      <w:r w:rsidR="00F54024" w:rsidRPr="00F52885">
        <w:t>assessment</w:t>
      </w:r>
      <w:r w:rsidRPr="00F52885">
        <w:t xml:space="preserve"> at community and household levels</w:t>
      </w:r>
      <w:r w:rsidR="00231111" w:rsidRPr="00F52885">
        <w:t xml:space="preserve">. </w:t>
      </w:r>
      <w:r w:rsidR="002514B1" w:rsidRPr="00F52885">
        <w:t xml:space="preserve">Depending on the time available and the depth of the analysis, </w:t>
      </w:r>
      <w:r w:rsidR="00E22574" w:rsidRPr="00F52885">
        <w:t xml:space="preserve">you may </w:t>
      </w:r>
      <w:r w:rsidR="002514B1" w:rsidRPr="00F52885">
        <w:t>choose</w:t>
      </w:r>
      <w:r w:rsidR="00E22574" w:rsidRPr="00F52885">
        <w:t xml:space="preserve"> to use one or </w:t>
      </w:r>
      <w:r w:rsidR="00F54024" w:rsidRPr="00F52885">
        <w:t xml:space="preserve">more </w:t>
      </w:r>
      <w:r w:rsidR="00E22574" w:rsidRPr="00F52885">
        <w:t xml:space="preserve">of the </w:t>
      </w:r>
      <w:r w:rsidR="003B4D61" w:rsidRPr="00F52885">
        <w:t xml:space="preserve">suggested </w:t>
      </w:r>
      <w:r w:rsidR="00E22574" w:rsidRPr="00F52885">
        <w:t>tools</w:t>
      </w:r>
      <w:r w:rsidRPr="00F52885">
        <w:t>.</w:t>
      </w:r>
    </w:p>
    <w:p w14:paraId="5B03ED02" w14:textId="1208DFE2" w:rsidR="007804AA" w:rsidRPr="00F52885" w:rsidRDefault="007804AA" w:rsidP="00F52885">
      <w:r w:rsidRPr="00F52885">
        <w:t>The first sub-step can help you gather information on community and household access to, use of and preferences</w:t>
      </w:r>
      <w:r w:rsidR="000F4269" w:rsidRPr="00F52885">
        <w:t xml:space="preserve"> regarding</w:t>
      </w:r>
      <w:r w:rsidRPr="00F52885">
        <w:t xml:space="preserve"> cash. The second sub-step can help you gather </w:t>
      </w:r>
      <w:r w:rsidR="003836BB" w:rsidRPr="00F52885">
        <w:t xml:space="preserve">more in-depth </w:t>
      </w:r>
      <w:r w:rsidRPr="00F52885">
        <w:t xml:space="preserve">information on community access to key markets and commodities, as well as to financial services. The third sub-step can help you identify and quantify </w:t>
      </w:r>
      <w:r w:rsidR="003836BB" w:rsidRPr="00F52885">
        <w:t xml:space="preserve">the </w:t>
      </w:r>
      <w:r w:rsidRPr="00F52885">
        <w:t>priority needs of the shock-affected population. The fourth and last sub-step can help you organize the cash-specific information collected at community and household level</w:t>
      </w:r>
      <w:r w:rsidR="003C42DE" w:rsidRPr="00F52885">
        <w:t>s</w:t>
      </w:r>
      <w:r w:rsidRPr="00F52885">
        <w:t xml:space="preserve"> so </w:t>
      </w:r>
      <w:r w:rsidR="000F4269" w:rsidRPr="00F52885">
        <w:t xml:space="preserve">you can </w:t>
      </w:r>
      <w:r w:rsidRPr="00F52885">
        <w:t>facilitate its integration in</w:t>
      </w:r>
      <w:r w:rsidR="003C42DE" w:rsidRPr="00F52885">
        <w:t>to</w:t>
      </w:r>
      <w:r w:rsidRPr="00F52885">
        <w:t xml:space="preserve"> the general assessment report.</w:t>
      </w:r>
    </w:p>
    <w:p w14:paraId="1EF93900" w14:textId="05D909C0" w:rsidR="0043228C" w:rsidRPr="00F52885" w:rsidRDefault="003C42DE" w:rsidP="00F52885">
      <w:r w:rsidRPr="00F52885">
        <w:t>In the</w:t>
      </w:r>
      <w:r w:rsidR="00E66A9A" w:rsidRPr="00F52885">
        <w:t xml:space="preserve"> </w:t>
      </w:r>
      <w:r w:rsidR="00FD7CCB" w:rsidRPr="00F52885">
        <w:t xml:space="preserve">reference documents </w:t>
      </w:r>
      <w:r w:rsidRPr="00F52885">
        <w:t xml:space="preserve">you will find </w:t>
      </w:r>
      <w:r w:rsidR="00FD7CCB" w:rsidRPr="00F52885">
        <w:t>more resources that might be helpful when trying to make your community assessment cash-sensitive.</w:t>
      </w:r>
    </w:p>
    <w:p w14:paraId="4F7A5FFD" w14:textId="77777777" w:rsidR="00E66A9A" w:rsidRPr="007E00C6" w:rsidRDefault="00E66A9A" w:rsidP="00F52885">
      <w:pPr>
        <w:pStyle w:val="Heading2"/>
      </w:pPr>
      <w:r w:rsidRPr="007E00C6">
        <w:lastRenderedPageBreak/>
        <w:t>MINIMUM STANDARDS</w:t>
      </w:r>
    </w:p>
    <w:p w14:paraId="20CB25FB" w14:textId="78D59916" w:rsidR="008512BB" w:rsidRDefault="006B2B80" w:rsidP="00F52885">
      <w:pPr>
        <w:pStyle w:val="Bullet1"/>
      </w:pPr>
      <w:r>
        <w:t xml:space="preserve">Information </w:t>
      </w:r>
      <w:r w:rsidR="008512BB">
        <w:t>on</w:t>
      </w:r>
      <w:r>
        <w:t xml:space="preserve"> community and household access</w:t>
      </w:r>
      <w:r w:rsidR="008512BB">
        <w:t xml:space="preserve"> to and use of cash, as well as on </w:t>
      </w:r>
      <w:r>
        <w:t>preferences</w:t>
      </w:r>
      <w:r w:rsidR="000F4269">
        <w:t xml:space="preserve"> regarding</w:t>
      </w:r>
      <w:r>
        <w:t xml:space="preserve"> the </w:t>
      </w:r>
      <w:r w:rsidR="000F4269">
        <w:t xml:space="preserve">different </w:t>
      </w:r>
      <w:r>
        <w:t>type</w:t>
      </w:r>
      <w:r w:rsidR="000F4269">
        <w:t>s</w:t>
      </w:r>
      <w:r>
        <w:t xml:space="preserve"> of assistance</w:t>
      </w:r>
      <w:r w:rsidR="008512BB">
        <w:t>,</w:t>
      </w:r>
      <w:r>
        <w:t xml:space="preserve"> must be gathered during the assessment.</w:t>
      </w:r>
    </w:p>
    <w:p w14:paraId="1C128875" w14:textId="12A47A55" w:rsidR="004D2021" w:rsidRPr="006D21F9" w:rsidRDefault="004D2021" w:rsidP="006D21F9">
      <w:pPr>
        <w:pStyle w:val="Bullet1"/>
        <w:ind w:left="714" w:hanging="357"/>
        <w:rPr>
          <w:color w:val="000000" w:themeColor="text1"/>
        </w:rPr>
      </w:pPr>
      <w:r>
        <w:t>Community assessments should look within and beyond the household unit</w:t>
      </w:r>
      <w:r w:rsidR="006D21F9">
        <w:t xml:space="preserve"> and consider different</w:t>
      </w:r>
      <w:r>
        <w:t xml:space="preserve"> age, gender and diversity </w:t>
      </w:r>
      <w:r w:rsidR="006D21F9">
        <w:t>groups</w:t>
      </w:r>
      <w:r>
        <w:t>.</w:t>
      </w:r>
    </w:p>
    <w:p w14:paraId="021E00A2" w14:textId="280EECF3" w:rsidR="006B2B80" w:rsidRPr="008512BB" w:rsidRDefault="008512BB" w:rsidP="00F52885">
      <w:pPr>
        <w:pStyle w:val="Bullet1"/>
      </w:pPr>
      <w:r w:rsidRPr="008512BB">
        <w:t xml:space="preserve">Information on the access to and use of markets and financial services </w:t>
      </w:r>
      <w:r>
        <w:t>must</w:t>
      </w:r>
      <w:r w:rsidRPr="008512BB">
        <w:t xml:space="preserve"> be gathered at community and household level</w:t>
      </w:r>
      <w:r>
        <w:t>s</w:t>
      </w:r>
      <w:r w:rsidRPr="008512BB">
        <w:t xml:space="preserve"> in the first place.</w:t>
      </w:r>
    </w:p>
    <w:p w14:paraId="75A38E53" w14:textId="112A3AD9" w:rsidR="00526A30" w:rsidRPr="009C1364" w:rsidRDefault="00526A30" w:rsidP="00F52885">
      <w:pPr>
        <w:pStyle w:val="Bullet1"/>
      </w:pPr>
      <w:r>
        <w:rPr>
          <w:rFonts w:cs="Times"/>
        </w:rPr>
        <w:t xml:space="preserve">The priority needs of the shock-affected </w:t>
      </w:r>
      <w:r w:rsidR="000A19D1">
        <w:rPr>
          <w:rFonts w:cs="Times"/>
        </w:rPr>
        <w:t xml:space="preserve">population </w:t>
      </w:r>
      <w:r>
        <w:rPr>
          <w:rFonts w:cs="Times"/>
        </w:rPr>
        <w:t>should be</w:t>
      </w:r>
      <w:r w:rsidR="00D6680B">
        <w:rPr>
          <w:rFonts w:cs="Times"/>
        </w:rPr>
        <w:t xml:space="preserve"> defined and</w:t>
      </w:r>
      <w:r>
        <w:rPr>
          <w:rFonts w:cs="Times"/>
        </w:rPr>
        <w:t xml:space="preserve"> quantified in monetary terms</w:t>
      </w:r>
      <w:r w:rsidR="008512BB">
        <w:rPr>
          <w:rFonts w:cs="Times"/>
        </w:rPr>
        <w:t>,</w:t>
      </w:r>
      <w:r>
        <w:rPr>
          <w:rFonts w:cs="Times"/>
        </w:rPr>
        <w:t xml:space="preserve"> using local prices.</w:t>
      </w:r>
    </w:p>
    <w:p w14:paraId="6C046A01" w14:textId="594C627D" w:rsidR="00A22FB8" w:rsidRDefault="009C1364" w:rsidP="00F52885">
      <w:pPr>
        <w:pStyle w:val="Bullet1"/>
      </w:pPr>
      <w:r>
        <w:t>Cash-specific information gathered at community and household levels should be integrated into the standard assessment report.</w:t>
      </w:r>
    </w:p>
    <w:p w14:paraId="17555BE7" w14:textId="77777777" w:rsidR="00A22FB8" w:rsidRPr="007E00C6" w:rsidRDefault="00A22FB8" w:rsidP="00F52885">
      <w:pPr>
        <w:pStyle w:val="Heading2"/>
      </w:pPr>
      <w:r w:rsidRPr="007E00C6">
        <w:t>SUB-STEPS AND TOOLS</w:t>
      </w:r>
    </w:p>
    <w:p w14:paraId="4B2E4DF1" w14:textId="77777777" w:rsidR="003B4D61" w:rsidRDefault="003B4D61" w:rsidP="00F52885">
      <w:pPr>
        <w:pStyle w:val="Heading3"/>
      </w:pPr>
      <w:r>
        <w:t>Get cash-specific information from community</w:t>
      </w:r>
    </w:p>
    <w:p w14:paraId="519B5F45" w14:textId="07E1C5AD" w:rsidR="00222CD2" w:rsidRDefault="003C42DE" w:rsidP="00F52885">
      <w:r w:rsidRPr="0082647D">
        <w:t>An emergency assessment should allow you to understand t</w:t>
      </w:r>
      <w:r w:rsidR="0043228C" w:rsidRPr="0082647D">
        <w:t xml:space="preserve">he impact of </w:t>
      </w:r>
      <w:r w:rsidRPr="0082647D">
        <w:t>the</w:t>
      </w:r>
      <w:r w:rsidR="0043228C" w:rsidRPr="0082647D">
        <w:t xml:space="preserve"> shock on </w:t>
      </w:r>
      <w:r w:rsidRPr="0082647D">
        <w:t xml:space="preserve">the affected </w:t>
      </w:r>
      <w:r w:rsidR="00222CD2" w:rsidRPr="0082647D">
        <w:t>population</w:t>
      </w:r>
      <w:r w:rsidRPr="0082647D">
        <w:t>,</w:t>
      </w:r>
      <w:r w:rsidR="0043228C" w:rsidRPr="0082647D">
        <w:t xml:space="preserve"> </w:t>
      </w:r>
      <w:r w:rsidRPr="0082647D">
        <w:t xml:space="preserve">particularly on </w:t>
      </w:r>
      <w:r w:rsidR="0043228C" w:rsidRPr="0082647D">
        <w:t xml:space="preserve">their ability to </w:t>
      </w:r>
      <w:r w:rsidRPr="0082647D">
        <w:t xml:space="preserve">satisfy </w:t>
      </w:r>
      <w:r w:rsidR="0043228C" w:rsidRPr="0082647D">
        <w:t>their basic needs</w:t>
      </w:r>
      <w:r w:rsidRPr="0082647D">
        <w:t>,</w:t>
      </w:r>
      <w:r w:rsidR="0043228C" w:rsidRPr="0082647D">
        <w:t xml:space="preserve"> </w:t>
      </w:r>
      <w:r w:rsidR="000F4269">
        <w:t xml:space="preserve">and </w:t>
      </w:r>
      <w:r w:rsidR="0043228C" w:rsidRPr="0082647D">
        <w:t>access markets and essential services (</w:t>
      </w:r>
      <w:r w:rsidRPr="0082647D">
        <w:t>including</w:t>
      </w:r>
      <w:r w:rsidR="0043228C" w:rsidRPr="0082647D">
        <w:t xml:space="preserve"> mobile </w:t>
      </w:r>
      <w:r w:rsidRPr="0082647D">
        <w:t>phones</w:t>
      </w:r>
      <w:r w:rsidR="0043228C" w:rsidRPr="0082647D">
        <w:t xml:space="preserve"> and financial </w:t>
      </w:r>
      <w:r w:rsidRPr="0082647D">
        <w:t>services</w:t>
      </w:r>
      <w:r w:rsidR="0043228C" w:rsidRPr="0082647D">
        <w:t>)</w:t>
      </w:r>
      <w:r w:rsidRPr="0082647D">
        <w:t xml:space="preserve">. Based on this understanding, you will be able to make decisions on cash feasibility </w:t>
      </w:r>
      <w:r w:rsidR="00222CD2" w:rsidRPr="0082647D">
        <w:t>and ap</w:t>
      </w:r>
      <w:r w:rsidR="000F4269">
        <w:t xml:space="preserve">propriateness both in the short </w:t>
      </w:r>
      <w:r w:rsidR="00222CD2" w:rsidRPr="0082647D">
        <w:t>term and during response analysis</w:t>
      </w:r>
      <w:r w:rsidR="0043228C" w:rsidRPr="0082647D">
        <w:t>.</w:t>
      </w:r>
      <w:r w:rsidR="00A66B73" w:rsidRPr="0082647D">
        <w:t xml:space="preserve"> </w:t>
      </w:r>
      <w:r w:rsidR="00AF0822" w:rsidRPr="00AF0822">
        <w:t xml:space="preserve">The feasibility may vary with different population groups so you may need to link this with your response option and </w:t>
      </w:r>
      <w:r w:rsidR="000F4269">
        <w:t>targeting strategies later on (M</w:t>
      </w:r>
      <w:r w:rsidR="00AF0822" w:rsidRPr="00AF0822">
        <w:t>odule 3).</w:t>
      </w:r>
      <w:r w:rsidR="00AF082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48"/>
      </w:tblGrid>
      <w:tr w:rsidR="004D2021" w14:paraId="65784E2C" w14:textId="77777777" w:rsidTr="006D21F9">
        <w:tc>
          <w:tcPr>
            <w:tcW w:w="9848" w:type="dxa"/>
            <w:shd w:val="clear" w:color="auto" w:fill="D9D9D9" w:themeFill="background1" w:themeFillShade="D9"/>
          </w:tcPr>
          <w:p w14:paraId="0D392CCC" w14:textId="77FE99F7" w:rsidR="004D2021" w:rsidRDefault="004D2021" w:rsidP="006D21F9">
            <w:pPr>
              <w:spacing w:before="120"/>
            </w:pPr>
            <w:r>
              <w:t xml:space="preserve">When conducting community assessments, look within and beyond the household unit. Make sure that </w:t>
            </w:r>
            <w:r w:rsidR="006D21F9">
              <w:t>individuals of different age, gender and diversity groups (HIV positive, disabled, etc.) are given a voice. In the analysis ensure that information is disaggregated accordingly.</w:t>
            </w:r>
          </w:p>
        </w:tc>
      </w:tr>
    </w:tbl>
    <w:p w14:paraId="6BD5153D" w14:textId="3D1A8C88" w:rsidR="00EC7F80" w:rsidRPr="00F52885" w:rsidRDefault="00526A30" w:rsidP="00CB579E">
      <w:pPr>
        <w:spacing w:before="120"/>
      </w:pPr>
      <w:r w:rsidRPr="00F52885">
        <w:t>The</w:t>
      </w:r>
      <w:r w:rsidR="00A66B73" w:rsidRPr="00F52885">
        <w:t xml:space="preserve"> sub-step tools suggest cash-specific questions to be considered when conducting focus group discussions and interviews with key informants at community and household level</w:t>
      </w:r>
      <w:r w:rsidR="00222CD2" w:rsidRPr="00F52885">
        <w:t>s</w:t>
      </w:r>
      <w:r w:rsidR="00A66B73" w:rsidRPr="00F52885">
        <w:t xml:space="preserve">. </w:t>
      </w:r>
      <w:r w:rsidR="00222CD2" w:rsidRPr="00F52885">
        <w:t>The communit</w:t>
      </w:r>
      <w:r w:rsidR="000F4269" w:rsidRPr="00F52885">
        <w:t>y-level tool is focused on the community’s</w:t>
      </w:r>
      <w:r w:rsidR="00A66B73" w:rsidRPr="00F52885">
        <w:t xml:space="preserve"> access to</w:t>
      </w:r>
      <w:r w:rsidR="00D6680B" w:rsidRPr="00F52885">
        <w:t xml:space="preserve"> and</w:t>
      </w:r>
      <w:r w:rsidR="00A66B73" w:rsidRPr="00F52885">
        <w:t xml:space="preserve"> use of </w:t>
      </w:r>
      <w:r w:rsidR="00D6680B" w:rsidRPr="00F52885">
        <w:t xml:space="preserve">cash, as well as </w:t>
      </w:r>
      <w:r w:rsidR="000F4269" w:rsidRPr="00F52885">
        <w:t xml:space="preserve">its </w:t>
      </w:r>
      <w:r w:rsidR="00A66B73" w:rsidRPr="00F52885">
        <w:t xml:space="preserve">preferences </w:t>
      </w:r>
      <w:r w:rsidR="00D6680B" w:rsidRPr="00F52885">
        <w:t xml:space="preserve">and potential issues around </w:t>
      </w:r>
      <w:r w:rsidR="00A66B73" w:rsidRPr="00F52885">
        <w:t>cash</w:t>
      </w:r>
      <w:r w:rsidR="00D6680B" w:rsidRPr="00F52885">
        <w:t>-based assistance</w:t>
      </w:r>
      <w:r w:rsidR="00A66B73" w:rsidRPr="00F52885">
        <w:t xml:space="preserve">. The </w:t>
      </w:r>
      <w:r w:rsidR="00222CD2" w:rsidRPr="00F52885">
        <w:t>household-level</w:t>
      </w:r>
      <w:r w:rsidR="00A66B73" w:rsidRPr="00F52885">
        <w:t xml:space="preserve"> tool is focused on </w:t>
      </w:r>
      <w:r w:rsidR="000F4269" w:rsidRPr="00F52885">
        <w:t>the</w:t>
      </w:r>
      <w:r w:rsidR="00222CD2" w:rsidRPr="00F52885">
        <w:t xml:space="preserve"> </w:t>
      </w:r>
      <w:r w:rsidR="00A66B73" w:rsidRPr="00F52885">
        <w:t xml:space="preserve">access </w:t>
      </w:r>
      <w:r w:rsidR="000F4269" w:rsidRPr="00F52885">
        <w:t xml:space="preserve">of households </w:t>
      </w:r>
      <w:r w:rsidR="00A66B73" w:rsidRPr="00F52885">
        <w:t xml:space="preserve">to and </w:t>
      </w:r>
      <w:r w:rsidR="000F4269" w:rsidRPr="00F52885">
        <w:t xml:space="preserve">their </w:t>
      </w:r>
      <w:r w:rsidR="00A66B73" w:rsidRPr="00F52885">
        <w:t xml:space="preserve">control over cash, </w:t>
      </w:r>
      <w:r w:rsidR="000F4269" w:rsidRPr="00F52885">
        <w:t>their use of financial services and their</w:t>
      </w:r>
      <w:r w:rsidR="00A66B73" w:rsidRPr="00F52885">
        <w:t xml:space="preserve"> ownership </w:t>
      </w:r>
      <w:r w:rsidR="000F4269" w:rsidRPr="00F52885">
        <w:t xml:space="preserve">of </w:t>
      </w:r>
      <w:r w:rsidR="00A66B73" w:rsidRPr="00F52885">
        <w:t>and capacity to use mobile p</w:t>
      </w:r>
      <w:r w:rsidR="004C1ADA" w:rsidRPr="00F52885">
        <w:t>h</w:t>
      </w:r>
      <w:r w:rsidR="00A66B73" w:rsidRPr="00F52885">
        <w:t xml:space="preserve">ones, as well as </w:t>
      </w:r>
      <w:r w:rsidR="000F4269" w:rsidRPr="00F52885">
        <w:t xml:space="preserve">their </w:t>
      </w:r>
      <w:r w:rsidR="00A66B73" w:rsidRPr="00F52885">
        <w:t xml:space="preserve">experience with </w:t>
      </w:r>
      <w:r w:rsidR="00222CD2" w:rsidRPr="00F52885">
        <w:t xml:space="preserve">cash assistance </w:t>
      </w:r>
      <w:r w:rsidR="00A66B73" w:rsidRPr="00F52885">
        <w:t>and preferences for different types of</w:t>
      </w:r>
      <w:r w:rsidR="00222CD2" w:rsidRPr="00F52885">
        <w:t xml:space="preserve"> assistance</w:t>
      </w:r>
      <w:r w:rsidR="00A66B73" w:rsidRPr="00F52885">
        <w:t>.</w:t>
      </w:r>
      <w:r w:rsidR="00222CD2" w:rsidRPr="00F52885">
        <w:t xml:space="preserve"> Among the questions suggested, you can choose those</w:t>
      </w:r>
      <w:r w:rsidR="003B4D61" w:rsidRPr="00F52885">
        <w:t xml:space="preserve"> that are </w:t>
      </w:r>
      <w:r w:rsidR="00222CD2" w:rsidRPr="00F52885">
        <w:t xml:space="preserve">more </w:t>
      </w:r>
      <w:r w:rsidR="003B4D61" w:rsidRPr="00F52885">
        <w:t xml:space="preserve">relevant to your context, </w:t>
      </w:r>
      <w:r w:rsidR="00222CD2" w:rsidRPr="00F52885">
        <w:t xml:space="preserve">then </w:t>
      </w:r>
      <w:r w:rsidR="003B4D61" w:rsidRPr="00F52885">
        <w:t xml:space="preserve">adapt and incorporate them into </w:t>
      </w:r>
      <w:r w:rsidR="00222CD2" w:rsidRPr="00F52885">
        <w:t>your assessment</w:t>
      </w:r>
      <w:r w:rsidR="003B4D61" w:rsidRPr="00F52885">
        <w:t xml:space="preserve"> questionnaires.</w:t>
      </w:r>
    </w:p>
    <w:p w14:paraId="611555AE" w14:textId="0D4A8ACF" w:rsidR="003B4D61" w:rsidRPr="0082647D" w:rsidRDefault="00D1005D" w:rsidP="00F52885">
      <w:pPr>
        <w:pStyle w:val="Heading3"/>
      </w:pPr>
      <w:r w:rsidRPr="0082647D">
        <w:t>Understand a</w:t>
      </w:r>
      <w:r w:rsidR="003B4D61" w:rsidRPr="0082647D">
        <w:t>ccess to market and financial services</w:t>
      </w:r>
    </w:p>
    <w:p w14:paraId="0BD92556" w14:textId="6D167430" w:rsidR="003B4D61" w:rsidRPr="00F52885" w:rsidRDefault="00D1005D" w:rsidP="00F52885">
      <w:r w:rsidRPr="00F52885">
        <w:t>This sub-step inform</w:t>
      </w:r>
      <w:r w:rsidR="00F250D2" w:rsidRPr="00F52885">
        <w:t>s</w:t>
      </w:r>
      <w:r w:rsidRPr="00F52885">
        <w:t xml:space="preserve"> market assessment (step 3) and financial services’ capacity </w:t>
      </w:r>
      <w:r w:rsidR="00E909CC" w:rsidRPr="00F52885">
        <w:t xml:space="preserve">assessment </w:t>
      </w:r>
      <w:r w:rsidRPr="00F52885">
        <w:t xml:space="preserve">(step 4). On the </w:t>
      </w:r>
      <w:r w:rsidR="0002510F" w:rsidRPr="00F52885">
        <w:t>one hand</w:t>
      </w:r>
      <w:r w:rsidRPr="00F52885">
        <w:t>, it provide</w:t>
      </w:r>
      <w:r w:rsidR="0002510F" w:rsidRPr="00F52885">
        <w:t>s</w:t>
      </w:r>
      <w:r w:rsidRPr="00F52885">
        <w:t xml:space="preserve"> an understanding of the </w:t>
      </w:r>
      <w:r w:rsidR="0043228C" w:rsidRPr="00F52885">
        <w:t xml:space="preserve">key commodities </w:t>
      </w:r>
      <w:r w:rsidR="0002510F" w:rsidRPr="00F52885">
        <w:t xml:space="preserve">purchased and the key markets accessed by </w:t>
      </w:r>
      <w:r w:rsidR="0043228C" w:rsidRPr="00F52885">
        <w:t>the affected population.</w:t>
      </w:r>
      <w:r w:rsidR="0002510F" w:rsidRPr="00F52885">
        <w:t xml:space="preserve"> On the other hand, it provides an understanding of the affected population’s access </w:t>
      </w:r>
      <w:r w:rsidR="00AA0CB0" w:rsidRPr="00F52885">
        <w:t xml:space="preserve">to </w:t>
      </w:r>
      <w:r w:rsidR="0002510F" w:rsidRPr="00F52885">
        <w:t xml:space="preserve">and use of financial services and mobile phone technology. This understanding gives an indication of which markets should be assessed (step 3) and which </w:t>
      </w:r>
      <w:r w:rsidR="0043228C" w:rsidRPr="00F52885">
        <w:t xml:space="preserve">service providers </w:t>
      </w:r>
      <w:r w:rsidR="0002510F" w:rsidRPr="00F52885">
        <w:t xml:space="preserve">should be investigated </w:t>
      </w:r>
      <w:r w:rsidR="000F4269" w:rsidRPr="00F52885">
        <w:t xml:space="preserve">further </w:t>
      </w:r>
      <w:r w:rsidR="0002510F" w:rsidRPr="00F52885">
        <w:t>(in step 4 and during response analysis)</w:t>
      </w:r>
      <w:r w:rsidR="0043228C" w:rsidRPr="00F52885">
        <w:t>.</w:t>
      </w:r>
      <w:r w:rsidR="0002510F" w:rsidRPr="00F52885">
        <w:t xml:space="preserve"> </w:t>
      </w:r>
      <w:r w:rsidR="00A5336D" w:rsidRPr="00F52885">
        <w:t>T</w:t>
      </w:r>
      <w:r w:rsidR="0082647D" w:rsidRPr="00F52885">
        <w:t xml:space="preserve">he </w:t>
      </w:r>
      <w:r w:rsidR="0002510F" w:rsidRPr="00F52885">
        <w:t xml:space="preserve">sub-step tools </w:t>
      </w:r>
      <w:r w:rsidR="00A5336D" w:rsidRPr="00F52885">
        <w:t>are</w:t>
      </w:r>
      <w:r w:rsidR="0082647D" w:rsidRPr="00F52885">
        <w:t xml:space="preserve"> </w:t>
      </w:r>
      <w:r w:rsidR="0002510F" w:rsidRPr="00F52885">
        <w:t>questionnaire</w:t>
      </w:r>
      <w:r w:rsidR="00A5336D" w:rsidRPr="00F52885">
        <w:t>s</w:t>
      </w:r>
      <w:r w:rsidR="0002510F" w:rsidRPr="00F52885">
        <w:t xml:space="preserve"> </w:t>
      </w:r>
      <w:r w:rsidR="00A5336D" w:rsidRPr="00F52885">
        <w:t xml:space="preserve">that can be used to </w:t>
      </w:r>
      <w:r w:rsidR="00F250D2" w:rsidRPr="00F52885">
        <w:t xml:space="preserve">gather specific information </w:t>
      </w:r>
      <w:r w:rsidR="000F4269" w:rsidRPr="00F52885">
        <w:t xml:space="preserve">which is </w:t>
      </w:r>
      <w:r w:rsidR="00F250D2" w:rsidRPr="00F52885">
        <w:t xml:space="preserve">useful </w:t>
      </w:r>
      <w:r w:rsidR="000F4269" w:rsidRPr="00F52885">
        <w:t>for generating</w:t>
      </w:r>
      <w:r w:rsidR="00F250D2" w:rsidRPr="00F52885">
        <w:t xml:space="preserve"> this understanding</w:t>
      </w:r>
      <w:r w:rsidR="00A5336D" w:rsidRPr="00F52885">
        <w:t xml:space="preserve"> </w:t>
      </w:r>
      <w:r w:rsidR="0002510F" w:rsidRPr="00F52885">
        <w:t xml:space="preserve">when </w:t>
      </w:r>
      <w:r w:rsidR="003B4D61" w:rsidRPr="00F52885">
        <w:t>conducting focus group discussions with community members or representatives.</w:t>
      </w:r>
    </w:p>
    <w:p w14:paraId="247A01F3" w14:textId="2EA7F14E" w:rsidR="003B4D61" w:rsidRDefault="00B23CB0" w:rsidP="00F52885">
      <w:pPr>
        <w:pStyle w:val="Heading3"/>
      </w:pPr>
      <w:r>
        <w:t>Identify and q</w:t>
      </w:r>
      <w:r w:rsidR="003B4D61">
        <w:t xml:space="preserve">uantify </w:t>
      </w:r>
      <w:r w:rsidR="00EC7F80" w:rsidRPr="00C638A0">
        <w:t>priority</w:t>
      </w:r>
      <w:r w:rsidR="003B4D61">
        <w:t xml:space="preserve"> needs</w:t>
      </w:r>
    </w:p>
    <w:p w14:paraId="3FFEA3AF" w14:textId="1E9FBE86" w:rsidR="000F4269" w:rsidRDefault="000F4269" w:rsidP="00F52885">
      <w:r w:rsidRPr="00F52885">
        <w:t xml:space="preserve">One of the objectives of the assessment is to identify the priority needs of the shock-affected population. These needs can be translated into typical expenditure baskets – food and/or non-food items, and basic and/or livelihoods expenditure, depending on the objective of the response. Information on which items should be included in each of these baskets either can be obtained from secondary data (e.g., national expenditure surveys) or can be collected in the field (e.g., through focus group discussions with representatives of different wealth groups).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8"/>
      </w:tblGrid>
      <w:tr w:rsidR="006D21F9" w:rsidRPr="00AA32F8" w14:paraId="4FA9254E" w14:textId="77777777" w:rsidTr="00CB579E">
        <w:trPr>
          <w:trHeight w:val="983"/>
        </w:trPr>
        <w:tc>
          <w:tcPr>
            <w:tcW w:w="9848" w:type="dxa"/>
            <w:shd w:val="clear" w:color="auto" w:fill="D9D9D9" w:themeFill="background1" w:themeFillShade="D9"/>
          </w:tcPr>
          <w:p w14:paraId="6A12007A" w14:textId="7A6AF618" w:rsidR="006D21F9" w:rsidRPr="00AA32F8" w:rsidRDefault="00975B84" w:rsidP="00886B88">
            <w:pPr>
              <w:spacing w:before="120"/>
            </w:pPr>
            <w:r>
              <w:lastRenderedPageBreak/>
              <w:t xml:space="preserve">From a </w:t>
            </w:r>
            <w:r w:rsidRPr="00152624">
              <w:t>multipurpose cash grants</w:t>
            </w:r>
            <w:r>
              <w:t xml:space="preserve"> perspective, it is important to i</w:t>
            </w:r>
            <w:r w:rsidR="006D21F9" w:rsidRPr="00AA32F8">
              <w:t>dentify sector</w:t>
            </w:r>
            <w:r>
              <w:t>-</w:t>
            </w:r>
            <w:r w:rsidR="006D21F9" w:rsidRPr="00AA32F8">
              <w:t>specific needs</w:t>
            </w:r>
            <w:r w:rsidRPr="00AA32F8">
              <w:t xml:space="preserve"> </w:t>
            </w:r>
            <w:r>
              <w:t>and group</w:t>
            </w:r>
            <w:r w:rsidRPr="00AA32F8">
              <w:t xml:space="preserve"> th</w:t>
            </w:r>
            <w:r w:rsidR="00696202">
              <w:t>e</w:t>
            </w:r>
            <w:r>
              <w:t xml:space="preserve"> needs that can be potentially met</w:t>
            </w:r>
            <w:r w:rsidR="00886B88">
              <w:t xml:space="preserve"> by</w:t>
            </w:r>
            <w:r w:rsidRPr="00AA32F8">
              <w:t xml:space="preserve"> cash </w:t>
            </w:r>
            <w:r w:rsidR="00886B88">
              <w:t>assistance</w:t>
            </w:r>
            <w:r w:rsidR="006D21F9" w:rsidRPr="00AA32F8">
              <w:t xml:space="preserve">. </w:t>
            </w:r>
            <w:r>
              <w:t>It is also important to distingui</w:t>
            </w:r>
            <w:r w:rsidR="006D21F9" w:rsidRPr="00AA32F8">
              <w:t>sh between recurrent</w:t>
            </w:r>
            <w:r w:rsidR="00696202">
              <w:t xml:space="preserve"> </w:t>
            </w:r>
            <w:r w:rsidR="006D21F9" w:rsidRPr="00AA32F8">
              <w:t>and one</w:t>
            </w:r>
            <w:r w:rsidR="006D21F9">
              <w:t>-</w:t>
            </w:r>
            <w:r w:rsidR="006D21F9" w:rsidRPr="00AA32F8">
              <w:t>off</w:t>
            </w:r>
            <w:r>
              <w:t xml:space="preserve"> </w:t>
            </w:r>
            <w:r w:rsidR="006D21F9" w:rsidRPr="00AA32F8">
              <w:t>needs</w:t>
            </w:r>
            <w:r w:rsidR="00696202">
              <w:t>. For example, while food</w:t>
            </w:r>
            <w:r>
              <w:t xml:space="preserve"> and hygiene items will need to be purchased regularly, shelter materials for construction will be probably bought </w:t>
            </w:r>
            <w:r w:rsidR="00696202">
              <w:t>just</w:t>
            </w:r>
            <w:r>
              <w:t xml:space="preserve"> once.</w:t>
            </w:r>
          </w:p>
        </w:tc>
      </w:tr>
    </w:tbl>
    <w:p w14:paraId="26040F3B" w14:textId="18A04B45" w:rsidR="00147CEC" w:rsidRPr="00F52885" w:rsidRDefault="000F4269" w:rsidP="00147CEC">
      <w:pPr>
        <w:spacing w:before="120"/>
      </w:pPr>
      <w:r w:rsidRPr="00F52885">
        <w:t xml:space="preserve">Once identified, the priority needs should be quantified in monetary terms using local prices, so that cash can be considered an option in the response analysis phase. This value will be part of the cost component of the different modalities and mechanisms, making it possible to analyse the cost-efficiency and cost-effectiveness of the different options, and to determine the value of the transfer, should a cash response be appropriate. </w:t>
      </w:r>
    </w:p>
    <w:p w14:paraId="460DBF91" w14:textId="746FE1A3" w:rsidR="00696202" w:rsidRPr="00F52885" w:rsidRDefault="000F4269" w:rsidP="00147CEC">
      <w:r w:rsidRPr="00F52885">
        <w:t xml:space="preserve">In this sub-step, you will find a tool that can be used both in the assessment phase, to quantify the priority needs, and in the response analysis phase, to calculate the value of a potential cash transfer. </w:t>
      </w:r>
      <w:r w:rsidR="003B4D61" w:rsidRPr="00F52885">
        <w:t xml:space="preserve"> </w:t>
      </w:r>
      <w:r w:rsidR="00696202">
        <w:rPr>
          <w:rFonts w:cs="Arial"/>
        </w:rPr>
        <w:t>The tool is based on the calculation of a Minimum Expenditure Basket (MEB), which outlines the shock-affected population’s basic needs based on estimated monthly expenditure</w:t>
      </w:r>
      <w:r w:rsidR="00886B88">
        <w:rPr>
          <w:rFonts w:cs="Arial"/>
        </w:rPr>
        <w:t>s</w:t>
      </w:r>
      <w:r w:rsidR="00696202">
        <w:rPr>
          <w:rFonts w:cs="Arial"/>
        </w:rPr>
        <w:t xml:space="preserve">. </w:t>
      </w:r>
      <w:r w:rsidR="00147CEC">
        <w:rPr>
          <w:rFonts w:cs="Arial"/>
        </w:rPr>
        <w:t xml:space="preserve">The tool also </w:t>
      </w:r>
      <w:r w:rsidR="00696202">
        <w:rPr>
          <w:rFonts w:cs="Arial"/>
        </w:rPr>
        <w:t>distinguish</w:t>
      </w:r>
      <w:r w:rsidR="00147CEC">
        <w:rPr>
          <w:rFonts w:cs="Arial"/>
        </w:rPr>
        <w:t>es</w:t>
      </w:r>
      <w:r w:rsidR="00696202">
        <w:rPr>
          <w:rFonts w:cs="Arial"/>
        </w:rPr>
        <w:t xml:space="preserve"> between recurrent and one-off needs.</w:t>
      </w:r>
    </w:p>
    <w:p w14:paraId="7EC51463" w14:textId="2FBC7CAF" w:rsidR="003B4D61" w:rsidRDefault="00EC7F80" w:rsidP="00F52885">
      <w:pPr>
        <w:pStyle w:val="Heading3"/>
      </w:pPr>
      <w:r w:rsidRPr="00C638A0">
        <w:t>Consolidate</w:t>
      </w:r>
      <w:r w:rsidR="003B4D61">
        <w:t xml:space="preserve"> community findings</w:t>
      </w:r>
    </w:p>
    <w:p w14:paraId="592F7125" w14:textId="77777777" w:rsidR="000F4269" w:rsidRPr="00F52885" w:rsidRDefault="000F4269" w:rsidP="00F52885">
      <w:pPr>
        <w:spacing w:after="360"/>
      </w:pPr>
      <w:r w:rsidRPr="00F52885">
        <w:t xml:space="preserve">Using the tools available in this step, you probably will have gathered very useful cash-specific information at community and household levels. This sub-step tool can help you consolidate and organize your findings, and integrate cash-specific information into your standard assessment report format. </w:t>
      </w:r>
    </w:p>
    <w:tbl>
      <w:tblPr>
        <w:tblStyle w:val="TableGray"/>
        <w:tblW w:w="0" w:type="auto"/>
        <w:tblLook w:val="04A0" w:firstRow="1" w:lastRow="0" w:firstColumn="1" w:lastColumn="0" w:noHBand="0" w:noVBand="1"/>
      </w:tblPr>
      <w:tblGrid>
        <w:gridCol w:w="9848"/>
      </w:tblGrid>
      <w:tr w:rsidR="00F52885" w14:paraId="4D79E879" w14:textId="77777777" w:rsidTr="00F52885">
        <w:tc>
          <w:tcPr>
            <w:tcW w:w="9848" w:type="dxa"/>
          </w:tcPr>
          <w:p w14:paraId="39FFCFB7" w14:textId="77777777" w:rsidR="00F52885" w:rsidRPr="00F52885" w:rsidRDefault="00F52885" w:rsidP="00F52885">
            <w:pPr>
              <w:pStyle w:val="RefTitre"/>
            </w:pPr>
            <w:r w:rsidRPr="00F52885">
              <w:t>REFERENCE DOCUMENTS</w:t>
            </w:r>
          </w:p>
          <w:p w14:paraId="25D05F79" w14:textId="57205444" w:rsidR="00F52885" w:rsidRPr="00F52885" w:rsidRDefault="00F52885" w:rsidP="00F52885">
            <w:pPr>
              <w:pStyle w:val="RefItem1"/>
              <w:rPr>
                <w:rFonts w:cs="Arial"/>
                <w:color w:val="0000D4"/>
                <w:szCs w:val="20"/>
                <w:u w:val="single"/>
              </w:rPr>
            </w:pPr>
            <w:r w:rsidRPr="00F52885">
              <w:rPr>
                <w:rFonts w:cs="Arial"/>
                <w:szCs w:val="20"/>
              </w:rPr>
              <w:t xml:space="preserve">Guidelines for Cash Transfer Programming - International Red Cross and Red Crescent Movement. </w:t>
            </w:r>
            <w:hyperlink r:id="rId8" w:history="1">
              <w:r w:rsidRPr="00F52885">
                <w:rPr>
                  <w:rStyle w:val="Hyperlink"/>
                  <w:rFonts w:cs="Arial"/>
                  <w:szCs w:val="20"/>
                </w:rPr>
                <w:t>http://www.ifrc.org/Global/Publications/disasters/finance/cash-guidelines-en.pdf</w:t>
              </w:r>
            </w:hyperlink>
          </w:p>
          <w:p w14:paraId="5E56A543" w14:textId="77777777" w:rsidR="00F52885" w:rsidRDefault="00F52885" w:rsidP="00F52885">
            <w:pPr>
              <w:pStyle w:val="RefItem1"/>
              <w:rPr>
                <w:rStyle w:val="Hyperlink"/>
                <w:rFonts w:cs="Arial"/>
                <w:szCs w:val="20"/>
              </w:rPr>
            </w:pPr>
            <w:r w:rsidRPr="00F52885">
              <w:rPr>
                <w:rFonts w:cs="Arial"/>
                <w:szCs w:val="20"/>
              </w:rPr>
              <w:t xml:space="preserve">Good Practice Review: Cash Transfer Programming in Emergencies. Humanitarian Practice Network (2011)  </w:t>
            </w:r>
            <w:hyperlink r:id="rId9" w:history="1">
              <w:r w:rsidRPr="00F52885">
                <w:rPr>
                  <w:rStyle w:val="Hyperlink"/>
                  <w:rFonts w:cs="Arial"/>
                  <w:szCs w:val="20"/>
                </w:rPr>
                <w:t>http://www.odihpn.org/documents%2Fgpr11.pdf</w:t>
              </w:r>
            </w:hyperlink>
          </w:p>
          <w:p w14:paraId="3D0EF134" w14:textId="77777777" w:rsidR="0027763A" w:rsidRPr="00D77D45" w:rsidRDefault="0027763A" w:rsidP="0027763A">
            <w:pPr>
              <w:jc w:val="left"/>
              <w:rPr>
                <w:color w:val="548DD4" w:themeColor="text2" w:themeTint="99"/>
                <w:u w:val="single"/>
                <w:lang w:val="en-GB"/>
              </w:rPr>
            </w:pPr>
            <w:r w:rsidRPr="00D77D45">
              <w:rPr>
                <w:lang w:val="en-GB"/>
              </w:rPr>
              <w:t xml:space="preserve">UNHCR (2015) </w:t>
            </w:r>
            <w:r w:rsidRPr="00D77D45">
              <w:rPr>
                <w:i/>
                <w:lang w:val="en-GB"/>
              </w:rPr>
              <w:t>Operational Guidance and Toolkit for Multipurpose Cash Grants</w:t>
            </w:r>
            <w:r w:rsidRPr="00D77D45">
              <w:rPr>
                <w:lang w:val="en-GB"/>
              </w:rPr>
              <w:t xml:space="preserve">. </w:t>
            </w:r>
            <w:hyperlink r:id="rId10" w:history="1">
              <w:r w:rsidRPr="00D77D45">
                <w:rPr>
                  <w:rStyle w:val="Hyperlink"/>
                  <w:rFonts w:asciiTheme="majorHAnsi" w:hAnsiTheme="majorHAnsi"/>
                  <w:sz w:val="22"/>
                  <w:lang w:val="en-GB"/>
                </w:rPr>
                <w:t>http://www.cashlearning.org/mpg-toolkit/</w:t>
              </w:r>
            </w:hyperlink>
            <w:r>
              <w:rPr>
                <w:rStyle w:val="Hyperlink"/>
                <w:rFonts w:asciiTheme="majorHAnsi" w:hAnsiTheme="majorHAnsi"/>
                <w:sz w:val="22"/>
                <w:lang w:val="en-GB"/>
              </w:rPr>
              <w:t xml:space="preserve"> </w:t>
            </w:r>
          </w:p>
          <w:p w14:paraId="01482705" w14:textId="77777777" w:rsidR="0027763A" w:rsidRPr="00D77D45" w:rsidRDefault="0027763A" w:rsidP="0027763A">
            <w:pPr>
              <w:jc w:val="left"/>
              <w:rPr>
                <w:lang w:val="en-GB"/>
              </w:rPr>
            </w:pPr>
            <w:r w:rsidRPr="00D77D45">
              <w:rPr>
                <w:lang w:val="en-GB"/>
              </w:rPr>
              <w:t xml:space="preserve">ECHO (2015) </w:t>
            </w:r>
            <w:r w:rsidRPr="00D77D45">
              <w:rPr>
                <w:i/>
                <w:lang w:val="en-GB"/>
              </w:rPr>
              <w:t>Common Principles for Multi-Purpose Cash-Based Assistance</w:t>
            </w:r>
            <w:r w:rsidRPr="00D77D45">
              <w:rPr>
                <w:lang w:val="en-GB"/>
              </w:rPr>
              <w:t xml:space="preserve">. </w:t>
            </w:r>
          </w:p>
          <w:p w14:paraId="480D9719" w14:textId="77777777" w:rsidR="0027763A" w:rsidRPr="00D77D45" w:rsidRDefault="0027763A" w:rsidP="0027763A">
            <w:pPr>
              <w:jc w:val="left"/>
              <w:rPr>
                <w:lang w:val="en-GB"/>
              </w:rPr>
            </w:pPr>
            <w:hyperlink r:id="rId11" w:history="1">
              <w:r w:rsidRPr="00D77D45">
                <w:rPr>
                  <w:rStyle w:val="Hyperlink"/>
                  <w:rFonts w:asciiTheme="majorHAnsi" w:hAnsiTheme="majorHAnsi"/>
                  <w:sz w:val="22"/>
                  <w:lang w:val="en-GB"/>
                </w:rPr>
                <w:t>http://ec.europa.eu/echo/files/policies/sectoral/concept_paper_common_top_line_principles_en.pdf</w:t>
              </w:r>
            </w:hyperlink>
            <w:r w:rsidRPr="00D77D45">
              <w:rPr>
                <w:lang w:val="en-GB"/>
              </w:rPr>
              <w:t xml:space="preserve"> </w:t>
            </w:r>
            <w:r>
              <w:rPr>
                <w:lang w:val="en-GB"/>
              </w:rPr>
              <w:t xml:space="preserve"> </w:t>
            </w:r>
          </w:p>
          <w:p w14:paraId="4C6A8155" w14:textId="77777777" w:rsidR="0027763A" w:rsidRPr="00D77D45" w:rsidRDefault="0027763A" w:rsidP="0027763A">
            <w:pPr>
              <w:jc w:val="left"/>
              <w:rPr>
                <w:lang w:val="en-GB"/>
              </w:rPr>
            </w:pPr>
            <w:r w:rsidRPr="00D77D45">
              <w:rPr>
                <w:lang w:val="en-GB"/>
              </w:rPr>
              <w:t xml:space="preserve">ICRC (2016) </w:t>
            </w:r>
            <w:r w:rsidRPr="00D77D45">
              <w:rPr>
                <w:i/>
                <w:lang w:val="en-GB"/>
              </w:rPr>
              <w:t>ECOSEC Executive Brief on Multi-Purpose Cash Grants</w:t>
            </w:r>
            <w:r w:rsidRPr="00D77D45">
              <w:rPr>
                <w:lang w:val="en-GB"/>
              </w:rPr>
              <w:t>.</w:t>
            </w:r>
          </w:p>
          <w:p w14:paraId="0696424B" w14:textId="2CF08AB9" w:rsidR="0027763A" w:rsidRDefault="0027763A" w:rsidP="0027763A">
            <w:pPr>
              <w:pStyle w:val="RefItem1"/>
              <w:rPr>
                <w:sz w:val="22"/>
              </w:rPr>
            </w:pPr>
            <w:r w:rsidRPr="00D77D45">
              <w:rPr>
                <w:bCs/>
                <w:i/>
                <w:lang w:val="en-GB"/>
              </w:rPr>
              <w:t>UNHCR (2015) Guide for Protection in Cash-based Interventions</w:t>
            </w:r>
            <w:r>
              <w:rPr>
                <w:bCs/>
                <w:i/>
                <w:lang w:val="en-GB"/>
              </w:rPr>
              <w:t xml:space="preserve">. </w:t>
            </w:r>
            <w:r w:rsidRPr="005A73C3">
              <w:rPr>
                <w:bCs/>
                <w:lang w:val="en-GB"/>
              </w:rPr>
              <w:t>http://www.cashlearning.org/downloads/erc-guide-for-protection-in-cash-based-interventions-web.pdf</w:t>
            </w:r>
          </w:p>
        </w:tc>
      </w:tr>
    </w:tbl>
    <w:p w14:paraId="73F273EB" w14:textId="77777777" w:rsidR="00F52885" w:rsidRDefault="00F52885" w:rsidP="00F52885"/>
    <w:sectPr w:rsidR="00F52885" w:rsidSect="002B4DCC">
      <w:headerReference w:type="default" r:id="rId12"/>
      <w:footerReference w:type="default" r:id="rId13"/>
      <w:headerReference w:type="first" r:id="rId14"/>
      <w:footerReference w:type="first" r:id="rId15"/>
      <w:pgSz w:w="11900" w:h="16840"/>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5E874" w14:textId="77777777" w:rsidR="00B365B4" w:rsidRDefault="00B365B4">
      <w:r>
        <w:separator/>
      </w:r>
    </w:p>
  </w:endnote>
  <w:endnote w:type="continuationSeparator" w:id="0">
    <w:p w14:paraId="49CFE38B" w14:textId="77777777" w:rsidR="00B365B4" w:rsidRDefault="00B3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AEDF" w14:textId="465EE24A" w:rsidR="00696202" w:rsidRPr="00B45C74" w:rsidRDefault="00696202" w:rsidP="009C6DD7">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E5554D">
      <w:rPr>
        <w:b/>
        <w:noProof/>
        <w:color w:val="808080" w:themeColor="background1" w:themeShade="80"/>
        <w:sz w:val="18"/>
        <w:szCs w:val="18"/>
      </w:rPr>
      <w:t>2</w:t>
    </w:r>
    <w:r w:rsidRPr="00B45C74">
      <w:rPr>
        <w:b/>
        <w:color w:val="808080" w:themeColor="background1" w:themeShade="80"/>
        <w:sz w:val="18"/>
        <w:szCs w:val="18"/>
      </w:rPr>
      <w:fldChar w:fldCharType="end"/>
    </w:r>
  </w:p>
  <w:p w14:paraId="321807EF" w14:textId="6CE55798" w:rsidR="00696202" w:rsidRPr="00057E7E" w:rsidRDefault="00696202" w:rsidP="00057E7E">
    <w:pPr>
      <w:pStyle w:val="Footer"/>
    </w:pPr>
    <w:r w:rsidRPr="00107E15">
      <w:rPr>
        <w:b/>
      </w:rPr>
      <w:t xml:space="preserve">Module </w:t>
    </w:r>
    <w:r>
      <w:rPr>
        <w:b/>
      </w:rPr>
      <w:t>2</w:t>
    </w:r>
    <w:r w:rsidRPr="00107E15">
      <w:rPr>
        <w:b/>
      </w:rPr>
      <w:t>.</w:t>
    </w:r>
    <w:r w:rsidRPr="00107E15">
      <w:t xml:space="preserve"> </w:t>
    </w:r>
    <w:r>
      <w:t>Step 2. Roadmap for cash-sensitive community assessment</w:t>
    </w:r>
    <w:r w:rsidRPr="00057E7E">
      <w:fldChar w:fldCharType="begin"/>
    </w:r>
    <w:r w:rsidRPr="00057E7E">
      <w:instrText xml:space="preserve"> STYLEREF  H1 \t  \* MERGEFORMAT </w:instrText>
    </w:r>
    <w:r w:rsidRPr="00057E7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EBDFA" w14:textId="78B653BB" w:rsidR="00696202" w:rsidRPr="00B45C74" w:rsidRDefault="00696202" w:rsidP="009C6DD7">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E5554D">
      <w:rPr>
        <w:b/>
        <w:noProof/>
        <w:color w:val="808080" w:themeColor="background1" w:themeShade="80"/>
        <w:sz w:val="18"/>
        <w:szCs w:val="18"/>
      </w:rPr>
      <w:t>1</w:t>
    </w:r>
    <w:r w:rsidRPr="00B45C74">
      <w:rPr>
        <w:b/>
        <w:color w:val="808080" w:themeColor="background1" w:themeShade="80"/>
        <w:sz w:val="18"/>
        <w:szCs w:val="18"/>
      </w:rPr>
      <w:fldChar w:fldCharType="end"/>
    </w:r>
  </w:p>
  <w:p w14:paraId="6ECB1575" w14:textId="5D518039" w:rsidR="00696202" w:rsidRPr="00057E7E" w:rsidRDefault="00696202" w:rsidP="009C6DD7">
    <w:pPr>
      <w:pStyle w:val="Footer"/>
    </w:pPr>
    <w:r w:rsidRPr="00107E15">
      <w:rPr>
        <w:b/>
      </w:rPr>
      <w:t xml:space="preserve">Module </w:t>
    </w:r>
    <w:r>
      <w:rPr>
        <w:b/>
      </w:rPr>
      <w:t>2</w:t>
    </w:r>
    <w:r w:rsidRPr="00107E15">
      <w:rPr>
        <w:b/>
      </w:rPr>
      <w:t>.</w:t>
    </w:r>
    <w:r>
      <w:rPr>
        <w:b/>
      </w:rPr>
      <w:t xml:space="preserve"> </w:t>
    </w:r>
    <w:r w:rsidRPr="0020717B">
      <w:t>Step 2.</w:t>
    </w:r>
    <w:r w:rsidRPr="00107E15">
      <w:t xml:space="preserve"> </w:t>
    </w:r>
    <w:fldSimple w:instr=" STYLEREF  H1 \t  \* MERGEFORMAT ">
      <w:r w:rsidR="00E5554D" w:rsidRPr="00E5554D">
        <w:rPr>
          <w:bCs/>
          <w:noProof/>
        </w:rPr>
        <w:t>Roadmap for cash-sensitive community assessment</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9A9B3" w14:textId="77777777" w:rsidR="00B365B4" w:rsidRDefault="00B365B4">
      <w:r>
        <w:separator/>
      </w:r>
    </w:p>
  </w:footnote>
  <w:footnote w:type="continuationSeparator" w:id="0">
    <w:p w14:paraId="20E0CA3C" w14:textId="77777777" w:rsidR="00B365B4" w:rsidRDefault="00B3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A342" w14:textId="77777777" w:rsidR="00696202" w:rsidRPr="00074036" w:rsidRDefault="00696202" w:rsidP="009C6DD7">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73C1" w14:textId="77777777" w:rsidR="00696202" w:rsidRDefault="00696202" w:rsidP="009C6DD7">
    <w:pPr>
      <w:pStyle w:val="Header1"/>
    </w:pPr>
    <w:r>
      <w:rPr>
        <w:noProof/>
        <w:lang w:val="en-GB" w:eastAsia="en-GB"/>
      </w:rPr>
      <w:drawing>
        <wp:anchor distT="0" distB="0" distL="114300" distR="114300" simplePos="0" relativeHeight="251660288" behindDoc="0" locked="0" layoutInCell="1" allowOverlap="1" wp14:anchorId="224A51FC" wp14:editId="1837EC91">
          <wp:simplePos x="0" y="0"/>
          <wp:positionH relativeFrom="page">
            <wp:posOffset>1080135</wp:posOffset>
          </wp:positionH>
          <wp:positionV relativeFrom="page">
            <wp:posOffset>377825</wp:posOffset>
          </wp:positionV>
          <wp:extent cx="633730" cy="719512"/>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7B067DAA" w14:textId="77777777" w:rsidR="00696202" w:rsidRDefault="00696202" w:rsidP="009C6DD7">
    <w:pPr>
      <w:pStyle w:val="Header1"/>
    </w:pPr>
  </w:p>
  <w:p w14:paraId="430FD8B2" w14:textId="77777777" w:rsidR="00696202" w:rsidRDefault="00696202" w:rsidP="009C6DD7">
    <w:pPr>
      <w:pStyle w:val="Header"/>
      <w:rPr>
        <w:color w:val="DC281E"/>
        <w:sz w:val="24"/>
        <w:szCs w:val="24"/>
      </w:rPr>
    </w:pPr>
    <w:r>
      <w:rPr>
        <w:noProof/>
        <w:lang w:val="en-GB" w:eastAsia="en-GB"/>
      </w:rPr>
      <w:drawing>
        <wp:anchor distT="0" distB="0" distL="114300" distR="114300" simplePos="0" relativeHeight="251659264" behindDoc="0" locked="0" layoutInCell="1" allowOverlap="1" wp14:anchorId="347B3D1C" wp14:editId="76E42B1E">
          <wp:simplePos x="0" y="0"/>
          <wp:positionH relativeFrom="page">
            <wp:posOffset>3366135</wp:posOffset>
          </wp:positionH>
          <wp:positionV relativeFrom="page">
            <wp:posOffset>784225</wp:posOffset>
          </wp:positionV>
          <wp:extent cx="3200400" cy="299867"/>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51F8FAC2" w14:textId="77777777" w:rsidR="00696202" w:rsidRDefault="00696202" w:rsidP="009C6DD7">
    <w:pPr>
      <w:pStyle w:val="Header"/>
      <w:spacing w:line="240" w:lineRule="auto"/>
      <w:rPr>
        <w:b/>
        <w:color w:val="DC281E"/>
        <w:sz w:val="24"/>
        <w:szCs w:val="24"/>
      </w:rPr>
    </w:pPr>
  </w:p>
  <w:p w14:paraId="57B8B300" w14:textId="77777777" w:rsidR="00696202" w:rsidRDefault="00696202" w:rsidP="009C6DD7">
    <w:pPr>
      <w:pStyle w:val="Header"/>
      <w:spacing w:line="240" w:lineRule="auto"/>
      <w:rPr>
        <w:b/>
        <w:color w:val="DC281E"/>
        <w:sz w:val="24"/>
        <w:szCs w:val="24"/>
      </w:rPr>
    </w:pPr>
  </w:p>
  <w:p w14:paraId="63B7EEA0" w14:textId="77777777" w:rsidR="00696202" w:rsidRPr="0020717B" w:rsidRDefault="00696202" w:rsidP="009C6DD7">
    <w:pPr>
      <w:pStyle w:val="Header1"/>
      <w:rPr>
        <w:rFonts w:ascii="Arial Bold" w:hAnsi="Arial Bold"/>
        <w:color w:val="DC281E"/>
      </w:rPr>
    </w:pPr>
    <w:r w:rsidRPr="0020717B">
      <w:rPr>
        <w:rFonts w:ascii="Arial Bold" w:hAnsi="Arial Bold"/>
        <w:color w:val="DC281E"/>
      </w:rPr>
      <w:t>Cash in Emergencies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6EC0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9392B3B8"/>
    <w:lvl w:ilvl="0">
      <w:start w:val="1"/>
      <w:numFmt w:val="decimal"/>
      <w:lvlText w:val="%1."/>
      <w:lvlJc w:val="left"/>
      <w:pPr>
        <w:tabs>
          <w:tab w:val="num" w:pos="643"/>
        </w:tabs>
        <w:ind w:left="643" w:hanging="360"/>
      </w:pPr>
    </w:lvl>
  </w:abstractNum>
  <w:abstractNum w:abstractNumId="2" w15:restartNumberingAfterBreak="0">
    <w:nsid w:val="00BC61D7"/>
    <w:multiLevelType w:val="hybridMultilevel"/>
    <w:tmpl w:val="7A78EDE6"/>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1751EC"/>
    <w:multiLevelType w:val="hybridMultilevel"/>
    <w:tmpl w:val="D4A2DDAC"/>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656F75"/>
    <w:multiLevelType w:val="hybridMultilevel"/>
    <w:tmpl w:val="5FEC3BEE"/>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0971EF"/>
    <w:multiLevelType w:val="hybridMultilevel"/>
    <w:tmpl w:val="FA4E0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53F03"/>
    <w:multiLevelType w:val="hybridMultilevel"/>
    <w:tmpl w:val="2B62B31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F735E8"/>
    <w:multiLevelType w:val="hybridMultilevel"/>
    <w:tmpl w:val="A8A435C2"/>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832A81"/>
    <w:multiLevelType w:val="hybridMultilevel"/>
    <w:tmpl w:val="8C70376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952B4"/>
    <w:multiLevelType w:val="hybridMultilevel"/>
    <w:tmpl w:val="22E0685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C3C3D"/>
    <w:multiLevelType w:val="hybridMultilevel"/>
    <w:tmpl w:val="3B92B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1477B"/>
    <w:multiLevelType w:val="hybridMultilevel"/>
    <w:tmpl w:val="7D688CB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A817A36"/>
    <w:multiLevelType w:val="hybridMultilevel"/>
    <w:tmpl w:val="9B3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B14FD"/>
    <w:multiLevelType w:val="hybridMultilevel"/>
    <w:tmpl w:val="A06CDB8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4226C8E"/>
    <w:multiLevelType w:val="hybridMultilevel"/>
    <w:tmpl w:val="B6D8F0D4"/>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44C36C6"/>
    <w:multiLevelType w:val="hybridMultilevel"/>
    <w:tmpl w:val="8D5C82F2"/>
    <w:lvl w:ilvl="0" w:tplc="AF5CCA70">
      <w:numFmt w:val="bullet"/>
      <w:lvlText w:val=""/>
      <w:lvlJc w:val="left"/>
      <w:pPr>
        <w:ind w:left="360" w:hanging="360"/>
      </w:pPr>
      <w:rPr>
        <w:rFonts w:ascii="Symbol" w:hAnsi="Symbol" w:hint="default"/>
        <w:sz w:val="22"/>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9C817CF"/>
    <w:multiLevelType w:val="hybridMultilevel"/>
    <w:tmpl w:val="4FCCC65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2A0A0B08"/>
    <w:multiLevelType w:val="hybridMultilevel"/>
    <w:tmpl w:val="CA3E531A"/>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31D2D1A"/>
    <w:multiLevelType w:val="hybridMultilevel"/>
    <w:tmpl w:val="EDF46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146E76"/>
    <w:multiLevelType w:val="hybridMultilevel"/>
    <w:tmpl w:val="F796D27A"/>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2D1CE0"/>
    <w:multiLevelType w:val="hybridMultilevel"/>
    <w:tmpl w:val="CAD62C0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27D5"/>
    <w:multiLevelType w:val="hybridMultilevel"/>
    <w:tmpl w:val="A4DE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B6393"/>
    <w:multiLevelType w:val="hybridMultilevel"/>
    <w:tmpl w:val="A8A435C2"/>
    <w:lvl w:ilvl="0" w:tplc="AF5CCA70">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D3845E3"/>
    <w:multiLevelType w:val="hybridMultilevel"/>
    <w:tmpl w:val="41DE663E"/>
    <w:lvl w:ilvl="0" w:tplc="C58031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3A2DD8"/>
    <w:multiLevelType w:val="hybridMultilevel"/>
    <w:tmpl w:val="5FEC3BEE"/>
    <w:lvl w:ilvl="0" w:tplc="AF5CCA70">
      <w:numFmt w:val="bullet"/>
      <w:lvlText w:val=""/>
      <w:lvlJc w:val="left"/>
      <w:pPr>
        <w:ind w:left="360" w:hanging="360"/>
      </w:pPr>
      <w:rPr>
        <w:rFonts w:ascii="Symbol" w:hAnsi="Symbol" w:hint="default"/>
        <w:sz w:val="22"/>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0F10D53"/>
    <w:multiLevelType w:val="hybridMultilevel"/>
    <w:tmpl w:val="A8A435C2"/>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58F4509"/>
    <w:multiLevelType w:val="hybridMultilevel"/>
    <w:tmpl w:val="C050411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5B74F19"/>
    <w:multiLevelType w:val="hybridMultilevel"/>
    <w:tmpl w:val="8D5C82F2"/>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54C02A8"/>
    <w:multiLevelType w:val="hybridMultilevel"/>
    <w:tmpl w:val="13307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7442C"/>
    <w:multiLevelType w:val="hybridMultilevel"/>
    <w:tmpl w:val="3E18AA5C"/>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904900"/>
    <w:multiLevelType w:val="hybridMultilevel"/>
    <w:tmpl w:val="B6D8F0D4"/>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A02CD1"/>
    <w:multiLevelType w:val="hybridMultilevel"/>
    <w:tmpl w:val="CA3E531A"/>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5FD54C4F"/>
    <w:multiLevelType w:val="hybridMultilevel"/>
    <w:tmpl w:val="7D688CB0"/>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35A3B98"/>
    <w:multiLevelType w:val="hybridMultilevel"/>
    <w:tmpl w:val="D4A2DDAC"/>
    <w:lvl w:ilvl="0" w:tplc="E54290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4D1867"/>
    <w:multiLevelType w:val="hybridMultilevel"/>
    <w:tmpl w:val="C0504110"/>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4991041"/>
    <w:multiLevelType w:val="hybridMultilevel"/>
    <w:tmpl w:val="A6409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3A580E"/>
    <w:multiLevelType w:val="hybridMultilevel"/>
    <w:tmpl w:val="A06CDB80"/>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16615D1"/>
    <w:multiLevelType w:val="hybridMultilevel"/>
    <w:tmpl w:val="5AC8323C"/>
    <w:lvl w:ilvl="0" w:tplc="04090001">
      <w:start w:val="1"/>
      <w:numFmt w:val="bullet"/>
      <w:lvlText w:val=""/>
      <w:lvlJc w:val="left"/>
      <w:pPr>
        <w:ind w:left="720" w:hanging="360"/>
      </w:pPr>
      <w:rPr>
        <w:rFonts w:ascii="Symbol" w:hAnsi="Symbol" w:hint="default"/>
      </w:rPr>
    </w:lvl>
    <w:lvl w:ilvl="1" w:tplc="8046A16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17F87"/>
    <w:multiLevelType w:val="hybridMultilevel"/>
    <w:tmpl w:val="3E18AA5C"/>
    <w:lvl w:ilvl="0" w:tplc="AF5CCA70">
      <w:numFmt w:val="bullet"/>
      <w:lvlText w:val=""/>
      <w:lvlJc w:val="left"/>
      <w:pPr>
        <w:ind w:left="720" w:hanging="360"/>
      </w:pPr>
      <w:rPr>
        <w:rFonts w:ascii="Symbol" w:hAnsi="Symbol" w:hint="default"/>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5CB4014"/>
    <w:multiLevelType w:val="hybridMultilevel"/>
    <w:tmpl w:val="F796D27A"/>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5F50707"/>
    <w:multiLevelType w:val="hybridMultilevel"/>
    <w:tmpl w:val="7A78EDE6"/>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18"/>
  </w:num>
  <w:num w:numId="3">
    <w:abstractNumId w:val="35"/>
  </w:num>
  <w:num w:numId="4">
    <w:abstractNumId w:val="30"/>
  </w:num>
  <w:num w:numId="5">
    <w:abstractNumId w:val="40"/>
  </w:num>
  <w:num w:numId="6">
    <w:abstractNumId w:val="4"/>
  </w:num>
  <w:num w:numId="7">
    <w:abstractNumId w:val="31"/>
  </w:num>
  <w:num w:numId="8">
    <w:abstractNumId w:val="19"/>
  </w:num>
  <w:num w:numId="9">
    <w:abstractNumId w:val="9"/>
  </w:num>
  <w:num w:numId="10">
    <w:abstractNumId w:val="26"/>
  </w:num>
  <w:num w:numId="11">
    <w:abstractNumId w:val="29"/>
  </w:num>
  <w:num w:numId="12">
    <w:abstractNumId w:val="6"/>
  </w:num>
  <w:num w:numId="13">
    <w:abstractNumId w:val="28"/>
  </w:num>
  <w:num w:numId="14">
    <w:abstractNumId w:val="2"/>
  </w:num>
  <w:num w:numId="15">
    <w:abstractNumId w:val="48"/>
  </w:num>
  <w:num w:numId="16">
    <w:abstractNumId w:val="34"/>
  </w:num>
  <w:num w:numId="17">
    <w:abstractNumId w:val="46"/>
  </w:num>
  <w:num w:numId="18">
    <w:abstractNumId w:val="21"/>
  </w:num>
  <w:num w:numId="19">
    <w:abstractNumId w:val="36"/>
  </w:num>
  <w:num w:numId="20">
    <w:abstractNumId w:val="16"/>
  </w:num>
  <w:num w:numId="21">
    <w:abstractNumId w:val="47"/>
  </w:num>
  <w:num w:numId="22">
    <w:abstractNumId w:val="23"/>
  </w:num>
  <w:num w:numId="23">
    <w:abstractNumId w:val="44"/>
  </w:num>
  <w:num w:numId="24">
    <w:abstractNumId w:val="17"/>
  </w:num>
  <w:num w:numId="25">
    <w:abstractNumId w:val="39"/>
  </w:num>
  <w:num w:numId="26">
    <w:abstractNumId w:val="15"/>
  </w:num>
  <w:num w:numId="27">
    <w:abstractNumId w:val="8"/>
  </w:num>
  <w:num w:numId="28">
    <w:abstractNumId w:val="14"/>
  </w:num>
  <w:num w:numId="29">
    <w:abstractNumId w:val="10"/>
  </w:num>
  <w:num w:numId="30">
    <w:abstractNumId w:val="11"/>
  </w:num>
  <w:num w:numId="31">
    <w:abstractNumId w:val="24"/>
  </w:num>
  <w:num w:numId="32">
    <w:abstractNumId w:val="3"/>
  </w:num>
  <w:num w:numId="33">
    <w:abstractNumId w:val="33"/>
  </w:num>
  <w:num w:numId="34">
    <w:abstractNumId w:val="12"/>
  </w:num>
  <w:num w:numId="35">
    <w:abstractNumId w:val="20"/>
  </w:num>
  <w:num w:numId="36">
    <w:abstractNumId w:val="43"/>
  </w:num>
  <w:num w:numId="37">
    <w:abstractNumId w:val="27"/>
  </w:num>
  <w:num w:numId="38">
    <w:abstractNumId w:val="7"/>
  </w:num>
  <w:num w:numId="39">
    <w:abstractNumId w:val="22"/>
  </w:num>
  <w:num w:numId="40">
    <w:abstractNumId w:val="45"/>
  </w:num>
  <w:num w:numId="41">
    <w:abstractNumId w:val="25"/>
  </w:num>
  <w:num w:numId="42">
    <w:abstractNumId w:val="5"/>
  </w:num>
  <w:num w:numId="43">
    <w:abstractNumId w:val="32"/>
  </w:num>
  <w:num w:numId="44">
    <w:abstractNumId w:val="13"/>
  </w:num>
  <w:num w:numId="45">
    <w:abstractNumId w:val="37"/>
  </w:num>
  <w:num w:numId="46">
    <w:abstractNumId w:val="41"/>
  </w:num>
  <w:num w:numId="47">
    <w:abstractNumId w:val="38"/>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7F"/>
    <w:rsid w:val="0002510F"/>
    <w:rsid w:val="00032293"/>
    <w:rsid w:val="00057E7E"/>
    <w:rsid w:val="000A19D1"/>
    <w:rsid w:val="000B6209"/>
    <w:rsid w:val="000F4269"/>
    <w:rsid w:val="000F4B6F"/>
    <w:rsid w:val="00136C29"/>
    <w:rsid w:val="001456C2"/>
    <w:rsid w:val="00147CEC"/>
    <w:rsid w:val="00152624"/>
    <w:rsid w:val="001A2D12"/>
    <w:rsid w:val="001E398C"/>
    <w:rsid w:val="0020717B"/>
    <w:rsid w:val="00222CD2"/>
    <w:rsid w:val="00231111"/>
    <w:rsid w:val="002514B1"/>
    <w:rsid w:val="00273676"/>
    <w:rsid w:val="0027763A"/>
    <w:rsid w:val="002B1145"/>
    <w:rsid w:val="002B4DCC"/>
    <w:rsid w:val="002C223B"/>
    <w:rsid w:val="00310F7F"/>
    <w:rsid w:val="003712F5"/>
    <w:rsid w:val="003836BB"/>
    <w:rsid w:val="003B4D61"/>
    <w:rsid w:val="003C42DE"/>
    <w:rsid w:val="0043228C"/>
    <w:rsid w:val="004556D4"/>
    <w:rsid w:val="0046464E"/>
    <w:rsid w:val="004C1ADA"/>
    <w:rsid w:val="004D2021"/>
    <w:rsid w:val="004F2AC8"/>
    <w:rsid w:val="0050270B"/>
    <w:rsid w:val="00526A30"/>
    <w:rsid w:val="00551FBB"/>
    <w:rsid w:val="00576A1B"/>
    <w:rsid w:val="0059435E"/>
    <w:rsid w:val="005B5961"/>
    <w:rsid w:val="005C26EE"/>
    <w:rsid w:val="00601FAE"/>
    <w:rsid w:val="00607C92"/>
    <w:rsid w:val="006167CF"/>
    <w:rsid w:val="006218BD"/>
    <w:rsid w:val="00676A42"/>
    <w:rsid w:val="00696202"/>
    <w:rsid w:val="006A292E"/>
    <w:rsid w:val="006B2B80"/>
    <w:rsid w:val="006B5896"/>
    <w:rsid w:val="006D21F9"/>
    <w:rsid w:val="006E099E"/>
    <w:rsid w:val="006E747E"/>
    <w:rsid w:val="006F2F1F"/>
    <w:rsid w:val="007752EB"/>
    <w:rsid w:val="007804AA"/>
    <w:rsid w:val="007855E5"/>
    <w:rsid w:val="00794CDB"/>
    <w:rsid w:val="007E0454"/>
    <w:rsid w:val="007E1C11"/>
    <w:rsid w:val="007F033C"/>
    <w:rsid w:val="00814396"/>
    <w:rsid w:val="008217CD"/>
    <w:rsid w:val="0082647D"/>
    <w:rsid w:val="008512BB"/>
    <w:rsid w:val="00865F32"/>
    <w:rsid w:val="00873DF7"/>
    <w:rsid w:val="00886B88"/>
    <w:rsid w:val="008E6A72"/>
    <w:rsid w:val="00901BDF"/>
    <w:rsid w:val="00975B84"/>
    <w:rsid w:val="00976C88"/>
    <w:rsid w:val="009A2C3C"/>
    <w:rsid w:val="009B7AB7"/>
    <w:rsid w:val="009C1364"/>
    <w:rsid w:val="009C6DD7"/>
    <w:rsid w:val="009D28B0"/>
    <w:rsid w:val="009E4609"/>
    <w:rsid w:val="00A22FB8"/>
    <w:rsid w:val="00A5336D"/>
    <w:rsid w:val="00A66B73"/>
    <w:rsid w:val="00A942B0"/>
    <w:rsid w:val="00AA0CB0"/>
    <w:rsid w:val="00AF0822"/>
    <w:rsid w:val="00B23B74"/>
    <w:rsid w:val="00B23CB0"/>
    <w:rsid w:val="00B30398"/>
    <w:rsid w:val="00B365B4"/>
    <w:rsid w:val="00B43B9E"/>
    <w:rsid w:val="00BD3B8D"/>
    <w:rsid w:val="00BF61F7"/>
    <w:rsid w:val="00C416A9"/>
    <w:rsid w:val="00C6084E"/>
    <w:rsid w:val="00C638A0"/>
    <w:rsid w:val="00CB43AC"/>
    <w:rsid w:val="00CB579E"/>
    <w:rsid w:val="00CC4CF3"/>
    <w:rsid w:val="00CF77F1"/>
    <w:rsid w:val="00D1005D"/>
    <w:rsid w:val="00D139C7"/>
    <w:rsid w:val="00D2556E"/>
    <w:rsid w:val="00D44268"/>
    <w:rsid w:val="00D6680B"/>
    <w:rsid w:val="00D70C54"/>
    <w:rsid w:val="00D81822"/>
    <w:rsid w:val="00D90668"/>
    <w:rsid w:val="00D92D39"/>
    <w:rsid w:val="00DF1A47"/>
    <w:rsid w:val="00DF20CC"/>
    <w:rsid w:val="00E14DDB"/>
    <w:rsid w:val="00E22574"/>
    <w:rsid w:val="00E5554D"/>
    <w:rsid w:val="00E66A9A"/>
    <w:rsid w:val="00E909CC"/>
    <w:rsid w:val="00EC7F80"/>
    <w:rsid w:val="00ED72A3"/>
    <w:rsid w:val="00F053FA"/>
    <w:rsid w:val="00F250D2"/>
    <w:rsid w:val="00F52885"/>
    <w:rsid w:val="00F54024"/>
    <w:rsid w:val="00FD7C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8508A"/>
  <w15:docId w15:val="{F31A9B8B-956B-464E-AF17-AA63830F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9" w:unhideWhenUsed="1"/>
    <w:lsdException w:name="index 1" w:semiHidden="1"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0717B"/>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20717B"/>
  </w:style>
  <w:style w:type="paragraph" w:styleId="Heading2">
    <w:name w:val="heading 2"/>
    <w:basedOn w:val="Normal"/>
    <w:next w:val="Normal"/>
    <w:link w:val="Heading2Char"/>
    <w:uiPriority w:val="9"/>
    <w:unhideWhenUsed/>
    <w:qFormat/>
    <w:rsid w:val="0020717B"/>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0717B"/>
    <w:pPr>
      <w:keepNext/>
      <w:spacing w:before="240"/>
      <w:jc w:val="left"/>
      <w:outlineLvl w:val="2"/>
    </w:pPr>
    <w:rPr>
      <w:b/>
      <w:sz w:val="22"/>
      <w:szCs w:val="24"/>
    </w:rPr>
  </w:style>
  <w:style w:type="paragraph" w:styleId="Heading5">
    <w:name w:val="heading 5"/>
    <w:basedOn w:val="Normal"/>
    <w:next w:val="Normal"/>
    <w:link w:val="Heading5Char"/>
    <w:rsid w:val="00F053FA"/>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717B"/>
    <w:pPr>
      <w:spacing w:after="240"/>
      <w:ind w:left="720"/>
      <w:contextualSpacing/>
    </w:pPr>
    <w:rPr>
      <w:rFonts w:eastAsiaTheme="minorHAnsi" w:cstheme="minorBidi"/>
      <w:szCs w:val="22"/>
    </w:rPr>
  </w:style>
  <w:style w:type="table" w:styleId="TableGrid">
    <w:name w:val="Table Grid"/>
    <w:basedOn w:val="TableNormal"/>
    <w:uiPriority w:val="59"/>
    <w:rsid w:val="0020717B"/>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0717B"/>
    <w:pPr>
      <w:spacing w:after="0"/>
    </w:pPr>
    <w:rPr>
      <w:sz w:val="16"/>
      <w:szCs w:val="22"/>
    </w:rPr>
  </w:style>
  <w:style w:type="character" w:customStyle="1" w:styleId="FootnoteTextChar">
    <w:name w:val="Footnote Text Char"/>
    <w:basedOn w:val="DefaultParagraphFont"/>
    <w:link w:val="FootnoteText"/>
    <w:uiPriority w:val="99"/>
    <w:rsid w:val="0020717B"/>
    <w:rPr>
      <w:rFonts w:ascii="Arial" w:eastAsiaTheme="minorEastAsia" w:hAnsi="Arial" w:cs="Times New Roman"/>
      <w:sz w:val="16"/>
      <w:szCs w:val="22"/>
    </w:rPr>
  </w:style>
  <w:style w:type="character" w:styleId="FootnoteReference">
    <w:name w:val="footnote reference"/>
    <w:basedOn w:val="DefaultParagraphFont"/>
    <w:uiPriority w:val="99"/>
    <w:unhideWhenUsed/>
    <w:rsid w:val="0020717B"/>
    <w:rPr>
      <w:vertAlign w:val="superscript"/>
    </w:rPr>
  </w:style>
  <w:style w:type="character" w:customStyle="1" w:styleId="ListParagraphChar">
    <w:name w:val="List Paragraph Char"/>
    <w:basedOn w:val="DefaultParagraphFont"/>
    <w:link w:val="ListParagraph"/>
    <w:uiPriority w:val="34"/>
    <w:rsid w:val="0020717B"/>
    <w:rPr>
      <w:rFonts w:ascii="Arial" w:hAnsi="Arial"/>
      <w:sz w:val="20"/>
      <w:szCs w:val="22"/>
    </w:rPr>
  </w:style>
  <w:style w:type="paragraph" w:styleId="BalloonText">
    <w:name w:val="Balloon Text"/>
    <w:basedOn w:val="Normal"/>
    <w:link w:val="BalloonTextChar"/>
    <w:uiPriority w:val="99"/>
    <w:unhideWhenUsed/>
    <w:rsid w:val="0020717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20717B"/>
    <w:rPr>
      <w:rFonts w:ascii="Lucida Grande" w:eastAsiaTheme="minorEastAsia" w:hAnsi="Lucida Grande" w:cs="Lucida Grande"/>
      <w:sz w:val="18"/>
      <w:szCs w:val="18"/>
    </w:rPr>
  </w:style>
  <w:style w:type="paragraph" w:styleId="Header">
    <w:name w:val="header"/>
    <w:basedOn w:val="Normal"/>
    <w:link w:val="HeaderChar"/>
    <w:uiPriority w:val="99"/>
    <w:unhideWhenUsed/>
    <w:rsid w:val="0020717B"/>
    <w:pPr>
      <w:spacing w:after="0" w:line="288" w:lineRule="auto"/>
      <w:jc w:val="left"/>
    </w:pPr>
    <w:rPr>
      <w:sz w:val="16"/>
    </w:rPr>
  </w:style>
  <w:style w:type="character" w:customStyle="1" w:styleId="HeaderChar">
    <w:name w:val="Header Char"/>
    <w:basedOn w:val="DefaultParagraphFont"/>
    <w:link w:val="Header"/>
    <w:uiPriority w:val="99"/>
    <w:rsid w:val="0020717B"/>
    <w:rPr>
      <w:rFonts w:ascii="Arial" w:eastAsiaTheme="minorEastAsia" w:hAnsi="Arial" w:cs="Times New Roman"/>
      <w:sz w:val="16"/>
      <w:szCs w:val="20"/>
    </w:rPr>
  </w:style>
  <w:style w:type="paragraph" w:styleId="Footer">
    <w:name w:val="footer"/>
    <w:basedOn w:val="Normal"/>
    <w:link w:val="FooterChar"/>
    <w:uiPriority w:val="99"/>
    <w:unhideWhenUsed/>
    <w:rsid w:val="0020717B"/>
    <w:pPr>
      <w:spacing w:after="0"/>
      <w:jc w:val="left"/>
    </w:pPr>
    <w:rPr>
      <w:sz w:val="16"/>
      <w:szCs w:val="18"/>
    </w:rPr>
  </w:style>
  <w:style w:type="character" w:customStyle="1" w:styleId="FooterChar">
    <w:name w:val="Footer Char"/>
    <w:basedOn w:val="DefaultParagraphFont"/>
    <w:link w:val="Footer"/>
    <w:uiPriority w:val="99"/>
    <w:rsid w:val="0020717B"/>
    <w:rPr>
      <w:rFonts w:ascii="Arial" w:eastAsiaTheme="minorEastAsia" w:hAnsi="Arial" w:cs="Times New Roman"/>
      <w:sz w:val="16"/>
      <w:szCs w:val="18"/>
    </w:rPr>
  </w:style>
  <w:style w:type="paragraph" w:customStyle="1" w:styleId="Default">
    <w:name w:val="Default"/>
    <w:rsid w:val="0020717B"/>
    <w:pPr>
      <w:widowControl w:val="0"/>
      <w:autoSpaceDE w:val="0"/>
      <w:autoSpaceDN w:val="0"/>
      <w:adjustRightInd w:val="0"/>
    </w:pPr>
    <w:rPr>
      <w:rFonts w:ascii="Arial" w:eastAsiaTheme="minorEastAsia" w:hAnsi="Arial" w:cs="Arial"/>
      <w:color w:val="000000"/>
    </w:rPr>
  </w:style>
  <w:style w:type="paragraph" w:styleId="CommentText">
    <w:name w:val="annotation text"/>
    <w:basedOn w:val="Normal"/>
    <w:link w:val="CommentTextChar"/>
    <w:uiPriority w:val="99"/>
    <w:unhideWhenUsed/>
    <w:rsid w:val="00E14DDB"/>
    <w:rPr>
      <w:rFonts w:asciiTheme="minorHAnsi" w:hAnsiTheme="minorHAnsi"/>
    </w:rPr>
  </w:style>
  <w:style w:type="character" w:customStyle="1" w:styleId="CommentTextChar">
    <w:name w:val="Comment Text Char"/>
    <w:basedOn w:val="DefaultParagraphFont"/>
    <w:link w:val="CommentText"/>
    <w:uiPriority w:val="99"/>
    <w:rsid w:val="00E14DDB"/>
    <w:rPr>
      <w:rFonts w:eastAsiaTheme="minorEastAsia"/>
    </w:rPr>
  </w:style>
  <w:style w:type="character" w:customStyle="1" w:styleId="Heading1Char">
    <w:name w:val="Heading 1 Char"/>
    <w:basedOn w:val="DefaultParagraphFont"/>
    <w:link w:val="Heading1"/>
    <w:uiPriority w:val="9"/>
    <w:rsid w:val="0020717B"/>
    <w:rPr>
      <w:rFonts w:ascii="Arial" w:eastAsiaTheme="minorEastAsia" w:hAnsi="Arial" w:cs="Times New Roman"/>
      <w:b/>
      <w:sz w:val="40"/>
      <w:szCs w:val="52"/>
    </w:rPr>
  </w:style>
  <w:style w:type="character" w:styleId="Hyperlink">
    <w:name w:val="Hyperlink"/>
    <w:basedOn w:val="DefaultParagraphFont"/>
    <w:uiPriority w:val="99"/>
    <w:unhideWhenUsed/>
    <w:rsid w:val="0020717B"/>
    <w:rPr>
      <w:color w:val="0000FF" w:themeColor="hyperlink"/>
      <w:u w:val="single"/>
    </w:rPr>
  </w:style>
  <w:style w:type="character" w:customStyle="1" w:styleId="Heading5Char">
    <w:name w:val="Heading 5 Char"/>
    <w:basedOn w:val="DefaultParagraphFont"/>
    <w:link w:val="Heading5"/>
    <w:rsid w:val="00F053FA"/>
    <w:rPr>
      <w:rFonts w:asciiTheme="majorHAnsi" w:eastAsiaTheme="majorEastAsia" w:hAnsiTheme="majorHAnsi" w:cstheme="majorBidi"/>
      <w:color w:val="243F60" w:themeColor="accent1" w:themeShade="7F"/>
      <w:lang w:val="en-GB"/>
    </w:rPr>
  </w:style>
  <w:style w:type="character" w:styleId="FollowedHyperlink">
    <w:name w:val="FollowedHyperlink"/>
    <w:basedOn w:val="DefaultParagraphFont"/>
    <w:uiPriority w:val="99"/>
    <w:unhideWhenUsed/>
    <w:rsid w:val="0020717B"/>
    <w:rPr>
      <w:color w:val="800080" w:themeColor="followedHyperlink"/>
      <w:u w:val="single"/>
    </w:rPr>
  </w:style>
  <w:style w:type="character" w:styleId="CommentReference">
    <w:name w:val="annotation reference"/>
    <w:basedOn w:val="DefaultParagraphFont"/>
    <w:uiPriority w:val="99"/>
    <w:semiHidden/>
    <w:unhideWhenUsed/>
    <w:rsid w:val="0020717B"/>
    <w:rPr>
      <w:sz w:val="18"/>
      <w:szCs w:val="18"/>
    </w:rPr>
  </w:style>
  <w:style w:type="paragraph" w:styleId="CommentSubject">
    <w:name w:val="annotation subject"/>
    <w:basedOn w:val="Normal"/>
    <w:link w:val="CommentSubjectChar"/>
    <w:uiPriority w:val="99"/>
    <w:semiHidden/>
    <w:unhideWhenUsed/>
    <w:rsid w:val="0020717B"/>
    <w:rPr>
      <w:b/>
      <w:bCs/>
    </w:rPr>
  </w:style>
  <w:style w:type="character" w:customStyle="1" w:styleId="CommentSubjectChar">
    <w:name w:val="Comment Subject Char"/>
    <w:basedOn w:val="DefaultParagraphFont"/>
    <w:link w:val="CommentSubject"/>
    <w:uiPriority w:val="99"/>
    <w:semiHidden/>
    <w:rsid w:val="0020717B"/>
    <w:rPr>
      <w:rFonts w:ascii="Arial" w:eastAsiaTheme="minorEastAsia" w:hAnsi="Arial" w:cs="Times New Roman"/>
      <w:b/>
      <w:bCs/>
      <w:sz w:val="20"/>
      <w:szCs w:val="20"/>
    </w:rPr>
  </w:style>
  <w:style w:type="character" w:customStyle="1" w:styleId="Heading2Char">
    <w:name w:val="Heading 2 Char"/>
    <w:basedOn w:val="DefaultParagraphFont"/>
    <w:link w:val="Heading2"/>
    <w:uiPriority w:val="9"/>
    <w:rsid w:val="0020717B"/>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20717B"/>
    <w:rPr>
      <w:rFonts w:ascii="Arial" w:eastAsiaTheme="minorEastAsia" w:hAnsi="Arial" w:cs="Times New Roman"/>
      <w:b/>
      <w:sz w:val="22"/>
    </w:rPr>
  </w:style>
  <w:style w:type="character" w:styleId="PageNumber">
    <w:name w:val="page number"/>
    <w:basedOn w:val="DefaultParagraphFont"/>
    <w:uiPriority w:val="99"/>
    <w:unhideWhenUsed/>
    <w:rsid w:val="0020717B"/>
    <w:rPr>
      <w:b/>
    </w:rPr>
  </w:style>
  <w:style w:type="paragraph" w:styleId="Revision">
    <w:name w:val="Revision"/>
    <w:hidden/>
    <w:uiPriority w:val="99"/>
    <w:semiHidden/>
    <w:rsid w:val="0020717B"/>
    <w:rPr>
      <w:rFonts w:ascii="Arial" w:eastAsiaTheme="minorEastAsia" w:hAnsi="Arial" w:cs="Arial"/>
      <w:sz w:val="21"/>
      <w:szCs w:val="21"/>
    </w:rPr>
  </w:style>
  <w:style w:type="paragraph" w:customStyle="1" w:styleId="BasicParagraph">
    <w:name w:val="[Basic Paragraph]"/>
    <w:basedOn w:val="Normal"/>
    <w:uiPriority w:val="99"/>
    <w:rsid w:val="0020717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0717B"/>
    <w:pPr>
      <w:spacing w:before="360" w:after="240"/>
      <w:jc w:val="left"/>
      <w:outlineLvl w:val="0"/>
    </w:pPr>
    <w:rPr>
      <w:b/>
      <w:sz w:val="40"/>
      <w:szCs w:val="52"/>
    </w:rPr>
  </w:style>
  <w:style w:type="paragraph" w:customStyle="1" w:styleId="Bullet1">
    <w:name w:val="Bullet 1"/>
    <w:basedOn w:val="Normal"/>
    <w:rsid w:val="0020717B"/>
    <w:pPr>
      <w:numPr>
        <w:numId w:val="44"/>
      </w:numPr>
      <w:spacing w:before="60"/>
    </w:pPr>
    <w:rPr>
      <w:rFonts w:eastAsia="Times New Roman"/>
      <w:color w:val="000000"/>
    </w:rPr>
  </w:style>
  <w:style w:type="paragraph" w:customStyle="1" w:styleId="RefItem1">
    <w:name w:val="Ref Item 1"/>
    <w:basedOn w:val="Normal"/>
    <w:rsid w:val="0020717B"/>
    <w:pPr>
      <w:jc w:val="left"/>
    </w:pPr>
    <w:rPr>
      <w:color w:val="000000"/>
      <w:szCs w:val="24"/>
      <w:lang w:eastAsia="it-IT"/>
    </w:rPr>
  </w:style>
  <w:style w:type="paragraph" w:customStyle="1" w:styleId="RefTitre">
    <w:name w:val="Ref Titre"/>
    <w:basedOn w:val="Normal"/>
    <w:rsid w:val="0020717B"/>
    <w:pPr>
      <w:jc w:val="left"/>
    </w:pPr>
    <w:rPr>
      <w:rFonts w:eastAsia="Times New Roman"/>
      <w:b/>
      <w:bCs/>
      <w:sz w:val="26"/>
      <w:szCs w:val="26"/>
    </w:rPr>
  </w:style>
  <w:style w:type="paragraph" w:customStyle="1" w:styleId="Header1">
    <w:name w:val="Header 1"/>
    <w:basedOn w:val="Header"/>
    <w:rsid w:val="0020717B"/>
    <w:rPr>
      <w:b/>
      <w:sz w:val="24"/>
      <w:szCs w:val="24"/>
    </w:rPr>
  </w:style>
  <w:style w:type="character" w:customStyle="1" w:styleId="Pantone485">
    <w:name w:val="Pantone 485"/>
    <w:basedOn w:val="DefaultParagraphFont"/>
    <w:uiPriority w:val="1"/>
    <w:qFormat/>
    <w:rsid w:val="0020717B"/>
    <w:rPr>
      <w:rFonts w:cs="Caecilia-Light"/>
      <w:color w:val="DC281E"/>
      <w:szCs w:val="16"/>
    </w:rPr>
  </w:style>
  <w:style w:type="character" w:customStyle="1" w:styleId="H1Char">
    <w:name w:val="H1 Char"/>
    <w:basedOn w:val="DefaultParagraphFont"/>
    <w:link w:val="H1"/>
    <w:rsid w:val="0020717B"/>
    <w:rPr>
      <w:rFonts w:ascii="Arial" w:eastAsiaTheme="minorEastAsia" w:hAnsi="Arial" w:cs="Times New Roman"/>
      <w:b/>
      <w:sz w:val="40"/>
      <w:szCs w:val="52"/>
    </w:rPr>
  </w:style>
  <w:style w:type="table" w:customStyle="1" w:styleId="TableGray">
    <w:name w:val="Table Gray"/>
    <w:basedOn w:val="TableNormal"/>
    <w:uiPriority w:val="99"/>
    <w:rsid w:val="0020717B"/>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0717B"/>
    <w:pPr>
      <w:numPr>
        <w:numId w:val="45"/>
      </w:numPr>
      <w:tabs>
        <w:tab w:val="left" w:pos="7230"/>
      </w:tabs>
      <w:spacing w:before="240"/>
    </w:pPr>
    <w:rPr>
      <w:rFonts w:cs="Arial"/>
    </w:rPr>
  </w:style>
  <w:style w:type="paragraph" w:customStyle="1" w:styleId="ListNumber1">
    <w:name w:val="List Number 1"/>
    <w:basedOn w:val="Normal"/>
    <w:rsid w:val="0020717B"/>
    <w:pPr>
      <w:numPr>
        <w:ilvl w:val="1"/>
        <w:numId w:val="42"/>
      </w:numPr>
      <w:contextualSpacing/>
    </w:pPr>
    <w:rPr>
      <w:rFonts w:eastAsiaTheme="minorHAnsi" w:cstheme="minorHAnsi"/>
      <w:szCs w:val="22"/>
    </w:rPr>
  </w:style>
  <w:style w:type="paragraph" w:customStyle="1" w:styleId="NormalNo">
    <w:name w:val="Normal + No"/>
    <w:basedOn w:val="Normal"/>
    <w:qFormat/>
    <w:rsid w:val="0020717B"/>
    <w:pPr>
      <w:numPr>
        <w:numId w:val="43"/>
      </w:numPr>
    </w:pPr>
    <w:rPr>
      <w:rFonts w:eastAsia="MS Mincho"/>
      <w:b/>
      <w:sz w:val="22"/>
    </w:rPr>
  </w:style>
  <w:style w:type="paragraph" w:customStyle="1" w:styleId="Bullet3">
    <w:name w:val="Bullet 3"/>
    <w:basedOn w:val="ListParagraph"/>
    <w:qFormat/>
    <w:rsid w:val="0020717B"/>
    <w:pPr>
      <w:numPr>
        <w:numId w:val="46"/>
      </w:numPr>
      <w:spacing w:before="120" w:after="120"/>
      <w:ind w:right="425"/>
    </w:pPr>
    <w:rPr>
      <w:rFonts w:cs="Arial"/>
      <w:i/>
      <w:iCs/>
    </w:rPr>
  </w:style>
  <w:style w:type="paragraph" w:customStyle="1" w:styleId="Indent">
    <w:name w:val="Indent"/>
    <w:basedOn w:val="Normal"/>
    <w:qFormat/>
    <w:rsid w:val="0020717B"/>
    <w:pPr>
      <w:ind w:left="567"/>
    </w:pPr>
    <w:rPr>
      <w:rFonts w:cs="Arial"/>
      <w:b/>
    </w:rPr>
  </w:style>
  <w:style w:type="paragraph" w:customStyle="1" w:styleId="TitreTableau">
    <w:name w:val="Titre Tableau"/>
    <w:basedOn w:val="Normal"/>
    <w:qFormat/>
    <w:rsid w:val="0020717B"/>
    <w:pPr>
      <w:spacing w:before="120"/>
      <w:jc w:val="center"/>
    </w:pPr>
    <w:rPr>
      <w:rFonts w:cs="Arial"/>
      <w:b/>
      <w:bCs/>
      <w:color w:val="FFFFFF" w:themeColor="background1"/>
      <w:lang w:val="en-CA"/>
    </w:rPr>
  </w:style>
  <w:style w:type="paragraph" w:customStyle="1" w:styleId="BulletTableau">
    <w:name w:val="Bullet Tableau"/>
    <w:basedOn w:val="Bullet2"/>
    <w:qFormat/>
    <w:rsid w:val="0020717B"/>
    <w:pPr>
      <w:keepNext/>
      <w:keepLines/>
      <w:framePr w:hSpace="141" w:wrap="around" w:vAnchor="text" w:hAnchor="margin" w:y="402"/>
      <w:numPr>
        <w:numId w:val="47"/>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9335">
      <w:bodyDiv w:val="1"/>
      <w:marLeft w:val="0"/>
      <w:marRight w:val="0"/>
      <w:marTop w:val="0"/>
      <w:marBottom w:val="0"/>
      <w:divBdr>
        <w:top w:val="none" w:sz="0" w:space="0" w:color="auto"/>
        <w:left w:val="none" w:sz="0" w:space="0" w:color="auto"/>
        <w:bottom w:val="none" w:sz="0" w:space="0" w:color="auto"/>
        <w:right w:val="none" w:sz="0" w:space="0" w:color="auto"/>
      </w:divBdr>
    </w:div>
    <w:div w:id="168565393">
      <w:bodyDiv w:val="1"/>
      <w:marLeft w:val="0"/>
      <w:marRight w:val="0"/>
      <w:marTop w:val="0"/>
      <w:marBottom w:val="0"/>
      <w:divBdr>
        <w:top w:val="none" w:sz="0" w:space="0" w:color="auto"/>
        <w:left w:val="none" w:sz="0" w:space="0" w:color="auto"/>
        <w:bottom w:val="none" w:sz="0" w:space="0" w:color="auto"/>
        <w:right w:val="none" w:sz="0" w:space="0" w:color="auto"/>
      </w:divBdr>
    </w:div>
    <w:div w:id="335619331">
      <w:bodyDiv w:val="1"/>
      <w:marLeft w:val="0"/>
      <w:marRight w:val="0"/>
      <w:marTop w:val="0"/>
      <w:marBottom w:val="0"/>
      <w:divBdr>
        <w:top w:val="none" w:sz="0" w:space="0" w:color="auto"/>
        <w:left w:val="none" w:sz="0" w:space="0" w:color="auto"/>
        <w:bottom w:val="none" w:sz="0" w:space="0" w:color="auto"/>
        <w:right w:val="none" w:sz="0" w:space="0" w:color="auto"/>
      </w:divBdr>
    </w:div>
    <w:div w:id="980379860">
      <w:bodyDiv w:val="1"/>
      <w:marLeft w:val="0"/>
      <w:marRight w:val="0"/>
      <w:marTop w:val="0"/>
      <w:marBottom w:val="0"/>
      <w:divBdr>
        <w:top w:val="none" w:sz="0" w:space="0" w:color="auto"/>
        <w:left w:val="none" w:sz="0" w:space="0" w:color="auto"/>
        <w:bottom w:val="none" w:sz="0" w:space="0" w:color="auto"/>
        <w:right w:val="none" w:sz="0" w:space="0" w:color="auto"/>
      </w:divBdr>
    </w:div>
    <w:div w:id="1290237935">
      <w:bodyDiv w:val="1"/>
      <w:marLeft w:val="0"/>
      <w:marRight w:val="0"/>
      <w:marTop w:val="0"/>
      <w:marBottom w:val="0"/>
      <w:divBdr>
        <w:top w:val="none" w:sz="0" w:space="0" w:color="auto"/>
        <w:left w:val="none" w:sz="0" w:space="0" w:color="auto"/>
        <w:bottom w:val="none" w:sz="0" w:space="0" w:color="auto"/>
        <w:right w:val="none" w:sz="0" w:space="0" w:color="auto"/>
      </w:divBdr>
    </w:div>
    <w:div w:id="1436515835">
      <w:bodyDiv w:val="1"/>
      <w:marLeft w:val="0"/>
      <w:marRight w:val="0"/>
      <w:marTop w:val="0"/>
      <w:marBottom w:val="0"/>
      <w:divBdr>
        <w:top w:val="none" w:sz="0" w:space="0" w:color="auto"/>
        <w:left w:val="none" w:sz="0" w:space="0" w:color="auto"/>
        <w:bottom w:val="none" w:sz="0" w:space="0" w:color="auto"/>
        <w:right w:val="none" w:sz="0" w:space="0" w:color="auto"/>
      </w:divBdr>
    </w:div>
    <w:div w:id="1560172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c.org/Global/Publications/disasters/finance/cash-guidelines-e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cho/files/policies/sectoral/concept_paper_common_top_line_principles_en.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ashlearning.org/mpg-toolkit/" TargetMode="External"/><Relationship Id="rId4" Type="http://schemas.openxmlformats.org/officeDocument/2006/relationships/webSettings" Target="webSettings.xml"/><Relationship Id="rId9" Type="http://schemas.openxmlformats.org/officeDocument/2006/relationships/hyperlink" Target="http://www.odihpn.org/documents%2Fgpr11.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4</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Claire HOLMAN</cp:lastModifiedBy>
  <cp:revision>5</cp:revision>
  <cp:lastPrinted>2015-09-23T22:14:00Z</cp:lastPrinted>
  <dcterms:created xsi:type="dcterms:W3CDTF">2016-08-02T14:11:00Z</dcterms:created>
  <dcterms:modified xsi:type="dcterms:W3CDTF">2017-02-23T12:26:00Z</dcterms:modified>
</cp:coreProperties>
</file>