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FD027" w14:textId="0FC59697" w:rsidR="00B403C3" w:rsidRPr="0095563D" w:rsidRDefault="009D3DBA" w:rsidP="00001BB0">
      <w:pPr>
        <w:pStyle w:val="H1"/>
      </w:pPr>
      <w:r>
        <w:t>Roadmap f</w:t>
      </w:r>
      <w:r w:rsidR="0062030E" w:rsidRPr="0095563D">
        <w:t>or</w:t>
      </w:r>
      <w:r w:rsidR="00921488">
        <w:t xml:space="preserve"> cash feasibility,</w:t>
      </w:r>
      <w:r w:rsidR="0062030E" w:rsidRPr="0095563D">
        <w:t xml:space="preserve"> </w:t>
      </w:r>
      <w:r w:rsidR="00CE2101">
        <w:t>modality and mechanism selection</w:t>
      </w:r>
    </w:p>
    <w:p w14:paraId="2BC28321" w14:textId="776FE16D" w:rsidR="00964484" w:rsidRDefault="0072275B" w:rsidP="00964484">
      <w:pPr>
        <w:spacing w:before="240" w:after="240"/>
        <w:ind w:left="-170"/>
        <w:rPr>
          <w:b/>
          <w:szCs w:val="22"/>
        </w:rPr>
      </w:pPr>
      <w:r>
        <w:rPr>
          <w:b/>
          <w:szCs w:val="22"/>
        </w:rPr>
        <w:pict w14:anchorId="42705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49.25pt">
            <v:imagedata r:id="rId7" o:title="03B-Response Analysis-rodmap-EN"/>
          </v:shape>
        </w:pict>
      </w:r>
    </w:p>
    <w:p w14:paraId="37EA9B48" w14:textId="22C23878" w:rsidR="00F823B7" w:rsidRDefault="007D1A58" w:rsidP="009E1F1B">
      <w:pPr>
        <w:pStyle w:val="Heading2"/>
      </w:pPr>
      <w:r w:rsidRPr="007E00C6">
        <w:t>INTRODUCTION</w:t>
      </w:r>
    </w:p>
    <w:p w14:paraId="11271192" w14:textId="2E4741D9" w:rsidR="006D4598" w:rsidRPr="001866D4" w:rsidRDefault="006D4598" w:rsidP="00964484">
      <w:r w:rsidRPr="001866D4">
        <w:t>This road</w:t>
      </w:r>
      <w:r w:rsidR="00A53101" w:rsidRPr="001866D4">
        <w:t xml:space="preserve"> </w:t>
      </w:r>
      <w:r w:rsidRPr="001866D4">
        <w:t>map will guide you through the process of</w:t>
      </w:r>
      <w:r w:rsidR="00D31A90" w:rsidRPr="001866D4">
        <w:t xml:space="preserve"> cash feasibility and</w:t>
      </w:r>
      <w:r w:rsidRPr="001866D4">
        <w:t xml:space="preserve"> selecting the </w:t>
      </w:r>
      <w:r w:rsidR="001866D4" w:rsidRPr="00A76B49">
        <w:t>response</w:t>
      </w:r>
      <w:r w:rsidRPr="001866D4">
        <w:t xml:space="preserve"> modalities and mechanisms</w:t>
      </w:r>
      <w:r w:rsidRPr="001866D4">
        <w:rPr>
          <w:rFonts w:cs="O¯øœ!Ÿ"/>
        </w:rPr>
        <w:t xml:space="preserve"> that best meet the objectives established for the emergency response</w:t>
      </w:r>
      <w:r w:rsidRPr="001866D4">
        <w:t>.</w:t>
      </w:r>
    </w:p>
    <w:p w14:paraId="22D9D440" w14:textId="234A899B" w:rsidR="006D4598" w:rsidRDefault="006D4598" w:rsidP="00964484">
      <w:r>
        <w:t>The road</w:t>
      </w:r>
      <w:r w:rsidR="00A53101">
        <w:t xml:space="preserve"> </w:t>
      </w:r>
      <w:r>
        <w:t>map also provides suggestions on</w:t>
      </w:r>
      <w:r w:rsidRPr="009164AC">
        <w:t xml:space="preserve"> </w:t>
      </w:r>
      <w:r>
        <w:t>which CiE tools are most useful for this step and sub-steps. The tools will need to be adapted to your need and context</w:t>
      </w:r>
      <w:r w:rsidR="007546E7">
        <w:t>.</w:t>
      </w:r>
      <w:r>
        <w:t xml:space="preserve"> </w:t>
      </w:r>
    </w:p>
    <w:p w14:paraId="19B0564C" w14:textId="4A38EB4A" w:rsidR="006D4598" w:rsidRDefault="006D4598" w:rsidP="00964484">
      <w:pPr>
        <w:rPr>
          <w:rFonts w:cs="O¯øœ!Ÿ"/>
        </w:rPr>
      </w:pPr>
      <w:r>
        <w:t>You should always aim to</w:t>
      </w:r>
      <w:r w:rsidRPr="009164AC">
        <w:rPr>
          <w:rFonts w:cs="O¯øœ!Ÿ"/>
        </w:rPr>
        <w:t xml:space="preserve"> comply with the minimum</w:t>
      </w:r>
      <w:r>
        <w:rPr>
          <w:rFonts w:cs="O¯øœ!Ÿ"/>
        </w:rPr>
        <w:t xml:space="preserve"> standards listed under this step, as this will contribute to the quality of your CTP response. </w:t>
      </w:r>
    </w:p>
    <w:p w14:paraId="1CEB5A2F" w14:textId="77777777" w:rsidR="006D4598" w:rsidRDefault="006D4598" w:rsidP="00964484">
      <w:r>
        <w:t xml:space="preserve">It is likely that you will need to </w:t>
      </w:r>
      <w:r w:rsidRPr="00B04ECE">
        <w:rPr>
          <w:b/>
        </w:rPr>
        <w:t>move back and forth</w:t>
      </w:r>
      <w:r w:rsidRPr="00BF7666">
        <w:t xml:space="preserve"> between the different </w:t>
      </w:r>
      <w:r>
        <w:t>sub-</w:t>
      </w:r>
      <w:r w:rsidRPr="00BF7666">
        <w:t>s</w:t>
      </w:r>
      <w:r>
        <w:t>teps to guide your decision-making as information and processes are completed and feed into each sub-step.</w:t>
      </w:r>
    </w:p>
    <w:p w14:paraId="0BEF75E0" w14:textId="1CD6E679" w:rsidR="006D4598" w:rsidRPr="00964484" w:rsidRDefault="006D4598" w:rsidP="00964484">
      <w:pPr>
        <w:spacing w:after="360"/>
      </w:pPr>
      <w:r>
        <w:rPr>
          <w:rFonts w:cs="O¯øœ!Ÿ"/>
        </w:rPr>
        <w:t xml:space="preserve">If you need more detailed guidance </w:t>
      </w:r>
      <w:r w:rsidRPr="009164AC">
        <w:rPr>
          <w:rFonts w:cs="O¯øœ!Ÿ"/>
        </w:rPr>
        <w:t>on</w:t>
      </w:r>
      <w:r w:rsidR="00F33AE7">
        <w:rPr>
          <w:rFonts w:cs="O¯øœ!Ÿ"/>
        </w:rPr>
        <w:t xml:space="preserve"> cash feasibility,</w:t>
      </w:r>
      <w:r w:rsidRPr="009164AC">
        <w:rPr>
          <w:rFonts w:cs="O¯øœ!Ÿ"/>
        </w:rPr>
        <w:t xml:space="preserve"> </w:t>
      </w:r>
      <w:r>
        <w:rPr>
          <w:rFonts w:cs="O¯øœ!Ÿ"/>
        </w:rPr>
        <w:t xml:space="preserve">modality and mechanism selection, consult the </w:t>
      </w:r>
      <w:r w:rsidRPr="00964484">
        <w:t xml:space="preserve">reference documents </w:t>
      </w:r>
      <w:r w:rsidRPr="008C7AE1">
        <w:rPr>
          <w:rFonts w:cs="O¯øœ!Ÿ"/>
        </w:rPr>
        <w:t>suggested at the end of this road</w:t>
      </w:r>
      <w:r w:rsidR="00157970">
        <w:rPr>
          <w:rFonts w:cs="O¯øœ!Ÿ"/>
        </w:rPr>
        <w:t xml:space="preserve"> </w:t>
      </w:r>
      <w:r w:rsidRPr="008C7AE1">
        <w:rPr>
          <w:rFonts w:cs="O¯øœ!Ÿ"/>
        </w:rPr>
        <w:t>map.</w:t>
      </w:r>
    </w:p>
    <w:p w14:paraId="7E209697" w14:textId="77777777" w:rsidR="007D1A58" w:rsidRPr="007E00C6" w:rsidRDefault="007D1A58" w:rsidP="00964484">
      <w:pPr>
        <w:pStyle w:val="Heading2"/>
      </w:pPr>
      <w:r w:rsidRPr="007E00C6">
        <w:t>MINIMUM STANDARDS</w:t>
      </w:r>
    </w:p>
    <w:p w14:paraId="3E91F75B" w14:textId="1A55EF63" w:rsidR="008F586F" w:rsidRPr="00A76B49" w:rsidRDefault="008F586F" w:rsidP="008F586F">
      <w:pPr>
        <w:pStyle w:val="ListParagraph"/>
        <w:numPr>
          <w:ilvl w:val="0"/>
          <w:numId w:val="14"/>
        </w:numPr>
        <w:spacing w:after="60"/>
        <w:contextualSpacing w:val="0"/>
        <w:jc w:val="left"/>
        <w:rPr>
          <w:rFonts w:eastAsia="Times New Roman" w:cs="Arial"/>
          <w:color w:val="000000"/>
          <w:szCs w:val="24"/>
        </w:rPr>
      </w:pPr>
      <w:r>
        <w:t>Multipurpose cash grants should be considered among the potential response options from the beginning.</w:t>
      </w:r>
    </w:p>
    <w:p w14:paraId="3AC37AF9" w14:textId="7EB5E4E4" w:rsidR="007D1A58" w:rsidRPr="00964484" w:rsidRDefault="001866D4" w:rsidP="007D1A58">
      <w:pPr>
        <w:pStyle w:val="ListParagraph"/>
        <w:numPr>
          <w:ilvl w:val="0"/>
          <w:numId w:val="14"/>
        </w:numPr>
        <w:spacing w:after="60"/>
        <w:contextualSpacing w:val="0"/>
        <w:jc w:val="left"/>
        <w:rPr>
          <w:rFonts w:eastAsia="Times New Roman" w:cs="Arial"/>
          <w:color w:val="000000"/>
          <w:szCs w:val="24"/>
        </w:rPr>
      </w:pPr>
      <w:r w:rsidRPr="00A76B49">
        <w:rPr>
          <w:rFonts w:eastAsia="Times New Roman" w:cs="Arial"/>
          <w:color w:val="000000"/>
          <w:szCs w:val="24"/>
        </w:rPr>
        <w:t>Response m</w:t>
      </w:r>
      <w:r w:rsidR="007D1A58" w:rsidRPr="00964484">
        <w:rPr>
          <w:rFonts w:eastAsia="Times New Roman" w:cs="Arial"/>
          <w:color w:val="000000"/>
          <w:szCs w:val="24"/>
        </w:rPr>
        <w:t>odality and mechanism selection should be based on a comparative analysis</w:t>
      </w:r>
    </w:p>
    <w:p w14:paraId="78517E64" w14:textId="77777777" w:rsidR="007D1A58" w:rsidRPr="00964484" w:rsidRDefault="007D1A58" w:rsidP="007D1A58">
      <w:pPr>
        <w:pStyle w:val="ListParagraph"/>
        <w:numPr>
          <w:ilvl w:val="0"/>
          <w:numId w:val="14"/>
        </w:numPr>
        <w:spacing w:after="60"/>
        <w:contextualSpacing w:val="0"/>
        <w:jc w:val="left"/>
        <w:rPr>
          <w:rFonts w:eastAsia="Times New Roman" w:cs="Arial"/>
          <w:szCs w:val="24"/>
        </w:rPr>
      </w:pPr>
      <w:r w:rsidRPr="00964484">
        <w:rPr>
          <w:rFonts w:eastAsia="Times New Roman" w:cs="Arial"/>
          <w:szCs w:val="24"/>
        </w:rPr>
        <w:t>Comparison criteria should be weighted according to their relevance in the context and in relation to the intervention objectives.</w:t>
      </w:r>
    </w:p>
    <w:p w14:paraId="696ABDA8" w14:textId="35521600" w:rsidR="007D1A58" w:rsidRPr="00964484" w:rsidRDefault="007D1A58" w:rsidP="007D1A58">
      <w:pPr>
        <w:pStyle w:val="ListParagraph"/>
        <w:numPr>
          <w:ilvl w:val="0"/>
          <w:numId w:val="14"/>
        </w:numPr>
        <w:spacing w:after="60"/>
        <w:contextualSpacing w:val="0"/>
        <w:jc w:val="left"/>
        <w:rPr>
          <w:rFonts w:eastAsia="Times New Roman" w:cs="Arial"/>
          <w:szCs w:val="24"/>
        </w:rPr>
      </w:pPr>
      <w:r w:rsidRPr="00964484">
        <w:rPr>
          <w:rFonts w:eastAsia="Times New Roman" w:cs="Arial"/>
          <w:szCs w:val="24"/>
        </w:rPr>
        <w:t xml:space="preserve">Alignment with </w:t>
      </w:r>
      <w:r w:rsidR="00157970" w:rsidRPr="00964484">
        <w:rPr>
          <w:rFonts w:eastAsia="Times New Roman" w:cs="Arial"/>
          <w:szCs w:val="24"/>
        </w:rPr>
        <w:t xml:space="preserve">the </w:t>
      </w:r>
      <w:r w:rsidRPr="00964484">
        <w:rPr>
          <w:rFonts w:eastAsia="Times New Roman" w:cs="Arial"/>
          <w:szCs w:val="24"/>
        </w:rPr>
        <w:t>policies and practices of local government and other humanitarian actors should be sought.</w:t>
      </w:r>
    </w:p>
    <w:p w14:paraId="3EFAD5A2" w14:textId="231AEE79" w:rsidR="007D1A58" w:rsidRPr="00964484" w:rsidRDefault="007D1A58" w:rsidP="007D1A58">
      <w:pPr>
        <w:pStyle w:val="ListParagraph"/>
        <w:numPr>
          <w:ilvl w:val="0"/>
          <w:numId w:val="14"/>
        </w:numPr>
        <w:spacing w:after="60"/>
        <w:contextualSpacing w:val="0"/>
        <w:jc w:val="left"/>
        <w:rPr>
          <w:rFonts w:eastAsia="Times New Roman" w:cs="Arial"/>
          <w:szCs w:val="24"/>
        </w:rPr>
      </w:pPr>
      <w:r w:rsidRPr="00964484">
        <w:rPr>
          <w:rFonts w:eastAsia="Times New Roman" w:cs="Arial"/>
          <w:szCs w:val="24"/>
        </w:rPr>
        <w:t>The capacity of the agency</w:t>
      </w:r>
      <w:r w:rsidR="00FD7CEC">
        <w:rPr>
          <w:rFonts w:eastAsia="Times New Roman" w:cs="Arial"/>
          <w:szCs w:val="24"/>
        </w:rPr>
        <w:t xml:space="preserve"> and its </w:t>
      </w:r>
      <w:r w:rsidRPr="00964484">
        <w:rPr>
          <w:rFonts w:eastAsia="Times New Roman" w:cs="Arial"/>
          <w:szCs w:val="24"/>
        </w:rPr>
        <w:t>partner</w:t>
      </w:r>
      <w:r w:rsidR="004A1BA5">
        <w:rPr>
          <w:rFonts w:eastAsia="Times New Roman" w:cs="Arial"/>
          <w:szCs w:val="24"/>
        </w:rPr>
        <w:t>s,</w:t>
      </w:r>
      <w:r w:rsidRPr="00964484">
        <w:rPr>
          <w:rFonts w:eastAsia="Times New Roman" w:cs="Arial"/>
          <w:szCs w:val="24"/>
        </w:rPr>
        <w:t xml:space="preserve"> to deliver </w:t>
      </w:r>
      <w:r w:rsidR="001866D4" w:rsidRPr="00A76B49">
        <w:rPr>
          <w:rFonts w:eastAsia="Times New Roman" w:cs="Arial"/>
          <w:szCs w:val="24"/>
        </w:rPr>
        <w:t>assistance</w:t>
      </w:r>
      <w:r w:rsidR="001866D4" w:rsidRPr="00964484">
        <w:rPr>
          <w:rFonts w:eastAsia="Times New Roman" w:cs="Arial"/>
          <w:szCs w:val="24"/>
        </w:rPr>
        <w:t xml:space="preserve"> </w:t>
      </w:r>
      <w:r w:rsidRPr="00964484">
        <w:rPr>
          <w:rFonts w:eastAsia="Times New Roman" w:cs="Arial"/>
          <w:szCs w:val="24"/>
        </w:rPr>
        <w:t>through the selected modality and mechanism must be considered</w:t>
      </w:r>
      <w:r w:rsidR="00157970" w:rsidRPr="00964484">
        <w:rPr>
          <w:rFonts w:eastAsia="Times New Roman" w:cs="Arial"/>
          <w:szCs w:val="24"/>
        </w:rPr>
        <w:t xml:space="preserve">. </w:t>
      </w:r>
      <w:r w:rsidR="00B403C3">
        <w:rPr>
          <w:rFonts w:eastAsia="Times New Roman" w:cs="Arial"/>
          <w:szCs w:val="24"/>
        </w:rPr>
        <w:t xml:space="preserve"> </w:t>
      </w:r>
    </w:p>
    <w:p w14:paraId="37E28E81" w14:textId="10840810" w:rsidR="007D1A58" w:rsidRPr="00964484" w:rsidRDefault="007D1A58" w:rsidP="007D1A58">
      <w:pPr>
        <w:pStyle w:val="ListParagraph"/>
        <w:numPr>
          <w:ilvl w:val="0"/>
          <w:numId w:val="14"/>
        </w:numPr>
        <w:spacing w:after="60"/>
        <w:contextualSpacing w:val="0"/>
        <w:jc w:val="left"/>
        <w:rPr>
          <w:rFonts w:eastAsia="Times New Roman" w:cs="Arial"/>
          <w:szCs w:val="24"/>
        </w:rPr>
      </w:pPr>
      <w:r w:rsidRPr="00964484">
        <w:rPr>
          <w:rFonts w:eastAsia="Times New Roman" w:cs="Arial"/>
          <w:szCs w:val="24"/>
        </w:rPr>
        <w:t>Beneficiar</w:t>
      </w:r>
      <w:r w:rsidR="00A76B49">
        <w:rPr>
          <w:rFonts w:eastAsia="Times New Roman" w:cs="Arial"/>
          <w:szCs w:val="24"/>
        </w:rPr>
        <w:t>y</w:t>
      </w:r>
      <w:r w:rsidR="00157970" w:rsidRPr="00964484">
        <w:rPr>
          <w:rFonts w:eastAsia="Times New Roman" w:cs="Arial"/>
          <w:szCs w:val="24"/>
        </w:rPr>
        <w:t xml:space="preserve"> preferences and capacity (e.g</w:t>
      </w:r>
      <w:r w:rsidRPr="00964484">
        <w:rPr>
          <w:rFonts w:eastAsia="Times New Roman" w:cs="Arial"/>
          <w:szCs w:val="24"/>
        </w:rPr>
        <w:t>.</w:t>
      </w:r>
      <w:r w:rsidR="00157970" w:rsidRPr="00964484">
        <w:rPr>
          <w:rFonts w:eastAsia="Times New Roman" w:cs="Arial"/>
          <w:szCs w:val="24"/>
        </w:rPr>
        <w:t>,</w:t>
      </w:r>
      <w:r w:rsidRPr="00964484">
        <w:rPr>
          <w:rFonts w:eastAsia="Times New Roman" w:cs="Arial"/>
          <w:szCs w:val="24"/>
        </w:rPr>
        <w:t xml:space="preserve"> familiarity and use of technology) must be considered</w:t>
      </w:r>
      <w:r w:rsidR="00157970" w:rsidRPr="00964484">
        <w:rPr>
          <w:rFonts w:eastAsia="Times New Roman" w:cs="Arial"/>
          <w:szCs w:val="24"/>
        </w:rPr>
        <w:t>.</w:t>
      </w:r>
    </w:p>
    <w:p w14:paraId="0981BEDD" w14:textId="1D0DDBD4" w:rsidR="007D1A58" w:rsidRPr="00964484" w:rsidRDefault="007D1A58" w:rsidP="007D1A58">
      <w:pPr>
        <w:pStyle w:val="ListParagraph"/>
        <w:numPr>
          <w:ilvl w:val="0"/>
          <w:numId w:val="14"/>
        </w:numPr>
        <w:spacing w:after="60"/>
        <w:contextualSpacing w:val="0"/>
        <w:jc w:val="left"/>
        <w:rPr>
          <w:rFonts w:eastAsia="Times New Roman" w:cs="Arial"/>
          <w:szCs w:val="24"/>
        </w:rPr>
      </w:pPr>
      <w:r w:rsidRPr="00964484">
        <w:rPr>
          <w:rFonts w:eastAsia="Times New Roman" w:cs="Arial"/>
          <w:szCs w:val="24"/>
        </w:rPr>
        <w:t>Some level of cost analysis</w:t>
      </w:r>
      <w:r w:rsidR="006D0C2A">
        <w:rPr>
          <w:rFonts w:eastAsia="Times New Roman" w:cs="Arial"/>
          <w:szCs w:val="24"/>
        </w:rPr>
        <w:t>,</w:t>
      </w:r>
      <w:r w:rsidRPr="00964484">
        <w:rPr>
          <w:rFonts w:eastAsia="Times New Roman" w:cs="Arial"/>
          <w:szCs w:val="24"/>
        </w:rPr>
        <w:t xml:space="preserve"> </w:t>
      </w:r>
      <w:r w:rsidR="006D0C2A">
        <w:rPr>
          <w:rFonts w:eastAsia="Times New Roman" w:cs="Arial"/>
          <w:szCs w:val="24"/>
        </w:rPr>
        <w:t>including the cost-efficiency of multipurpose cash grants,</w:t>
      </w:r>
      <w:r w:rsidRPr="00964484">
        <w:rPr>
          <w:rFonts w:eastAsia="Times New Roman" w:cs="Arial"/>
          <w:szCs w:val="24"/>
        </w:rPr>
        <w:t xml:space="preserve"> must be included when comparing different modalities and mechanisms</w:t>
      </w:r>
    </w:p>
    <w:p w14:paraId="5183C926" w14:textId="027BF5E9" w:rsidR="007D1A58" w:rsidRPr="00964484" w:rsidRDefault="007D1A58" w:rsidP="00964484">
      <w:pPr>
        <w:pStyle w:val="ListParagraph"/>
        <w:keepNext/>
        <w:numPr>
          <w:ilvl w:val="0"/>
          <w:numId w:val="14"/>
        </w:numPr>
        <w:spacing w:after="60"/>
        <w:ind w:left="714" w:hanging="357"/>
        <w:contextualSpacing w:val="0"/>
        <w:jc w:val="left"/>
        <w:rPr>
          <w:rFonts w:eastAsia="Times New Roman" w:cs="Arial"/>
          <w:szCs w:val="24"/>
        </w:rPr>
      </w:pPr>
      <w:r w:rsidRPr="00964484">
        <w:rPr>
          <w:rFonts w:eastAsia="Times New Roman" w:cs="Arial"/>
          <w:szCs w:val="24"/>
        </w:rPr>
        <w:lastRenderedPageBreak/>
        <w:t>Risks associated with the selected modality and mechanisms</w:t>
      </w:r>
      <w:r w:rsidR="004A1BA5">
        <w:rPr>
          <w:rFonts w:eastAsia="Times New Roman" w:cs="Arial"/>
          <w:szCs w:val="24"/>
        </w:rPr>
        <w:t>, including protection-related risks,</w:t>
      </w:r>
      <w:r w:rsidRPr="00964484">
        <w:rPr>
          <w:rFonts w:eastAsia="Times New Roman" w:cs="Arial"/>
          <w:szCs w:val="24"/>
        </w:rPr>
        <w:t xml:space="preserve"> must be analysed and registered. The selected option should not present any unacceptable risk.</w:t>
      </w:r>
      <w:r w:rsidR="00B403C3">
        <w:rPr>
          <w:rFonts w:eastAsia="Times New Roman" w:cs="Arial"/>
          <w:szCs w:val="24"/>
        </w:rPr>
        <w:t xml:space="preserve"> </w:t>
      </w:r>
    </w:p>
    <w:p w14:paraId="3E3AB8D5" w14:textId="2173A64E" w:rsidR="007D1A58" w:rsidRPr="00964484" w:rsidRDefault="007D1A58" w:rsidP="00964484">
      <w:pPr>
        <w:pStyle w:val="ListParagraph"/>
        <w:keepNext/>
        <w:numPr>
          <w:ilvl w:val="0"/>
          <w:numId w:val="14"/>
        </w:numPr>
        <w:spacing w:after="60"/>
        <w:ind w:left="714" w:hanging="357"/>
        <w:contextualSpacing w:val="0"/>
        <w:jc w:val="left"/>
        <w:rPr>
          <w:rFonts w:eastAsia="Times New Roman" w:cs="Arial"/>
          <w:szCs w:val="24"/>
        </w:rPr>
      </w:pPr>
      <w:r w:rsidRPr="00964484">
        <w:rPr>
          <w:rFonts w:eastAsia="Times New Roman" w:cs="Arial"/>
          <w:szCs w:val="24"/>
        </w:rPr>
        <w:t xml:space="preserve">Time issues (e.g. seasonality, time </w:t>
      </w:r>
      <w:r w:rsidR="00157970" w:rsidRPr="00964484">
        <w:rPr>
          <w:rFonts w:eastAsia="Times New Roman" w:cs="Arial"/>
          <w:szCs w:val="24"/>
        </w:rPr>
        <w:t xml:space="preserve">required </w:t>
      </w:r>
      <w:r w:rsidRPr="00964484">
        <w:rPr>
          <w:rFonts w:eastAsia="Times New Roman" w:cs="Arial"/>
          <w:szCs w:val="24"/>
        </w:rPr>
        <w:t>to set up a mobile transfer mechanism) must be considered</w:t>
      </w:r>
      <w:r w:rsidR="00157970" w:rsidRPr="00964484">
        <w:rPr>
          <w:rFonts w:eastAsia="Times New Roman" w:cs="Arial"/>
          <w:szCs w:val="24"/>
        </w:rPr>
        <w:t xml:space="preserve">. </w:t>
      </w:r>
    </w:p>
    <w:p w14:paraId="3D8CF119" w14:textId="77777777" w:rsidR="007D1A58" w:rsidRPr="00964484" w:rsidRDefault="007D1A58" w:rsidP="007D1A58">
      <w:pPr>
        <w:pStyle w:val="ListParagraph"/>
        <w:numPr>
          <w:ilvl w:val="0"/>
          <w:numId w:val="14"/>
        </w:numPr>
        <w:spacing w:after="60"/>
        <w:contextualSpacing w:val="0"/>
        <w:jc w:val="left"/>
        <w:rPr>
          <w:rFonts w:cs="Arial"/>
        </w:rPr>
      </w:pPr>
      <w:r w:rsidRPr="00964484">
        <w:rPr>
          <w:rFonts w:eastAsia="Times New Roman" w:cs="Arial"/>
          <w:szCs w:val="24"/>
        </w:rPr>
        <w:t>The rationale behind the final choice must be shared with the management line and should be shared with the key stakeholders.</w:t>
      </w:r>
    </w:p>
    <w:p w14:paraId="78BBFE79" w14:textId="77777777" w:rsidR="007D1A58" w:rsidRPr="007E00C6" w:rsidRDefault="007D1A58" w:rsidP="00964484">
      <w:pPr>
        <w:pStyle w:val="Heading2"/>
      </w:pPr>
      <w:r w:rsidRPr="007E00C6">
        <w:t>SUB-STEPS AND TOOLS</w:t>
      </w:r>
    </w:p>
    <w:p w14:paraId="07211A77" w14:textId="29AB953F" w:rsidR="00B403C3" w:rsidRDefault="0062030E" w:rsidP="00964484">
      <w:r w:rsidRPr="004A1BA5">
        <w:t>Before starting you must have decided which needs (food security, livelihoods, shelter, health, water</w:t>
      </w:r>
      <w:r w:rsidR="00157970" w:rsidRPr="004A1BA5">
        <w:t xml:space="preserve"> and sanitation or multi-sector</w:t>
      </w:r>
      <w:r w:rsidRPr="004A1BA5">
        <w:t>al) should be met and set the objectives of your intervention.</w:t>
      </w:r>
      <w:r>
        <w:t xml:space="preserve"> </w:t>
      </w:r>
      <w:r w:rsidR="00B403C3">
        <w:t xml:space="preserve"> </w:t>
      </w:r>
    </w:p>
    <w:p w14:paraId="7D8DC25E" w14:textId="07587D83" w:rsidR="00F4020B" w:rsidRPr="008675E3" w:rsidRDefault="0062030E" w:rsidP="00964484">
      <w:r>
        <w:t>The following sub-steps are included under</w:t>
      </w:r>
      <w:r w:rsidR="00EC70D5">
        <w:t xml:space="preserve"> cash feasibility,</w:t>
      </w:r>
      <w:r>
        <w:t xml:space="preserve"> modality and mechanism selection. </w:t>
      </w:r>
    </w:p>
    <w:p w14:paraId="6B42F312" w14:textId="77777777" w:rsidR="00B403C3" w:rsidRPr="0023380D" w:rsidRDefault="0062030E" w:rsidP="00964484">
      <w:pPr>
        <w:pStyle w:val="Heading3"/>
      </w:pPr>
      <w:r w:rsidRPr="0023380D">
        <w:t xml:space="preserve">Explore potential response options </w:t>
      </w:r>
    </w:p>
    <w:p w14:paraId="0273F939" w14:textId="057BC95E" w:rsidR="00B403C3" w:rsidRPr="007443C9" w:rsidRDefault="0062030E" w:rsidP="00964484">
      <w:r>
        <w:t xml:space="preserve">In order to come up with a broad list </w:t>
      </w:r>
      <w:r w:rsidR="00157970">
        <w:t xml:space="preserve">of response options, you can conduct </w:t>
      </w:r>
      <w:r>
        <w:t>a brainstorming</w:t>
      </w:r>
      <w:r w:rsidR="00157970">
        <w:t xml:space="preserve"> session</w:t>
      </w:r>
      <w:r>
        <w:t xml:space="preserve"> with key stakeholders, encouraging them to think widely and freely about possible options. </w:t>
      </w:r>
      <w:r w:rsidR="00F823B7">
        <w:t>Involving national and local government</w:t>
      </w:r>
      <w:r w:rsidR="004A1BA5">
        <w:t>s</w:t>
      </w:r>
      <w:r w:rsidR="00F823B7">
        <w:t xml:space="preserve"> in the response analysis process can contrib</w:t>
      </w:r>
      <w:r w:rsidR="004A1BA5">
        <w:t xml:space="preserve">ute to the acceptability of </w:t>
      </w:r>
      <w:r w:rsidR="001866D4">
        <w:t>cash-based assistance</w:t>
      </w:r>
      <w:r w:rsidR="00F823B7">
        <w:t xml:space="preserve">. </w:t>
      </w:r>
      <w:r>
        <w:t>At this stage</w:t>
      </w:r>
      <w:r w:rsidR="00157970">
        <w:t>,</w:t>
      </w:r>
      <w:r>
        <w:t xml:space="preserve"> nothing </w:t>
      </w:r>
      <w:r w:rsidRPr="00964484">
        <w:t xml:space="preserve">should be excluded. </w:t>
      </w:r>
      <w:r w:rsidRPr="007443C9">
        <w:rPr>
          <w:rFonts w:cs="Arial"/>
        </w:rPr>
        <w:t>This might help</w:t>
      </w:r>
      <w:r w:rsidR="00157970" w:rsidRPr="007443C9">
        <w:rPr>
          <w:rFonts w:cs="Arial"/>
        </w:rPr>
        <w:t xml:space="preserve"> in</w:t>
      </w:r>
      <w:r w:rsidRPr="007443C9">
        <w:rPr>
          <w:rFonts w:cs="Arial"/>
        </w:rPr>
        <w:t xml:space="preserve"> promoting innovative ideas. The </w:t>
      </w:r>
      <w:r w:rsidRPr="00A76B49">
        <w:rPr>
          <w:rFonts w:cs="Arial"/>
        </w:rPr>
        <w:t xml:space="preserve">tool </w:t>
      </w:r>
      <w:r w:rsidR="001866D4" w:rsidRPr="00A76B49">
        <w:rPr>
          <w:rFonts w:cs="Arial"/>
        </w:rPr>
        <w:t>‘response</w:t>
      </w:r>
      <w:r w:rsidR="001866D4">
        <w:rPr>
          <w:rFonts w:cs="Arial"/>
        </w:rPr>
        <w:t xml:space="preserve"> </w:t>
      </w:r>
      <w:r w:rsidRPr="007443C9">
        <w:rPr>
          <w:rFonts w:cs="Arial"/>
        </w:rPr>
        <w:t>intervention options</w:t>
      </w:r>
      <w:r w:rsidR="001866D4">
        <w:rPr>
          <w:rFonts w:cs="Arial"/>
        </w:rPr>
        <w:t>’</w:t>
      </w:r>
      <w:r w:rsidRPr="007443C9">
        <w:rPr>
          <w:rFonts w:cs="Arial"/>
        </w:rPr>
        <w:t xml:space="preserve"> suggests </w:t>
      </w:r>
      <w:r w:rsidRPr="007443C9">
        <w:rPr>
          <w:rFonts w:cs="Arial"/>
          <w:color w:val="000000"/>
        </w:rPr>
        <w:t xml:space="preserve">potential </w:t>
      </w:r>
      <w:r w:rsidR="001866D4" w:rsidRPr="00A76B49">
        <w:rPr>
          <w:rFonts w:cs="Arial"/>
          <w:color w:val="000000"/>
        </w:rPr>
        <w:t>response</w:t>
      </w:r>
      <w:r w:rsidR="001866D4" w:rsidRPr="007443C9">
        <w:rPr>
          <w:rFonts w:cs="Arial"/>
          <w:color w:val="000000"/>
        </w:rPr>
        <w:t xml:space="preserve"> </w:t>
      </w:r>
      <w:r w:rsidRPr="007443C9">
        <w:rPr>
          <w:rFonts w:cs="Arial"/>
          <w:color w:val="000000"/>
        </w:rPr>
        <w:t>options for each phase, according to sectors and objectives.</w:t>
      </w:r>
      <w:r w:rsidR="007443C9">
        <w:rPr>
          <w:rFonts w:ascii="Calibri" w:hAnsi="Calibri"/>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48"/>
      </w:tblGrid>
      <w:tr w:rsidR="007443C9" w:rsidRPr="007443C9" w14:paraId="2004ABCB" w14:textId="77777777" w:rsidTr="006D0C2A">
        <w:trPr>
          <w:trHeight w:val="625"/>
        </w:trPr>
        <w:tc>
          <w:tcPr>
            <w:tcW w:w="9848" w:type="dxa"/>
            <w:shd w:val="clear" w:color="auto" w:fill="D9D9D9" w:themeFill="background1" w:themeFillShade="D9"/>
          </w:tcPr>
          <w:p w14:paraId="6D318693" w14:textId="015E7F71" w:rsidR="007443C9" w:rsidRPr="008F586F" w:rsidRDefault="008F586F" w:rsidP="00A76B49">
            <w:pPr>
              <w:spacing w:before="120"/>
              <w:jc w:val="left"/>
              <w:rPr>
                <w:rFonts w:eastAsia="Times New Roman" w:cs="Arial"/>
                <w:color w:val="000000"/>
                <w:szCs w:val="24"/>
              </w:rPr>
            </w:pPr>
            <w:r>
              <w:t xml:space="preserve">Multipurpose cash </w:t>
            </w:r>
            <w:r w:rsidR="00A76B49">
              <w:t>grants</w:t>
            </w:r>
            <w:r>
              <w:t xml:space="preserve"> should be considered among the potential response options from the beginning,</w:t>
            </w:r>
            <w:r w:rsidR="007443C9" w:rsidRPr="007443C9">
              <w:rPr>
                <w:lang w:val="en-GB"/>
              </w:rPr>
              <w:t xml:space="preserve"> </w:t>
            </w:r>
            <w:r w:rsidR="007443C9">
              <w:rPr>
                <w:lang w:val="en-GB"/>
              </w:rPr>
              <w:t>as its</w:t>
            </w:r>
            <w:r w:rsidR="007443C9" w:rsidRPr="007443C9">
              <w:rPr>
                <w:lang w:val="en-GB"/>
              </w:rPr>
              <w:t xml:space="preserve"> unrestricted nature increases </w:t>
            </w:r>
            <w:r w:rsidR="00486940">
              <w:rPr>
                <w:lang w:val="en-GB"/>
              </w:rPr>
              <w:t xml:space="preserve">beneficiaries’ </w:t>
            </w:r>
            <w:r w:rsidR="007443C9" w:rsidRPr="007443C9">
              <w:rPr>
                <w:lang w:val="en-GB"/>
              </w:rPr>
              <w:t>choice and flexibility</w:t>
            </w:r>
            <w:r>
              <w:rPr>
                <w:lang w:val="en-GB"/>
              </w:rPr>
              <w:t xml:space="preserve"> allowing to meet multi-sector needs</w:t>
            </w:r>
            <w:r w:rsidR="0016487B">
              <w:rPr>
                <w:lang w:val="en-GB"/>
              </w:rPr>
              <w:t>.</w:t>
            </w:r>
          </w:p>
        </w:tc>
      </w:tr>
    </w:tbl>
    <w:p w14:paraId="362CA09A" w14:textId="77777777" w:rsidR="00B403C3" w:rsidRPr="00CA36A3" w:rsidRDefault="0062030E" w:rsidP="00964484">
      <w:pPr>
        <w:pStyle w:val="Heading3"/>
      </w:pPr>
      <w:r w:rsidRPr="00CA36A3">
        <w:t>Check if cash is feasible</w:t>
      </w:r>
    </w:p>
    <w:p w14:paraId="63BEBBB3" w14:textId="004F1DB1" w:rsidR="00D9793E" w:rsidRPr="007F28E7" w:rsidRDefault="0062030E" w:rsidP="00FD7CEC">
      <w:pPr>
        <w:rPr>
          <w:rFonts w:cs="Arial"/>
        </w:rPr>
      </w:pPr>
      <w:r>
        <w:t>In general</w:t>
      </w:r>
      <w:r w:rsidR="00157970">
        <w:t>,</w:t>
      </w:r>
      <w:r>
        <w:t xml:space="preserve"> feasibility criteria include</w:t>
      </w:r>
      <w:r w:rsidR="00157970">
        <w:t>:</w:t>
      </w:r>
      <w:r>
        <w:t xml:space="preserve"> </w:t>
      </w:r>
      <w:r w:rsidR="00157970">
        <w:t>market capacity and functioning;</w:t>
      </w:r>
      <w:r>
        <w:t xml:space="preserve"> h</w:t>
      </w:r>
      <w:r w:rsidR="00157970">
        <w:t>umanitarian and physical access; organizational capacity; government policies; donors’ resources and policies;</w:t>
      </w:r>
      <w:r>
        <w:t xml:space="preserve"> and time considerations. The </w:t>
      </w:r>
      <w:r w:rsidRPr="00964484">
        <w:t xml:space="preserve">tool </w:t>
      </w:r>
      <w:r w:rsidR="00B403C3">
        <w:t>‘</w:t>
      </w:r>
      <w:r w:rsidRPr="00964484">
        <w:t>is cash feasible?</w:t>
      </w:r>
      <w:r w:rsidR="00B403C3">
        <w:t>’</w:t>
      </w:r>
      <w:r w:rsidRPr="00964484">
        <w:t xml:space="preserve"> suggests a checklist with criteria and key considerations that will help you decide</w:t>
      </w:r>
      <w:r>
        <w:t xml:space="preserve"> whether cash is a feasible option. </w:t>
      </w:r>
      <w:r w:rsidR="007F28E7" w:rsidRPr="007F28E7">
        <w:rPr>
          <w:rFonts w:eastAsia="Times New Roman" w:cs="Arial"/>
        </w:rPr>
        <w:t>Depending on the nature and context of the crisis</w:t>
      </w:r>
      <w:r w:rsidR="00157970" w:rsidRPr="007F28E7">
        <w:rPr>
          <w:rFonts w:cs="Arial"/>
        </w:rPr>
        <w:t>,</w:t>
      </w:r>
      <w:r w:rsidRPr="007F28E7">
        <w:rPr>
          <w:rFonts w:cs="Arial"/>
        </w:rPr>
        <w:t xml:space="preserve"> a </w:t>
      </w:r>
      <w:r w:rsidR="007F28E7" w:rsidRPr="007F28E7">
        <w:rPr>
          <w:rFonts w:eastAsia="Times New Roman" w:cs="Arial"/>
        </w:rPr>
        <w:t>combination of transfer modalities and delivery mechanisms may be required and used at various stages of the crisis</w:t>
      </w:r>
      <w:r w:rsidR="007F28E7">
        <w:rPr>
          <w:rFonts w:eastAsia="Times New Roman" w:cs="Arial"/>
        </w:rPr>
        <w:t>.</w:t>
      </w:r>
    </w:p>
    <w:p w14:paraId="261171E6" w14:textId="77777777" w:rsidR="00B403C3" w:rsidRPr="00721886" w:rsidRDefault="0062030E" w:rsidP="00964484">
      <w:pPr>
        <w:pStyle w:val="Heading3"/>
      </w:pPr>
      <w:r w:rsidRPr="00721886">
        <w:t>Identify and reflect upon the relevant comparison criteria</w:t>
      </w:r>
    </w:p>
    <w:p w14:paraId="064B3988" w14:textId="76264FB9" w:rsidR="00B403C3" w:rsidRDefault="0062030E" w:rsidP="00964484">
      <w:r w:rsidRPr="00964484">
        <w:t>In order to compare the different response options, you will need to identify relevant criteria for your analysis. The comparative ana</w:t>
      </w:r>
      <w:r w:rsidR="00157970" w:rsidRPr="00964484">
        <w:t xml:space="preserve">lysis will inform your decision-making process. </w:t>
      </w:r>
      <w:r w:rsidRPr="00964484">
        <w:t>The tool comparison criteria for modalities and mechanisms suggests questions related to the most common criteria to help yo</w:t>
      </w:r>
      <w:bookmarkStart w:id="0" w:name="_GoBack"/>
      <w:bookmarkEnd w:id="0"/>
      <w:r w:rsidRPr="00964484">
        <w:t xml:space="preserve">u understand what to consider when comparing modalities (in-kind, cash, voucher) and cash delivery mechanisms (direct cash, mobile money, money transfer, stored value card). The tools advantages and disadvantages of different modalities and advantages and disadvantages of different delivery mechanisms might give you </w:t>
      </w:r>
      <w:r w:rsidR="009A5FA3" w:rsidRPr="00964484">
        <w:t>elements that</w:t>
      </w:r>
      <w:r w:rsidR="0082247A" w:rsidRPr="00964484">
        <w:t xml:space="preserve"> will help you </w:t>
      </w:r>
      <w:r w:rsidRPr="00964484">
        <w:t xml:space="preserve">to answer the suggested questions. </w:t>
      </w:r>
    </w:p>
    <w:p w14:paraId="0EEAD9FF" w14:textId="77777777" w:rsidR="00B403C3" w:rsidRDefault="0062030E" w:rsidP="00964484">
      <w:r>
        <w:t>Further analysis may be necessary regarding risks and cost-efficiency (see sub-steps below).</w:t>
      </w:r>
    </w:p>
    <w:p w14:paraId="62B9B8F7" w14:textId="77777777" w:rsidR="00B403C3" w:rsidRPr="009B68AD" w:rsidRDefault="0062030E" w:rsidP="00964484">
      <w:pPr>
        <w:pStyle w:val="Heading3"/>
      </w:pPr>
      <w:r w:rsidRPr="009B68AD">
        <w:t>Conduct a thorough risk analysis</w:t>
      </w:r>
    </w:p>
    <w:p w14:paraId="4AE958AC" w14:textId="77777777" w:rsidR="007443C9" w:rsidRDefault="0062030E" w:rsidP="007443C9">
      <w:pPr>
        <w:rPr>
          <w:color w:val="000000"/>
        </w:rPr>
      </w:pPr>
      <w:r w:rsidRPr="00DD662A">
        <w:t>Risk analysis is cross-cutting and takes place throughout the response analysis. It is the process of identifying risks, assessing their likelihood and impact, and</w:t>
      </w:r>
      <w:r w:rsidR="006B3366">
        <w:t xml:space="preserve"> </w:t>
      </w:r>
      <w:r w:rsidRPr="00DD662A">
        <w:t>deciding what to do with them. The risks associated with the different response options</w:t>
      </w:r>
      <w:r>
        <w:rPr>
          <w:rStyle w:val="CommentReference"/>
        </w:rPr>
        <w:t xml:space="preserve"> </w:t>
      </w:r>
      <w:r>
        <w:t xml:space="preserve">should inform the final decision (see sub-step below). </w:t>
      </w:r>
      <w:r w:rsidR="006B3366">
        <w:t xml:space="preserve">The </w:t>
      </w:r>
      <w:r w:rsidR="006B3366" w:rsidRPr="00964484">
        <w:t xml:space="preserve">tools risk matrix template and </w:t>
      </w:r>
      <w:r w:rsidR="00EE646C" w:rsidRPr="00964484">
        <w:t>risk register template</w:t>
      </w:r>
      <w:r w:rsidR="006B3366" w:rsidRPr="00964484">
        <w:t xml:space="preserve"> will help identify and record the main risks as well as potential mitigation measures. </w:t>
      </w:r>
      <w:r w:rsidRPr="00964484">
        <w:t>The risk analysis process will be explained in the tool road</w:t>
      </w:r>
      <w:r w:rsidR="009A5FA3" w:rsidRPr="00964484">
        <w:t xml:space="preserve"> </w:t>
      </w:r>
      <w:r w:rsidRPr="00964484">
        <w:t xml:space="preserve">map for risk analysis. </w:t>
      </w:r>
      <w:r w:rsidR="006A502B" w:rsidRPr="00964484">
        <w:t xml:space="preserve">The IFRC CBP SOPs provide a detailed Risk Management checklist.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48"/>
      </w:tblGrid>
      <w:tr w:rsidR="007443C9" w:rsidRPr="007443C9" w14:paraId="3FC65709" w14:textId="77777777" w:rsidTr="00684623">
        <w:trPr>
          <w:trHeight w:val="966"/>
        </w:trPr>
        <w:tc>
          <w:tcPr>
            <w:tcW w:w="9848" w:type="dxa"/>
            <w:shd w:val="clear" w:color="auto" w:fill="D9D9D9" w:themeFill="background1" w:themeFillShade="D9"/>
          </w:tcPr>
          <w:p w14:paraId="71D627EB" w14:textId="18BBCB42" w:rsidR="007443C9" w:rsidRPr="007443C9" w:rsidRDefault="007443C9" w:rsidP="00A76B49">
            <w:pPr>
              <w:spacing w:before="120"/>
              <w:rPr>
                <w:color w:val="000000"/>
              </w:rPr>
            </w:pPr>
            <w:r w:rsidRPr="007443C9">
              <w:rPr>
                <w:color w:val="000000"/>
              </w:rPr>
              <w:t xml:space="preserve">Ensure that the selection of </w:t>
            </w:r>
            <w:r w:rsidR="001866D4" w:rsidRPr="00A76B49">
              <w:rPr>
                <w:color w:val="000000"/>
              </w:rPr>
              <w:t>response</w:t>
            </w:r>
            <w:r w:rsidRPr="007443C9">
              <w:rPr>
                <w:color w:val="000000"/>
              </w:rPr>
              <w:t xml:space="preserve"> modalities and mechanisms takes into account protection</w:t>
            </w:r>
            <w:r w:rsidR="008F586F">
              <w:rPr>
                <w:color w:val="000000"/>
              </w:rPr>
              <w:t>-related</w:t>
            </w:r>
            <w:r w:rsidRPr="007443C9">
              <w:rPr>
                <w:color w:val="000000"/>
              </w:rPr>
              <w:t xml:space="preserve"> risks and benefits</w:t>
            </w:r>
            <w:r w:rsidRPr="007443C9">
              <w:rPr>
                <w:i/>
                <w:color w:val="000000"/>
              </w:rPr>
              <w:t xml:space="preserve">. </w:t>
            </w:r>
            <w:r w:rsidRPr="007443C9">
              <w:rPr>
                <w:color w:val="000000"/>
              </w:rPr>
              <w:t>Risk analysis should c</w:t>
            </w:r>
            <w:r w:rsidR="008F586F">
              <w:rPr>
                <w:color w:val="000000"/>
              </w:rPr>
              <w:t>onsider what are the protection-</w:t>
            </w:r>
            <w:r w:rsidRPr="007443C9">
              <w:rPr>
                <w:color w:val="000000"/>
              </w:rPr>
              <w:t>related risks, how they can be mitigated through programme desi</w:t>
            </w:r>
            <w:r w:rsidR="008F586F">
              <w:rPr>
                <w:color w:val="000000"/>
              </w:rPr>
              <w:t>gn, and what are the protection-</w:t>
            </w:r>
            <w:r w:rsidRPr="007443C9">
              <w:rPr>
                <w:color w:val="000000"/>
              </w:rPr>
              <w:t xml:space="preserve">related benefits associated with the different modalities and mechanisms. </w:t>
            </w:r>
          </w:p>
        </w:tc>
      </w:tr>
    </w:tbl>
    <w:p w14:paraId="50D9189C" w14:textId="7E3E97C4" w:rsidR="00B403C3" w:rsidRPr="00E24789" w:rsidRDefault="0062030E" w:rsidP="00964484">
      <w:pPr>
        <w:pStyle w:val="Heading3"/>
      </w:pPr>
      <w:r w:rsidRPr="009B68AD">
        <w:lastRenderedPageBreak/>
        <w:t>Calculate cost-efficiency</w:t>
      </w:r>
    </w:p>
    <w:p w14:paraId="3391EE8A" w14:textId="78E8E0FA" w:rsidR="00B403C3" w:rsidRDefault="0062030E" w:rsidP="00B403C3">
      <w:pPr>
        <w:rPr>
          <w:bCs/>
        </w:rPr>
      </w:pPr>
      <w:r w:rsidRPr="00C046B5">
        <w:t>In the process of transfer modality selection, a simple calculation can be carri</w:t>
      </w:r>
      <w:r>
        <w:t xml:space="preserve">ed out to help you compare the </w:t>
      </w:r>
      <w:r w:rsidRPr="00964484">
        <w:t>costs associated with different modalities (</w:t>
      </w:r>
      <w:r w:rsidR="001866D4" w:rsidRPr="00A76B49">
        <w:t>in-kind</w:t>
      </w:r>
      <w:r w:rsidRPr="00964484">
        <w:t>, vouchers and cash) and when possible with different</w:t>
      </w:r>
      <w:r w:rsidRPr="00C046B5">
        <w:t xml:space="preserve"> </w:t>
      </w:r>
      <w:r w:rsidRPr="00964484">
        <w:t>delivery mechanisms. The cost-efficiency quick calculation tool allows you to calculate the cost-efficiency of</w:t>
      </w:r>
      <w:r w:rsidRPr="00C046B5">
        <w:rPr>
          <w:bCs/>
        </w:rPr>
        <w:t xml:space="preserve"> different response options based on the value of transfer and the implementation costs associated with each modality or mechanism.</w:t>
      </w:r>
    </w:p>
    <w:tbl>
      <w:tblPr>
        <w:tblStyle w:val="TableGrid"/>
        <w:tblW w:w="0" w:type="auto"/>
        <w:tblLook w:val="04A0" w:firstRow="1" w:lastRow="0" w:firstColumn="1" w:lastColumn="0" w:noHBand="0" w:noVBand="1"/>
      </w:tblPr>
      <w:tblGrid>
        <w:gridCol w:w="9848"/>
      </w:tblGrid>
      <w:tr w:rsidR="004643AA" w:rsidRPr="00626599" w14:paraId="063DDF89" w14:textId="77777777" w:rsidTr="00A96D12">
        <w:trPr>
          <w:trHeight w:val="837"/>
        </w:trPr>
        <w:tc>
          <w:tcPr>
            <w:tcW w:w="9848" w:type="dxa"/>
            <w:tcBorders>
              <w:top w:val="nil"/>
              <w:left w:val="nil"/>
              <w:bottom w:val="nil"/>
              <w:right w:val="nil"/>
            </w:tcBorders>
            <w:shd w:val="clear" w:color="auto" w:fill="D9D9D9" w:themeFill="background1" w:themeFillShade="D9"/>
          </w:tcPr>
          <w:p w14:paraId="690BD6D7" w14:textId="0AA6378C" w:rsidR="004643AA" w:rsidRPr="00626599" w:rsidRDefault="004643AA" w:rsidP="004643AA">
            <w:pPr>
              <w:spacing w:before="120"/>
              <w:rPr>
                <w:b/>
              </w:rPr>
            </w:pPr>
            <w:r w:rsidRPr="00626599">
              <w:t xml:space="preserve">At this stage you should also consider whether </w:t>
            </w:r>
            <w:r w:rsidRPr="00A76B49">
              <w:t>multipurpose cash grants</w:t>
            </w:r>
            <w:r w:rsidRPr="00626599">
              <w:t xml:space="preserve"> are likely to be a cost</w:t>
            </w:r>
            <w:r>
              <w:rPr>
                <w:b/>
              </w:rPr>
              <w:t xml:space="preserve"> </w:t>
            </w:r>
            <w:r w:rsidRPr="00626599">
              <w:t xml:space="preserve">efficient </w:t>
            </w:r>
            <w:r>
              <w:t>means to meet</w:t>
            </w:r>
            <w:r w:rsidRPr="00626599">
              <w:t xml:space="preserve"> multiple humanitarian needs.</w:t>
            </w:r>
            <w:r w:rsidRPr="00626599">
              <w:rPr>
                <w:b/>
              </w:rPr>
              <w:t xml:space="preserve"> </w:t>
            </w:r>
            <w:r w:rsidRPr="00626599">
              <w:t>E.g. the provision of MPGs might reduce the resale of in</w:t>
            </w:r>
            <w:r>
              <w:rPr>
                <w:b/>
              </w:rPr>
              <w:t xml:space="preserve"> </w:t>
            </w:r>
            <w:r w:rsidRPr="00626599">
              <w:t>kind assistance o</w:t>
            </w:r>
            <w:r>
              <w:t>r facilitate access to services</w:t>
            </w:r>
            <w:r w:rsidRPr="00626599">
              <w:t xml:space="preserve">. </w:t>
            </w:r>
          </w:p>
        </w:tc>
      </w:tr>
    </w:tbl>
    <w:p w14:paraId="0079041F" w14:textId="22462BF9" w:rsidR="00B403C3" w:rsidRPr="00AF7CDD" w:rsidRDefault="0062030E" w:rsidP="00964484">
      <w:pPr>
        <w:pStyle w:val="Heading3"/>
        <w:keepLines/>
      </w:pPr>
      <w:r w:rsidRPr="00AF7CDD">
        <w:t xml:space="preserve">Compare </w:t>
      </w:r>
      <w:r>
        <w:t xml:space="preserve">options </w:t>
      </w:r>
      <w:r w:rsidRPr="00AF7CDD">
        <w:t>and make a decision</w:t>
      </w:r>
    </w:p>
    <w:p w14:paraId="0F9B5706" w14:textId="190BE21D" w:rsidR="00F4020B" w:rsidRDefault="0062030E" w:rsidP="00964484">
      <w:pPr>
        <w:keepNext/>
        <w:keepLines/>
        <w:spacing w:after="360"/>
      </w:pPr>
      <w:r w:rsidRPr="00964484">
        <w:t xml:space="preserve">A decision making tool provides you with </w:t>
      </w:r>
      <w:r w:rsidR="007E6D29" w:rsidRPr="00964484">
        <w:t>guidance on how to identify which</w:t>
      </w:r>
      <w:r w:rsidRPr="00964484">
        <w:t xml:space="preserve"> </w:t>
      </w:r>
      <w:r w:rsidR="001866D4" w:rsidRPr="00A76B49">
        <w:t>response</w:t>
      </w:r>
      <w:r w:rsidRPr="00964484">
        <w:t xml:space="preserve"> modalities and</w:t>
      </w:r>
      <w:r w:rsidRPr="003C1018">
        <w:t xml:space="preserve"> </w:t>
      </w:r>
      <w:r w:rsidRPr="00964484">
        <w:t>mechanisms best meet the objectives established for your emergency intervention. The decision making</w:t>
      </w:r>
      <w:r w:rsidRPr="00427BE5">
        <w:rPr>
          <w:color w:val="0000FF"/>
          <w:u w:val="single"/>
        </w:rPr>
        <w:t xml:space="preserve"> </w:t>
      </w:r>
      <w:r w:rsidRPr="00964484">
        <w:t>scorecard template allows you to score the response modalities and mechanisms in relation to all the criteria</w:t>
      </w:r>
      <w:r w:rsidR="007E6D29">
        <w:t xml:space="preserve"> that have been</w:t>
      </w:r>
      <w:r>
        <w:t xml:space="preserve"> taken into account throughout the analysis. The score</w:t>
      </w:r>
      <w:r w:rsidR="007E6D29">
        <w:t xml:space="preserve"> </w:t>
      </w:r>
      <w:r>
        <w:t>card can be used to select modalities and</w:t>
      </w:r>
      <w:r w:rsidR="007E6D29">
        <w:t xml:space="preserve"> mechanisms at the same time, because</w:t>
      </w:r>
      <w:r>
        <w:t xml:space="preserve"> mechanisms can influence the performance of associated modalities.</w:t>
      </w:r>
    </w:p>
    <w:tbl>
      <w:tblPr>
        <w:tblStyle w:val="TableGray"/>
        <w:tblW w:w="9639" w:type="dxa"/>
        <w:tblInd w:w="142" w:type="dxa"/>
        <w:tblLayout w:type="fixed"/>
        <w:tblLook w:val="04A0" w:firstRow="1" w:lastRow="0" w:firstColumn="1" w:lastColumn="0" w:noHBand="0" w:noVBand="1"/>
      </w:tblPr>
      <w:tblGrid>
        <w:gridCol w:w="9639"/>
      </w:tblGrid>
      <w:tr w:rsidR="00F1731F" w14:paraId="292A6BDA" w14:textId="77777777" w:rsidTr="00F70142">
        <w:tc>
          <w:tcPr>
            <w:tcW w:w="9639" w:type="dxa"/>
          </w:tcPr>
          <w:p w14:paraId="545372CD" w14:textId="6029DAB8" w:rsidR="00F1731F" w:rsidRDefault="00F1731F" w:rsidP="00F1731F">
            <w:pPr>
              <w:pStyle w:val="RefTitre"/>
            </w:pPr>
            <w:r w:rsidRPr="00256A0A">
              <w:t>REFERENCE DOCUMENTS</w:t>
            </w:r>
          </w:p>
          <w:p w14:paraId="20681437" w14:textId="3DBA3790" w:rsidR="00F1731F" w:rsidRPr="00F70142" w:rsidRDefault="00F1731F" w:rsidP="00F1731F">
            <w:pPr>
              <w:pStyle w:val="RefItem1"/>
              <w:rPr>
                <w:rFonts w:cs="Arial"/>
                <w:color w:val="0000D4"/>
                <w:u w:val="single"/>
              </w:rPr>
            </w:pPr>
            <w:r w:rsidRPr="00F70142">
              <w:rPr>
                <w:rFonts w:cs="Arial"/>
              </w:rPr>
              <w:t xml:space="preserve">International Red Cross and Red Crescent Movement (2007) Guidelines for cash transfer programming  </w:t>
            </w:r>
            <w:hyperlink r:id="rId8" w:history="1">
              <w:r w:rsidRPr="00F70142">
                <w:rPr>
                  <w:rStyle w:val="Hyperlink"/>
                  <w:rFonts w:cs="Arial"/>
                </w:rPr>
                <w:t>http://www.ifrc.org/Global/Publications/disasters/finance/cash-guidelines-en.pdf</w:t>
              </w:r>
            </w:hyperlink>
          </w:p>
          <w:p w14:paraId="53DC517A" w14:textId="77777777" w:rsidR="00F1731F" w:rsidRPr="00F70142" w:rsidRDefault="00F1731F" w:rsidP="00F1731F">
            <w:pPr>
              <w:pStyle w:val="RefItem1"/>
              <w:rPr>
                <w:rFonts w:cs="Arial"/>
              </w:rPr>
            </w:pPr>
            <w:r w:rsidRPr="00F70142">
              <w:rPr>
                <w:rFonts w:cs="Arial"/>
              </w:rPr>
              <w:t>ICRC (2014) EcoSec Executive Brief on Cash Transfer Programming</w:t>
            </w:r>
          </w:p>
          <w:p w14:paraId="462EAACF" w14:textId="4CD4405D" w:rsidR="00F1731F" w:rsidRPr="00F70142" w:rsidRDefault="00F1731F" w:rsidP="00F1731F">
            <w:pPr>
              <w:pStyle w:val="RefItem1"/>
              <w:rPr>
                <w:rFonts w:cs="Arial"/>
              </w:rPr>
            </w:pPr>
            <w:r w:rsidRPr="00F70142">
              <w:rPr>
                <w:rFonts w:cs="Arial"/>
              </w:rPr>
              <w:t xml:space="preserve">Harvey P., Bailey S. (2011) Good Practice Review: Cash transfer programming in emergencies. Humanitarian Practice Network. </w:t>
            </w:r>
            <w:hyperlink r:id="rId9" w:history="1">
              <w:r w:rsidRPr="00F70142">
                <w:rPr>
                  <w:rStyle w:val="Hyperlink"/>
                  <w:rFonts w:cs="Arial"/>
                </w:rPr>
                <w:t>http://www.odihpn.org/documents%2Fgpr11.pdf</w:t>
              </w:r>
            </w:hyperlink>
          </w:p>
          <w:p w14:paraId="2A7FDE08" w14:textId="77777777" w:rsidR="00F1731F" w:rsidRDefault="00F1731F" w:rsidP="00F70142">
            <w:pPr>
              <w:pStyle w:val="RefItem1"/>
              <w:rPr>
                <w:rStyle w:val="Hyperlink"/>
                <w:rFonts w:cs="Arial"/>
              </w:rPr>
            </w:pPr>
            <w:r w:rsidRPr="00F70142">
              <w:rPr>
                <w:rFonts w:cs="Arial"/>
              </w:rPr>
              <w:t xml:space="preserve">FAO (2011) A response analysis framework: Discussion papers </w:t>
            </w:r>
            <w:hyperlink r:id="rId10" w:history="1">
              <w:r w:rsidR="00F70142" w:rsidRPr="00AB0128">
                <w:rPr>
                  <w:rStyle w:val="Hyperlink"/>
                  <w:rFonts w:cs="Arial"/>
                </w:rPr>
                <w:t>http://www.fao.org/fileadmin/user_upload/emergencies/docs/Response_Analysis_Framework_DiscussionPapers.pdf</w:t>
              </w:r>
            </w:hyperlink>
          </w:p>
          <w:p w14:paraId="2CF409D8" w14:textId="51C7B153" w:rsidR="00486940" w:rsidRPr="00A96D12" w:rsidRDefault="00A96D12" w:rsidP="00A96D12">
            <w:pPr>
              <w:jc w:val="left"/>
              <w:rPr>
                <w:color w:val="548DD4" w:themeColor="text2" w:themeTint="99"/>
                <w:u w:val="single"/>
                <w:lang w:val="en-GB"/>
              </w:rPr>
            </w:pPr>
            <w:r>
              <w:rPr>
                <w:lang w:val="en-GB"/>
              </w:rPr>
              <w:t xml:space="preserve">Common Delivery Mechanisms. Annex 4 of the </w:t>
            </w:r>
            <w:r w:rsidR="00486940" w:rsidRPr="00D77D45">
              <w:rPr>
                <w:i/>
                <w:lang w:val="en-GB"/>
              </w:rPr>
              <w:t>Operational Guidance and Toolkit for Multipurpose Cash Grants</w:t>
            </w:r>
            <w:r w:rsidR="00194DCA">
              <w:rPr>
                <w:lang w:val="en-GB"/>
              </w:rPr>
              <w:t xml:space="preserve"> UNHCR (2016</w:t>
            </w:r>
            <w:r w:rsidRPr="00D77D45">
              <w:rPr>
                <w:lang w:val="en-GB"/>
              </w:rPr>
              <w:t>)</w:t>
            </w:r>
            <w:r w:rsidR="00486940" w:rsidRPr="00D77D45">
              <w:rPr>
                <w:lang w:val="en-GB"/>
              </w:rPr>
              <w:t xml:space="preserve">. </w:t>
            </w:r>
            <w:r w:rsidRPr="00A96D12">
              <w:rPr>
                <w:lang w:val="en-GB"/>
              </w:rPr>
              <w:t>http://www.cashlearning.org/downloads/mpg-toolkit-pdfs/mpg-annex4.pdf</w:t>
            </w:r>
            <w:r w:rsidR="00486940">
              <w:rPr>
                <w:rStyle w:val="Hyperlink"/>
                <w:rFonts w:asciiTheme="majorHAnsi" w:hAnsiTheme="majorHAnsi"/>
                <w:sz w:val="22"/>
                <w:lang w:val="en-GB"/>
              </w:rPr>
              <w:t xml:space="preserve"> </w:t>
            </w:r>
          </w:p>
        </w:tc>
      </w:tr>
    </w:tbl>
    <w:p w14:paraId="749234B6" w14:textId="77777777" w:rsidR="00256A0A" w:rsidRPr="00256A0A" w:rsidRDefault="00256A0A" w:rsidP="00256A0A"/>
    <w:sectPr w:rsidR="00256A0A" w:rsidRPr="00256A0A" w:rsidSect="00001BB0">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471B" w14:textId="77777777" w:rsidR="0072275B" w:rsidRDefault="0072275B" w:rsidP="00B403C3">
      <w:pPr>
        <w:spacing w:after="0"/>
      </w:pPr>
      <w:r>
        <w:separator/>
      </w:r>
    </w:p>
  </w:endnote>
  <w:endnote w:type="continuationSeparator" w:id="0">
    <w:p w14:paraId="66A4CD6E" w14:textId="77777777" w:rsidR="0072275B" w:rsidRDefault="0072275B" w:rsidP="00B40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O¯øœ!Ÿ">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D54E" w14:textId="77777777" w:rsidR="007443C9" w:rsidRDefault="007443C9" w:rsidP="00B403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FE2DC" w14:textId="77777777" w:rsidR="007443C9" w:rsidRDefault="007443C9" w:rsidP="00B403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44AC" w14:textId="566762F7" w:rsidR="007443C9" w:rsidRPr="00B45C74" w:rsidRDefault="007443C9" w:rsidP="00B403C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6487B">
      <w:rPr>
        <w:b/>
        <w:noProof/>
        <w:color w:val="808080" w:themeColor="background1" w:themeShade="80"/>
        <w:sz w:val="18"/>
        <w:szCs w:val="18"/>
      </w:rPr>
      <w:t>2</w:t>
    </w:r>
    <w:r w:rsidRPr="00B45C74">
      <w:rPr>
        <w:b/>
        <w:color w:val="808080" w:themeColor="background1" w:themeShade="80"/>
        <w:sz w:val="18"/>
        <w:szCs w:val="18"/>
      </w:rPr>
      <w:fldChar w:fldCharType="end"/>
    </w:r>
  </w:p>
  <w:p w14:paraId="2411609D" w14:textId="2EEC872C" w:rsidR="007443C9" w:rsidRPr="00001BB0" w:rsidRDefault="007443C9" w:rsidP="00B403C3">
    <w:pPr>
      <w:pStyle w:val="Footer"/>
    </w:pPr>
    <w:r w:rsidRPr="00107E15">
      <w:rPr>
        <w:b/>
      </w:rPr>
      <w:t xml:space="preserve">Module </w:t>
    </w:r>
    <w:r>
      <w:rPr>
        <w:b/>
      </w:rPr>
      <w:t>3</w:t>
    </w:r>
    <w:r w:rsidRPr="00107E15">
      <w:rPr>
        <w:b/>
      </w:rPr>
      <w:t>.</w:t>
    </w:r>
    <w:r w:rsidRPr="00107E15">
      <w:t xml:space="preserve"> </w:t>
    </w:r>
    <w:r>
      <w:t xml:space="preserve">Step 1. </w:t>
    </w:r>
    <w:fldSimple w:instr=" STYLEREF  H1 \t  \* MERGEFORMAT ">
      <w:r w:rsidR="0016487B" w:rsidRPr="0016487B">
        <w:rPr>
          <w:bCs/>
          <w:noProof/>
        </w:rPr>
        <w:t>Roadmap for cash feasibility, modality and mechanism selection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89F22" w14:textId="42E58D92" w:rsidR="007443C9" w:rsidRPr="00B45C74" w:rsidRDefault="007443C9" w:rsidP="00B403C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16487B">
      <w:rPr>
        <w:b/>
        <w:noProof/>
        <w:color w:val="808080" w:themeColor="background1" w:themeShade="80"/>
        <w:sz w:val="18"/>
        <w:szCs w:val="18"/>
      </w:rPr>
      <w:t>1</w:t>
    </w:r>
    <w:r w:rsidRPr="00B45C74">
      <w:rPr>
        <w:b/>
        <w:color w:val="808080" w:themeColor="background1" w:themeShade="80"/>
        <w:sz w:val="18"/>
        <w:szCs w:val="18"/>
      </w:rPr>
      <w:fldChar w:fldCharType="end"/>
    </w:r>
  </w:p>
  <w:p w14:paraId="276DDD0E" w14:textId="523DFF14" w:rsidR="007443C9" w:rsidRPr="00001BB0" w:rsidRDefault="007443C9" w:rsidP="00B403C3">
    <w:pPr>
      <w:pStyle w:val="Footer"/>
    </w:pPr>
    <w:r w:rsidRPr="00107E15">
      <w:rPr>
        <w:b/>
      </w:rPr>
      <w:t xml:space="preserve">Module </w:t>
    </w:r>
    <w:r>
      <w:rPr>
        <w:b/>
      </w:rPr>
      <w:t>3</w:t>
    </w:r>
    <w:r w:rsidRPr="00107E15">
      <w:rPr>
        <w:b/>
      </w:rPr>
      <w:t>.</w:t>
    </w:r>
    <w:r w:rsidRPr="00107E15">
      <w:t xml:space="preserve"> </w:t>
    </w:r>
    <w:r>
      <w:t xml:space="preserve">Step 1. </w:t>
    </w:r>
    <w:fldSimple w:instr=" STYLEREF  H1 \t  \* MERGEFORMAT ">
      <w:r w:rsidR="0016487B" w:rsidRPr="0016487B">
        <w:rPr>
          <w:bCs/>
          <w:noProof/>
        </w:rPr>
        <w:t>Roadmap for cash feasibility, modality and mechanism selection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86DE" w14:textId="77777777" w:rsidR="0072275B" w:rsidRDefault="0072275B" w:rsidP="00B403C3">
      <w:pPr>
        <w:spacing w:after="0"/>
      </w:pPr>
      <w:r>
        <w:separator/>
      </w:r>
    </w:p>
  </w:footnote>
  <w:footnote w:type="continuationSeparator" w:id="0">
    <w:p w14:paraId="4241D7D4" w14:textId="77777777" w:rsidR="0072275B" w:rsidRDefault="0072275B" w:rsidP="00B403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BB105" w14:textId="77777777" w:rsidR="007443C9" w:rsidRDefault="00744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36F3" w14:textId="77777777" w:rsidR="007443C9" w:rsidRPr="00074036" w:rsidRDefault="007443C9" w:rsidP="00B403C3">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E2ADA" w14:textId="77777777" w:rsidR="007443C9" w:rsidRDefault="007443C9" w:rsidP="00B403C3">
    <w:pPr>
      <w:pStyle w:val="Header1"/>
    </w:pPr>
    <w:r>
      <w:rPr>
        <w:noProof/>
        <w:lang w:val="en-GB" w:eastAsia="en-GB"/>
      </w:rPr>
      <w:drawing>
        <wp:anchor distT="0" distB="0" distL="114300" distR="114300" simplePos="0" relativeHeight="251660288" behindDoc="0" locked="0" layoutInCell="1" allowOverlap="1" wp14:anchorId="17E68A56" wp14:editId="0255D27F">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613EEB13" w14:textId="77777777" w:rsidR="007443C9" w:rsidRDefault="007443C9" w:rsidP="00B403C3">
    <w:pPr>
      <w:pStyle w:val="Header1"/>
    </w:pPr>
  </w:p>
  <w:p w14:paraId="45CD17BC" w14:textId="77777777" w:rsidR="007443C9" w:rsidRDefault="007443C9" w:rsidP="00B403C3">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31791007" wp14:editId="0C68B7BD">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68146D59" w14:textId="77777777" w:rsidR="007443C9" w:rsidRDefault="007443C9" w:rsidP="00B403C3">
    <w:pPr>
      <w:pStyle w:val="Header"/>
      <w:spacing w:line="240" w:lineRule="auto"/>
      <w:rPr>
        <w:b/>
        <w:color w:val="DC281E"/>
        <w:sz w:val="24"/>
        <w:szCs w:val="24"/>
      </w:rPr>
    </w:pPr>
  </w:p>
  <w:p w14:paraId="72B3D84E" w14:textId="77777777" w:rsidR="007443C9" w:rsidRDefault="007443C9" w:rsidP="00B403C3">
    <w:pPr>
      <w:pStyle w:val="Header"/>
      <w:spacing w:line="240" w:lineRule="auto"/>
      <w:rPr>
        <w:b/>
        <w:color w:val="DC281E"/>
        <w:sz w:val="24"/>
        <w:szCs w:val="24"/>
      </w:rPr>
    </w:pPr>
  </w:p>
  <w:p w14:paraId="787E1487" w14:textId="77777777" w:rsidR="007443C9" w:rsidRPr="00001BB0" w:rsidRDefault="007443C9" w:rsidP="00B403C3">
    <w:pPr>
      <w:pStyle w:val="Header1"/>
      <w:rPr>
        <w:rFonts w:ascii="Arial Bold" w:hAnsi="Arial Bold" w:cs="Arial"/>
        <w:color w:val="DC281E"/>
      </w:rPr>
    </w:pPr>
    <w:r w:rsidRPr="00001BB0">
      <w:rPr>
        <w:rFonts w:ascii="Arial Bold" w:hAnsi="Arial Bold" w:cs="Arial"/>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3090"/>
    <w:multiLevelType w:val="hybridMultilevel"/>
    <w:tmpl w:val="62D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6745"/>
    <w:multiLevelType w:val="hybridMultilevel"/>
    <w:tmpl w:val="1AE2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6641"/>
    <w:multiLevelType w:val="hybridMultilevel"/>
    <w:tmpl w:val="1BB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7C1F"/>
    <w:multiLevelType w:val="hybridMultilevel"/>
    <w:tmpl w:val="041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0427F"/>
    <w:multiLevelType w:val="hybridMultilevel"/>
    <w:tmpl w:val="9878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017A4"/>
    <w:multiLevelType w:val="hybridMultilevel"/>
    <w:tmpl w:val="5D34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62F0082"/>
    <w:multiLevelType w:val="hybridMultilevel"/>
    <w:tmpl w:val="36F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613D32"/>
    <w:multiLevelType w:val="hybridMultilevel"/>
    <w:tmpl w:val="BF78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15D68"/>
    <w:multiLevelType w:val="hybridMultilevel"/>
    <w:tmpl w:val="3B021BC8"/>
    <w:lvl w:ilvl="0" w:tplc="1AE6450C">
      <w:start w:val="1"/>
      <w:numFmt w:val="bullet"/>
      <w:lvlText w:val="•"/>
      <w:lvlJc w:val="left"/>
      <w:pPr>
        <w:tabs>
          <w:tab w:val="num" w:pos="720"/>
        </w:tabs>
        <w:ind w:left="720" w:hanging="360"/>
      </w:pPr>
      <w:rPr>
        <w:rFonts w:ascii="Times" w:hAnsi="Times" w:hint="default"/>
      </w:rPr>
    </w:lvl>
    <w:lvl w:ilvl="1" w:tplc="64B62080" w:tentative="1">
      <w:start w:val="1"/>
      <w:numFmt w:val="bullet"/>
      <w:lvlText w:val="•"/>
      <w:lvlJc w:val="left"/>
      <w:pPr>
        <w:tabs>
          <w:tab w:val="num" w:pos="1440"/>
        </w:tabs>
        <w:ind w:left="1440" w:hanging="360"/>
      </w:pPr>
      <w:rPr>
        <w:rFonts w:ascii="Times" w:hAnsi="Times" w:hint="default"/>
      </w:rPr>
    </w:lvl>
    <w:lvl w:ilvl="2" w:tplc="278CB22C" w:tentative="1">
      <w:start w:val="1"/>
      <w:numFmt w:val="bullet"/>
      <w:lvlText w:val="•"/>
      <w:lvlJc w:val="left"/>
      <w:pPr>
        <w:tabs>
          <w:tab w:val="num" w:pos="2160"/>
        </w:tabs>
        <w:ind w:left="2160" w:hanging="360"/>
      </w:pPr>
      <w:rPr>
        <w:rFonts w:ascii="Times" w:hAnsi="Times" w:hint="default"/>
      </w:rPr>
    </w:lvl>
    <w:lvl w:ilvl="3" w:tplc="C85CE6B6" w:tentative="1">
      <w:start w:val="1"/>
      <w:numFmt w:val="bullet"/>
      <w:lvlText w:val="•"/>
      <w:lvlJc w:val="left"/>
      <w:pPr>
        <w:tabs>
          <w:tab w:val="num" w:pos="2880"/>
        </w:tabs>
        <w:ind w:left="2880" w:hanging="360"/>
      </w:pPr>
      <w:rPr>
        <w:rFonts w:ascii="Times" w:hAnsi="Times" w:hint="default"/>
      </w:rPr>
    </w:lvl>
    <w:lvl w:ilvl="4" w:tplc="5DCCDE80" w:tentative="1">
      <w:start w:val="1"/>
      <w:numFmt w:val="bullet"/>
      <w:lvlText w:val="•"/>
      <w:lvlJc w:val="left"/>
      <w:pPr>
        <w:tabs>
          <w:tab w:val="num" w:pos="3600"/>
        </w:tabs>
        <w:ind w:left="3600" w:hanging="360"/>
      </w:pPr>
      <w:rPr>
        <w:rFonts w:ascii="Times" w:hAnsi="Times" w:hint="default"/>
      </w:rPr>
    </w:lvl>
    <w:lvl w:ilvl="5" w:tplc="780A7E02" w:tentative="1">
      <w:start w:val="1"/>
      <w:numFmt w:val="bullet"/>
      <w:lvlText w:val="•"/>
      <w:lvlJc w:val="left"/>
      <w:pPr>
        <w:tabs>
          <w:tab w:val="num" w:pos="4320"/>
        </w:tabs>
        <w:ind w:left="4320" w:hanging="360"/>
      </w:pPr>
      <w:rPr>
        <w:rFonts w:ascii="Times" w:hAnsi="Times" w:hint="default"/>
      </w:rPr>
    </w:lvl>
    <w:lvl w:ilvl="6" w:tplc="A1C6BA14" w:tentative="1">
      <w:start w:val="1"/>
      <w:numFmt w:val="bullet"/>
      <w:lvlText w:val="•"/>
      <w:lvlJc w:val="left"/>
      <w:pPr>
        <w:tabs>
          <w:tab w:val="num" w:pos="5040"/>
        </w:tabs>
        <w:ind w:left="5040" w:hanging="360"/>
      </w:pPr>
      <w:rPr>
        <w:rFonts w:ascii="Times" w:hAnsi="Times" w:hint="default"/>
      </w:rPr>
    </w:lvl>
    <w:lvl w:ilvl="7" w:tplc="25F4835A" w:tentative="1">
      <w:start w:val="1"/>
      <w:numFmt w:val="bullet"/>
      <w:lvlText w:val="•"/>
      <w:lvlJc w:val="left"/>
      <w:pPr>
        <w:tabs>
          <w:tab w:val="num" w:pos="5760"/>
        </w:tabs>
        <w:ind w:left="5760" w:hanging="360"/>
      </w:pPr>
      <w:rPr>
        <w:rFonts w:ascii="Times" w:hAnsi="Times" w:hint="default"/>
      </w:rPr>
    </w:lvl>
    <w:lvl w:ilvl="8" w:tplc="A2E841BE"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F0C6D"/>
    <w:multiLevelType w:val="hybridMultilevel"/>
    <w:tmpl w:val="A74A58C6"/>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B7CBF"/>
    <w:multiLevelType w:val="hybridMultilevel"/>
    <w:tmpl w:val="1714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630977"/>
    <w:multiLevelType w:val="hybridMultilevel"/>
    <w:tmpl w:val="7B12D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18"/>
  </w:num>
  <w:num w:numId="6">
    <w:abstractNumId w:val="6"/>
  </w:num>
  <w:num w:numId="7">
    <w:abstractNumId w:val="8"/>
  </w:num>
  <w:num w:numId="8">
    <w:abstractNumId w:val="4"/>
  </w:num>
  <w:num w:numId="9">
    <w:abstractNumId w:val="19"/>
  </w:num>
  <w:num w:numId="10">
    <w:abstractNumId w:val="11"/>
  </w:num>
  <w:num w:numId="11">
    <w:abstractNumId w:val="12"/>
  </w:num>
  <w:num w:numId="12">
    <w:abstractNumId w:val="16"/>
  </w:num>
  <w:num w:numId="13">
    <w:abstractNumId w:val="17"/>
  </w:num>
  <w:num w:numId="14">
    <w:abstractNumId w:val="3"/>
  </w:num>
  <w:num w:numId="15">
    <w:abstractNumId w:val="0"/>
  </w:num>
  <w:num w:numId="16">
    <w:abstractNumId w:val="9"/>
  </w:num>
  <w:num w:numId="17">
    <w:abstractNumId w:val="13"/>
  </w:num>
  <w:num w:numId="18">
    <w:abstractNumId w:val="1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40"/>
    <w:rsid w:val="00001BB0"/>
    <w:rsid w:val="000336C8"/>
    <w:rsid w:val="00093949"/>
    <w:rsid w:val="00116B0E"/>
    <w:rsid w:val="00122B07"/>
    <w:rsid w:val="001460D8"/>
    <w:rsid w:val="00157970"/>
    <w:rsid w:val="0016487B"/>
    <w:rsid w:val="001866D4"/>
    <w:rsid w:val="00194DCA"/>
    <w:rsid w:val="00256A0A"/>
    <w:rsid w:val="0026720E"/>
    <w:rsid w:val="0031609A"/>
    <w:rsid w:val="003A1697"/>
    <w:rsid w:val="003E46BC"/>
    <w:rsid w:val="004643AA"/>
    <w:rsid w:val="00486940"/>
    <w:rsid w:val="004A1BA5"/>
    <w:rsid w:val="004F38AC"/>
    <w:rsid w:val="005B5BBC"/>
    <w:rsid w:val="005B7847"/>
    <w:rsid w:val="005C0C93"/>
    <w:rsid w:val="0062030E"/>
    <w:rsid w:val="006205AA"/>
    <w:rsid w:val="00684623"/>
    <w:rsid w:val="006A502B"/>
    <w:rsid w:val="006B3366"/>
    <w:rsid w:val="006D0C2A"/>
    <w:rsid w:val="006D4598"/>
    <w:rsid w:val="0072275B"/>
    <w:rsid w:val="00735118"/>
    <w:rsid w:val="007443C9"/>
    <w:rsid w:val="007546E7"/>
    <w:rsid w:val="007C6746"/>
    <w:rsid w:val="007D1A58"/>
    <w:rsid w:val="007E6D29"/>
    <w:rsid w:val="007F28E7"/>
    <w:rsid w:val="0082247A"/>
    <w:rsid w:val="00870812"/>
    <w:rsid w:val="0087668F"/>
    <w:rsid w:val="008D0685"/>
    <w:rsid w:val="008F586F"/>
    <w:rsid w:val="00921488"/>
    <w:rsid w:val="00926D8B"/>
    <w:rsid w:val="009331BF"/>
    <w:rsid w:val="00964484"/>
    <w:rsid w:val="009A324E"/>
    <w:rsid w:val="009A5FA3"/>
    <w:rsid w:val="009D3DBA"/>
    <w:rsid w:val="009E1F1B"/>
    <w:rsid w:val="00A010C8"/>
    <w:rsid w:val="00A0659F"/>
    <w:rsid w:val="00A10F2A"/>
    <w:rsid w:val="00A53101"/>
    <w:rsid w:val="00A76B49"/>
    <w:rsid w:val="00A96D12"/>
    <w:rsid w:val="00AB5EF1"/>
    <w:rsid w:val="00B403C3"/>
    <w:rsid w:val="00B43740"/>
    <w:rsid w:val="00C94037"/>
    <w:rsid w:val="00CE2101"/>
    <w:rsid w:val="00D062DB"/>
    <w:rsid w:val="00D101DD"/>
    <w:rsid w:val="00D31A90"/>
    <w:rsid w:val="00D9793E"/>
    <w:rsid w:val="00DC1372"/>
    <w:rsid w:val="00DD0EFC"/>
    <w:rsid w:val="00DD662A"/>
    <w:rsid w:val="00E36CBD"/>
    <w:rsid w:val="00EA7F4C"/>
    <w:rsid w:val="00EC70D5"/>
    <w:rsid w:val="00ED44AD"/>
    <w:rsid w:val="00EE646C"/>
    <w:rsid w:val="00F1731F"/>
    <w:rsid w:val="00F33AE7"/>
    <w:rsid w:val="00F4020B"/>
    <w:rsid w:val="00F54955"/>
    <w:rsid w:val="00F70142"/>
    <w:rsid w:val="00F71C32"/>
    <w:rsid w:val="00F823B7"/>
    <w:rsid w:val="00FA466C"/>
    <w:rsid w:val="00FD7C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560C8"/>
  <w15:docId w15:val="{463A998B-3422-461A-962C-7F2CA302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60D8"/>
    <w:pPr>
      <w:spacing w:after="120"/>
      <w:jc w:val="both"/>
    </w:pPr>
    <w:rPr>
      <w:rFonts w:ascii="Arial" w:hAnsi="Arial" w:cs="Times New Roman"/>
    </w:rPr>
  </w:style>
  <w:style w:type="paragraph" w:styleId="Heading1">
    <w:name w:val="heading 1"/>
    <w:basedOn w:val="H1"/>
    <w:next w:val="Normal"/>
    <w:link w:val="Heading1Char"/>
    <w:uiPriority w:val="9"/>
    <w:rsid w:val="001460D8"/>
  </w:style>
  <w:style w:type="paragraph" w:styleId="Heading2">
    <w:name w:val="heading 2"/>
    <w:basedOn w:val="Normal"/>
    <w:next w:val="Normal"/>
    <w:link w:val="Heading2Char"/>
    <w:uiPriority w:val="9"/>
    <w:unhideWhenUsed/>
    <w:qFormat/>
    <w:rsid w:val="001460D8"/>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1460D8"/>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60D8"/>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1460D8"/>
    <w:rPr>
      <w:rFonts w:ascii="Arial" w:eastAsiaTheme="minorHAnsi" w:hAnsi="Arial" w:cstheme="minorBidi"/>
      <w:szCs w:val="22"/>
    </w:rPr>
  </w:style>
  <w:style w:type="table" w:styleId="TableGrid">
    <w:name w:val="Table Grid"/>
    <w:basedOn w:val="TableNormal"/>
    <w:uiPriority w:val="59"/>
    <w:rsid w:val="001460D8"/>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0D8"/>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unhideWhenUsed/>
    <w:rsid w:val="001460D8"/>
    <w:rPr>
      <w:sz w:val="18"/>
      <w:szCs w:val="18"/>
    </w:rPr>
  </w:style>
  <w:style w:type="paragraph" w:styleId="CommentText">
    <w:name w:val="annotation text"/>
    <w:basedOn w:val="Normal"/>
    <w:link w:val="CommentTextChar"/>
    <w:uiPriority w:val="99"/>
    <w:unhideWhenUsed/>
    <w:rsid w:val="00E75DB8"/>
    <w:rPr>
      <w:sz w:val="24"/>
      <w:szCs w:val="24"/>
    </w:rPr>
  </w:style>
  <w:style w:type="character" w:customStyle="1" w:styleId="CommentTextChar">
    <w:name w:val="Comment Text Char"/>
    <w:basedOn w:val="DefaultParagraphFont"/>
    <w:link w:val="CommentText"/>
    <w:uiPriority w:val="99"/>
    <w:rsid w:val="00E75DB8"/>
    <w:rPr>
      <w:sz w:val="24"/>
      <w:szCs w:val="24"/>
      <w:lang w:val="en-GB"/>
    </w:rPr>
  </w:style>
  <w:style w:type="paragraph" w:styleId="CommentSubject">
    <w:name w:val="annotation subject"/>
    <w:basedOn w:val="Normal"/>
    <w:link w:val="CommentSubjectChar"/>
    <w:uiPriority w:val="99"/>
    <w:semiHidden/>
    <w:unhideWhenUsed/>
    <w:rsid w:val="001460D8"/>
    <w:rPr>
      <w:b/>
      <w:bCs/>
    </w:rPr>
  </w:style>
  <w:style w:type="character" w:customStyle="1" w:styleId="CommentSubjectChar">
    <w:name w:val="Comment Subject Char"/>
    <w:basedOn w:val="DefaultParagraphFont"/>
    <w:link w:val="CommentSubject"/>
    <w:uiPriority w:val="99"/>
    <w:semiHidden/>
    <w:rsid w:val="001460D8"/>
    <w:rPr>
      <w:rFonts w:ascii="Arial" w:hAnsi="Arial" w:cs="Times New Roman"/>
      <w:b/>
      <w:bCs/>
    </w:rPr>
  </w:style>
  <w:style w:type="paragraph" w:styleId="BalloonText">
    <w:name w:val="Balloon Text"/>
    <w:basedOn w:val="Normal"/>
    <w:link w:val="BalloonTextChar"/>
    <w:uiPriority w:val="99"/>
    <w:semiHidden/>
    <w:unhideWhenUsed/>
    <w:rsid w:val="001460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0D8"/>
    <w:rPr>
      <w:rFonts w:ascii="Lucida Grande" w:hAnsi="Lucida Grande" w:cs="Lucida Grande"/>
      <w:sz w:val="18"/>
      <w:szCs w:val="18"/>
    </w:rPr>
  </w:style>
  <w:style w:type="paragraph" w:styleId="Footer">
    <w:name w:val="footer"/>
    <w:basedOn w:val="Normal"/>
    <w:link w:val="FooterChar"/>
    <w:uiPriority w:val="99"/>
    <w:unhideWhenUsed/>
    <w:rsid w:val="001460D8"/>
    <w:pPr>
      <w:spacing w:after="0"/>
      <w:jc w:val="left"/>
    </w:pPr>
    <w:rPr>
      <w:sz w:val="16"/>
      <w:szCs w:val="18"/>
    </w:rPr>
  </w:style>
  <w:style w:type="character" w:customStyle="1" w:styleId="FooterChar">
    <w:name w:val="Footer Char"/>
    <w:basedOn w:val="DefaultParagraphFont"/>
    <w:link w:val="Footer"/>
    <w:uiPriority w:val="99"/>
    <w:rsid w:val="001460D8"/>
    <w:rPr>
      <w:rFonts w:ascii="Arial" w:hAnsi="Arial" w:cs="Times New Roman"/>
      <w:sz w:val="16"/>
      <w:szCs w:val="18"/>
    </w:rPr>
  </w:style>
  <w:style w:type="character" w:styleId="PageNumber">
    <w:name w:val="page number"/>
    <w:basedOn w:val="DefaultParagraphFont"/>
    <w:uiPriority w:val="99"/>
    <w:unhideWhenUsed/>
    <w:rsid w:val="001460D8"/>
    <w:rPr>
      <w:b/>
    </w:rPr>
  </w:style>
  <w:style w:type="paragraph" w:styleId="Header">
    <w:name w:val="header"/>
    <w:basedOn w:val="Normal"/>
    <w:link w:val="HeaderChar"/>
    <w:uiPriority w:val="99"/>
    <w:unhideWhenUsed/>
    <w:rsid w:val="001460D8"/>
    <w:pPr>
      <w:spacing w:after="0" w:line="288" w:lineRule="auto"/>
      <w:jc w:val="left"/>
    </w:pPr>
    <w:rPr>
      <w:sz w:val="16"/>
    </w:rPr>
  </w:style>
  <w:style w:type="character" w:customStyle="1" w:styleId="HeaderChar">
    <w:name w:val="Header Char"/>
    <w:basedOn w:val="DefaultParagraphFont"/>
    <w:link w:val="Header"/>
    <w:uiPriority w:val="99"/>
    <w:rsid w:val="001460D8"/>
    <w:rPr>
      <w:rFonts w:ascii="Arial" w:hAnsi="Arial" w:cs="Times New Roman"/>
      <w:sz w:val="16"/>
    </w:rPr>
  </w:style>
  <w:style w:type="character" w:styleId="Hyperlink">
    <w:name w:val="Hyperlink"/>
    <w:basedOn w:val="DefaultParagraphFont"/>
    <w:uiPriority w:val="99"/>
    <w:unhideWhenUsed/>
    <w:rsid w:val="001460D8"/>
    <w:rPr>
      <w:color w:val="0000FF" w:themeColor="hyperlink"/>
      <w:u w:val="single"/>
    </w:rPr>
  </w:style>
  <w:style w:type="character" w:styleId="FollowedHyperlink">
    <w:name w:val="FollowedHyperlink"/>
    <w:basedOn w:val="DefaultParagraphFont"/>
    <w:uiPriority w:val="99"/>
    <w:semiHidden/>
    <w:unhideWhenUsed/>
    <w:rsid w:val="001460D8"/>
    <w:rPr>
      <w:color w:val="800080" w:themeColor="followedHyperlink"/>
      <w:u w:val="single"/>
    </w:rPr>
  </w:style>
  <w:style w:type="character" w:customStyle="1" w:styleId="Heading1Char">
    <w:name w:val="Heading 1 Char"/>
    <w:basedOn w:val="DefaultParagraphFont"/>
    <w:link w:val="Heading1"/>
    <w:uiPriority w:val="9"/>
    <w:rsid w:val="001460D8"/>
    <w:rPr>
      <w:rFonts w:ascii="Arial" w:hAnsi="Arial" w:cs="Times New Roman"/>
      <w:b/>
      <w:sz w:val="40"/>
      <w:szCs w:val="52"/>
    </w:rPr>
  </w:style>
  <w:style w:type="character" w:customStyle="1" w:styleId="Heading2Char">
    <w:name w:val="Heading 2 Char"/>
    <w:basedOn w:val="DefaultParagraphFont"/>
    <w:link w:val="Heading2"/>
    <w:uiPriority w:val="9"/>
    <w:rsid w:val="001460D8"/>
    <w:rPr>
      <w:rFonts w:ascii="Arial" w:hAnsi="Arial" w:cs="Times New Roman"/>
      <w:b/>
      <w:caps/>
      <w:sz w:val="24"/>
      <w:szCs w:val="26"/>
    </w:rPr>
  </w:style>
  <w:style w:type="character" w:customStyle="1" w:styleId="Heading3Char">
    <w:name w:val="Heading 3 Char"/>
    <w:basedOn w:val="DefaultParagraphFont"/>
    <w:link w:val="Heading3"/>
    <w:uiPriority w:val="9"/>
    <w:rsid w:val="001460D8"/>
    <w:rPr>
      <w:rFonts w:ascii="Arial" w:hAnsi="Arial" w:cs="Times New Roman"/>
      <w:b/>
      <w:sz w:val="22"/>
      <w:szCs w:val="24"/>
    </w:rPr>
  </w:style>
  <w:style w:type="paragraph" w:styleId="FootnoteText">
    <w:name w:val="footnote text"/>
    <w:basedOn w:val="Normal"/>
    <w:link w:val="FootnoteTextChar"/>
    <w:uiPriority w:val="99"/>
    <w:unhideWhenUsed/>
    <w:rsid w:val="001460D8"/>
    <w:pPr>
      <w:spacing w:after="0"/>
    </w:pPr>
    <w:rPr>
      <w:sz w:val="16"/>
      <w:szCs w:val="22"/>
    </w:rPr>
  </w:style>
  <w:style w:type="character" w:customStyle="1" w:styleId="FootnoteTextChar">
    <w:name w:val="Footnote Text Char"/>
    <w:basedOn w:val="DefaultParagraphFont"/>
    <w:link w:val="FootnoteText"/>
    <w:uiPriority w:val="99"/>
    <w:rsid w:val="001460D8"/>
    <w:rPr>
      <w:rFonts w:ascii="Arial" w:hAnsi="Arial" w:cs="Times New Roman"/>
      <w:sz w:val="16"/>
      <w:szCs w:val="22"/>
    </w:rPr>
  </w:style>
  <w:style w:type="character" w:styleId="FootnoteReference">
    <w:name w:val="footnote reference"/>
    <w:basedOn w:val="DefaultParagraphFont"/>
    <w:uiPriority w:val="99"/>
    <w:unhideWhenUsed/>
    <w:rsid w:val="001460D8"/>
    <w:rPr>
      <w:vertAlign w:val="superscript"/>
    </w:rPr>
  </w:style>
  <w:style w:type="paragraph" w:styleId="Revision">
    <w:name w:val="Revision"/>
    <w:hidden/>
    <w:uiPriority w:val="99"/>
    <w:semiHidden/>
    <w:rsid w:val="001460D8"/>
    <w:rPr>
      <w:rFonts w:ascii="Arial" w:hAnsi="Arial" w:cs="Arial"/>
      <w:sz w:val="21"/>
      <w:szCs w:val="21"/>
    </w:rPr>
  </w:style>
  <w:style w:type="paragraph" w:customStyle="1" w:styleId="BasicParagraph">
    <w:name w:val="[Basic Paragraph]"/>
    <w:basedOn w:val="Normal"/>
    <w:uiPriority w:val="99"/>
    <w:rsid w:val="001460D8"/>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1460D8"/>
    <w:pPr>
      <w:spacing w:before="360" w:after="240"/>
      <w:jc w:val="left"/>
      <w:outlineLvl w:val="0"/>
    </w:pPr>
    <w:rPr>
      <w:b/>
      <w:sz w:val="40"/>
      <w:szCs w:val="52"/>
    </w:rPr>
  </w:style>
  <w:style w:type="paragraph" w:customStyle="1" w:styleId="Bullet1">
    <w:name w:val="Bullet 1"/>
    <w:basedOn w:val="Normal"/>
    <w:rsid w:val="001460D8"/>
    <w:pPr>
      <w:numPr>
        <w:numId w:val="14"/>
      </w:numPr>
      <w:spacing w:before="60"/>
    </w:pPr>
    <w:rPr>
      <w:rFonts w:eastAsia="Times New Roman"/>
      <w:color w:val="000000"/>
    </w:rPr>
  </w:style>
  <w:style w:type="paragraph" w:customStyle="1" w:styleId="RefItem1">
    <w:name w:val="Ref Item 1"/>
    <w:basedOn w:val="Normal"/>
    <w:rsid w:val="001460D8"/>
    <w:pPr>
      <w:jc w:val="left"/>
    </w:pPr>
    <w:rPr>
      <w:color w:val="000000"/>
      <w:szCs w:val="24"/>
      <w:lang w:eastAsia="it-IT"/>
    </w:rPr>
  </w:style>
  <w:style w:type="paragraph" w:customStyle="1" w:styleId="RefTitre">
    <w:name w:val="Ref Titre"/>
    <w:basedOn w:val="Normal"/>
    <w:rsid w:val="001460D8"/>
    <w:pPr>
      <w:jc w:val="left"/>
    </w:pPr>
    <w:rPr>
      <w:rFonts w:eastAsia="Times New Roman"/>
      <w:b/>
      <w:bCs/>
      <w:sz w:val="26"/>
      <w:szCs w:val="26"/>
    </w:rPr>
  </w:style>
  <w:style w:type="paragraph" w:customStyle="1" w:styleId="Header1">
    <w:name w:val="Header 1"/>
    <w:basedOn w:val="Header"/>
    <w:rsid w:val="001460D8"/>
    <w:rPr>
      <w:b/>
      <w:sz w:val="24"/>
      <w:szCs w:val="24"/>
    </w:rPr>
  </w:style>
  <w:style w:type="character" w:customStyle="1" w:styleId="Pantone485">
    <w:name w:val="Pantone 485"/>
    <w:basedOn w:val="DefaultParagraphFont"/>
    <w:uiPriority w:val="1"/>
    <w:qFormat/>
    <w:rsid w:val="001460D8"/>
    <w:rPr>
      <w:rFonts w:cs="Caecilia-Light"/>
      <w:color w:val="DC281E"/>
      <w:szCs w:val="16"/>
    </w:rPr>
  </w:style>
  <w:style w:type="character" w:customStyle="1" w:styleId="H1Char">
    <w:name w:val="H1 Char"/>
    <w:basedOn w:val="DefaultParagraphFont"/>
    <w:link w:val="H1"/>
    <w:rsid w:val="001460D8"/>
    <w:rPr>
      <w:rFonts w:ascii="Arial" w:hAnsi="Arial" w:cs="Times New Roman"/>
      <w:b/>
      <w:sz w:val="40"/>
      <w:szCs w:val="52"/>
    </w:rPr>
  </w:style>
  <w:style w:type="table" w:customStyle="1" w:styleId="TableGray">
    <w:name w:val="Table Gray"/>
    <w:basedOn w:val="TableNormal"/>
    <w:uiPriority w:val="99"/>
    <w:rsid w:val="001460D8"/>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1460D8"/>
    <w:pPr>
      <w:numPr>
        <w:numId w:val="17"/>
      </w:numPr>
      <w:tabs>
        <w:tab w:val="left" w:pos="7230"/>
      </w:tabs>
      <w:spacing w:before="120" w:after="120"/>
      <w:contextualSpacing w:val="0"/>
    </w:pPr>
    <w:rPr>
      <w:rFonts w:cs="Arial"/>
    </w:rPr>
  </w:style>
  <w:style w:type="paragraph" w:customStyle="1" w:styleId="ListNumber1">
    <w:name w:val="List Number 1"/>
    <w:basedOn w:val="Normal"/>
    <w:rsid w:val="001460D8"/>
    <w:pPr>
      <w:numPr>
        <w:ilvl w:val="1"/>
        <w:numId w:val="15"/>
      </w:numPr>
      <w:contextualSpacing/>
    </w:pPr>
    <w:rPr>
      <w:rFonts w:eastAsiaTheme="minorHAnsi" w:cstheme="minorHAnsi"/>
      <w:szCs w:val="22"/>
    </w:rPr>
  </w:style>
  <w:style w:type="paragraph" w:customStyle="1" w:styleId="NormalNo">
    <w:name w:val="Normal + No"/>
    <w:basedOn w:val="Normal"/>
    <w:qFormat/>
    <w:rsid w:val="001460D8"/>
    <w:pPr>
      <w:numPr>
        <w:numId w:val="16"/>
      </w:numPr>
    </w:pPr>
    <w:rPr>
      <w:rFonts w:eastAsia="MS Mincho"/>
      <w:b/>
      <w:sz w:val="22"/>
    </w:rPr>
  </w:style>
  <w:style w:type="paragraph" w:customStyle="1" w:styleId="Bullet3">
    <w:name w:val="Bullet 3"/>
    <w:basedOn w:val="ListParagraph"/>
    <w:qFormat/>
    <w:rsid w:val="001460D8"/>
    <w:pPr>
      <w:numPr>
        <w:numId w:val="18"/>
      </w:numPr>
      <w:spacing w:before="120" w:after="120"/>
      <w:ind w:right="425"/>
    </w:pPr>
    <w:rPr>
      <w:rFonts w:cs="Arial"/>
      <w:i/>
      <w:iCs/>
    </w:rPr>
  </w:style>
  <w:style w:type="paragraph" w:customStyle="1" w:styleId="Indent">
    <w:name w:val="Indent"/>
    <w:basedOn w:val="Normal"/>
    <w:qFormat/>
    <w:rsid w:val="001460D8"/>
    <w:pPr>
      <w:ind w:left="567"/>
    </w:pPr>
    <w:rPr>
      <w:rFonts w:cs="Arial"/>
      <w:b/>
    </w:rPr>
  </w:style>
  <w:style w:type="paragraph" w:customStyle="1" w:styleId="TitreTableau">
    <w:name w:val="Titre Tableau"/>
    <w:basedOn w:val="Normal"/>
    <w:qFormat/>
    <w:rsid w:val="001460D8"/>
    <w:pPr>
      <w:spacing w:before="120"/>
      <w:jc w:val="center"/>
    </w:pPr>
    <w:rPr>
      <w:rFonts w:cs="Arial"/>
      <w:b/>
      <w:bCs/>
      <w:color w:val="FFFFFF" w:themeColor="background1"/>
      <w:lang w:val="en-CA"/>
    </w:rPr>
  </w:style>
  <w:style w:type="paragraph" w:customStyle="1" w:styleId="BulletTableau">
    <w:name w:val="Bullet Tableau"/>
    <w:basedOn w:val="Bullet2"/>
    <w:qFormat/>
    <w:rsid w:val="001460D8"/>
    <w:pPr>
      <w:keepNext/>
      <w:keepLines/>
      <w:framePr w:hSpace="141" w:wrap="around" w:vAnchor="text" w:hAnchor="margin" w:y="402"/>
      <w:numPr>
        <w:numId w:val="19"/>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1121">
      <w:bodyDiv w:val="1"/>
      <w:marLeft w:val="0"/>
      <w:marRight w:val="0"/>
      <w:marTop w:val="0"/>
      <w:marBottom w:val="0"/>
      <w:divBdr>
        <w:top w:val="none" w:sz="0" w:space="0" w:color="auto"/>
        <w:left w:val="none" w:sz="0" w:space="0" w:color="auto"/>
        <w:bottom w:val="none" w:sz="0" w:space="0" w:color="auto"/>
        <w:right w:val="none" w:sz="0" w:space="0" w:color="auto"/>
      </w:divBdr>
    </w:div>
    <w:div w:id="271785179">
      <w:bodyDiv w:val="1"/>
      <w:marLeft w:val="0"/>
      <w:marRight w:val="0"/>
      <w:marTop w:val="0"/>
      <w:marBottom w:val="0"/>
      <w:divBdr>
        <w:top w:val="none" w:sz="0" w:space="0" w:color="auto"/>
        <w:left w:val="none" w:sz="0" w:space="0" w:color="auto"/>
        <w:bottom w:val="none" w:sz="0" w:space="0" w:color="auto"/>
        <w:right w:val="none" w:sz="0" w:space="0" w:color="auto"/>
      </w:divBdr>
    </w:div>
    <w:div w:id="658047550">
      <w:bodyDiv w:val="1"/>
      <w:marLeft w:val="0"/>
      <w:marRight w:val="0"/>
      <w:marTop w:val="0"/>
      <w:marBottom w:val="0"/>
      <w:divBdr>
        <w:top w:val="none" w:sz="0" w:space="0" w:color="auto"/>
        <w:left w:val="none" w:sz="0" w:space="0" w:color="auto"/>
        <w:bottom w:val="none" w:sz="0" w:space="0" w:color="auto"/>
        <w:right w:val="none" w:sz="0" w:space="0" w:color="auto"/>
      </w:divBdr>
    </w:div>
    <w:div w:id="664744454">
      <w:bodyDiv w:val="1"/>
      <w:marLeft w:val="0"/>
      <w:marRight w:val="0"/>
      <w:marTop w:val="0"/>
      <w:marBottom w:val="0"/>
      <w:divBdr>
        <w:top w:val="none" w:sz="0" w:space="0" w:color="auto"/>
        <w:left w:val="none" w:sz="0" w:space="0" w:color="auto"/>
        <w:bottom w:val="none" w:sz="0" w:space="0" w:color="auto"/>
        <w:right w:val="none" w:sz="0" w:space="0" w:color="auto"/>
      </w:divBdr>
    </w:div>
    <w:div w:id="813834297">
      <w:bodyDiv w:val="1"/>
      <w:marLeft w:val="0"/>
      <w:marRight w:val="0"/>
      <w:marTop w:val="0"/>
      <w:marBottom w:val="0"/>
      <w:divBdr>
        <w:top w:val="none" w:sz="0" w:space="0" w:color="auto"/>
        <w:left w:val="none" w:sz="0" w:space="0" w:color="auto"/>
        <w:bottom w:val="none" w:sz="0" w:space="0" w:color="auto"/>
        <w:right w:val="none" w:sz="0" w:space="0" w:color="auto"/>
      </w:divBdr>
    </w:div>
    <w:div w:id="956763289">
      <w:bodyDiv w:val="1"/>
      <w:marLeft w:val="0"/>
      <w:marRight w:val="0"/>
      <w:marTop w:val="0"/>
      <w:marBottom w:val="0"/>
      <w:divBdr>
        <w:top w:val="none" w:sz="0" w:space="0" w:color="auto"/>
        <w:left w:val="none" w:sz="0" w:space="0" w:color="auto"/>
        <w:bottom w:val="none" w:sz="0" w:space="0" w:color="auto"/>
        <w:right w:val="none" w:sz="0" w:space="0" w:color="auto"/>
      </w:divBdr>
      <w:divsChild>
        <w:div w:id="2113360194">
          <w:marLeft w:val="547"/>
          <w:marRight w:val="0"/>
          <w:marTop w:val="0"/>
          <w:marBottom w:val="0"/>
          <w:divBdr>
            <w:top w:val="none" w:sz="0" w:space="0" w:color="auto"/>
            <w:left w:val="none" w:sz="0" w:space="0" w:color="auto"/>
            <w:bottom w:val="none" w:sz="0" w:space="0" w:color="auto"/>
            <w:right w:val="none" w:sz="0" w:space="0" w:color="auto"/>
          </w:divBdr>
        </w:div>
        <w:div w:id="1445344227">
          <w:marLeft w:val="547"/>
          <w:marRight w:val="0"/>
          <w:marTop w:val="0"/>
          <w:marBottom w:val="0"/>
          <w:divBdr>
            <w:top w:val="none" w:sz="0" w:space="0" w:color="auto"/>
            <w:left w:val="none" w:sz="0" w:space="0" w:color="auto"/>
            <w:bottom w:val="none" w:sz="0" w:space="0" w:color="auto"/>
            <w:right w:val="none" w:sz="0" w:space="0" w:color="auto"/>
          </w:divBdr>
        </w:div>
        <w:div w:id="1434664639">
          <w:marLeft w:val="547"/>
          <w:marRight w:val="0"/>
          <w:marTop w:val="0"/>
          <w:marBottom w:val="0"/>
          <w:divBdr>
            <w:top w:val="none" w:sz="0" w:space="0" w:color="auto"/>
            <w:left w:val="none" w:sz="0" w:space="0" w:color="auto"/>
            <w:bottom w:val="none" w:sz="0" w:space="0" w:color="auto"/>
            <w:right w:val="none" w:sz="0" w:space="0" w:color="auto"/>
          </w:divBdr>
        </w:div>
        <w:div w:id="671177040">
          <w:marLeft w:val="547"/>
          <w:marRight w:val="0"/>
          <w:marTop w:val="0"/>
          <w:marBottom w:val="0"/>
          <w:divBdr>
            <w:top w:val="none" w:sz="0" w:space="0" w:color="auto"/>
            <w:left w:val="none" w:sz="0" w:space="0" w:color="auto"/>
            <w:bottom w:val="none" w:sz="0" w:space="0" w:color="auto"/>
            <w:right w:val="none" w:sz="0" w:space="0" w:color="auto"/>
          </w:divBdr>
        </w:div>
        <w:div w:id="1703282671">
          <w:marLeft w:val="547"/>
          <w:marRight w:val="0"/>
          <w:marTop w:val="0"/>
          <w:marBottom w:val="0"/>
          <w:divBdr>
            <w:top w:val="none" w:sz="0" w:space="0" w:color="auto"/>
            <w:left w:val="none" w:sz="0" w:space="0" w:color="auto"/>
            <w:bottom w:val="none" w:sz="0" w:space="0" w:color="auto"/>
            <w:right w:val="none" w:sz="0" w:space="0" w:color="auto"/>
          </w:divBdr>
        </w:div>
        <w:div w:id="791946294">
          <w:marLeft w:val="547"/>
          <w:marRight w:val="0"/>
          <w:marTop w:val="0"/>
          <w:marBottom w:val="0"/>
          <w:divBdr>
            <w:top w:val="none" w:sz="0" w:space="0" w:color="auto"/>
            <w:left w:val="none" w:sz="0" w:space="0" w:color="auto"/>
            <w:bottom w:val="none" w:sz="0" w:space="0" w:color="auto"/>
            <w:right w:val="none" w:sz="0" w:space="0" w:color="auto"/>
          </w:divBdr>
        </w:div>
      </w:divsChild>
    </w:div>
    <w:div w:id="1904639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c.org/Global/Publications/disasters/finance/cash-guidelines-e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o.org/fileadmin/user_upload/emergencies/docs/Response_Analysis_Framework_DiscussionPapers.pdf" TargetMode="External"/><Relationship Id="rId4" Type="http://schemas.openxmlformats.org/officeDocument/2006/relationships/webSettings" Target="webSettings.xml"/><Relationship Id="rId9" Type="http://schemas.openxmlformats.org/officeDocument/2006/relationships/hyperlink" Target="http://www.odihpn.org/documents%2Fgpr11.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10</TotalTime>
  <Pages>3</Pages>
  <Words>1201</Words>
  <Characters>6848</Characters>
  <Application>Microsoft Office Word</Application>
  <DocSecurity>0</DocSecurity>
  <Lines>57</Lines>
  <Paragraphs>16</Paragraphs>
  <ScaleCrop>false</ScaleCrop>
  <Company>Private</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Claire HOLMAN</cp:lastModifiedBy>
  <cp:revision>4</cp:revision>
  <cp:lastPrinted>2015-09-25T19:37:00Z</cp:lastPrinted>
  <dcterms:created xsi:type="dcterms:W3CDTF">2016-08-02T12:46:00Z</dcterms:created>
  <dcterms:modified xsi:type="dcterms:W3CDTF">2017-02-23T12:57:00Z</dcterms:modified>
</cp:coreProperties>
</file>