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58E37" w14:textId="7B4BBDB3" w:rsidR="00B07EFC" w:rsidRPr="00D45D24" w:rsidRDefault="00D34DBF" w:rsidP="00D57984">
      <w:pPr>
        <w:pStyle w:val="H1"/>
        <w:rPr>
          <w:rFonts w:cs="Arial"/>
        </w:rPr>
      </w:pPr>
      <w:r w:rsidRPr="00D45D24">
        <w:rPr>
          <w:rFonts w:cs="Arial"/>
        </w:rPr>
        <w:t>Roadmap for decisions on the</w:t>
      </w:r>
      <w:r w:rsidR="00205729" w:rsidRPr="00D45D24">
        <w:rPr>
          <w:rFonts w:cs="Arial"/>
        </w:rPr>
        <w:t xml:space="preserve"> value and frequency of the</w:t>
      </w:r>
      <w:r w:rsidRPr="00D45D24">
        <w:rPr>
          <w:rFonts w:cs="Arial"/>
        </w:rPr>
        <w:t xml:space="preserve"> transfer</w:t>
      </w:r>
    </w:p>
    <w:p w14:paraId="39C305B2" w14:textId="58A60E9D" w:rsidR="00ED4F9F" w:rsidRPr="00D45D24" w:rsidRDefault="00476C63" w:rsidP="00D57984">
      <w:pPr>
        <w:pStyle w:val="H1"/>
        <w:ind w:left="-170"/>
        <w:rPr>
          <w:rFonts w:cs="Arial"/>
          <w:sz w:val="20"/>
          <w:szCs w:val="20"/>
        </w:rPr>
      </w:pPr>
      <w:r>
        <w:rPr>
          <w:rFonts w:cs="Arial"/>
        </w:rPr>
        <w:pict w14:anchorId="50A682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50pt">
            <v:imagedata r:id="rId7" o:title="03B-Response Analysis-rodmap-EN2"/>
          </v:shape>
        </w:pict>
      </w:r>
    </w:p>
    <w:p w14:paraId="7F0D8BCC" w14:textId="77777777" w:rsidR="00EF2552" w:rsidRPr="00D45D24" w:rsidRDefault="00EF2552" w:rsidP="00507CFF">
      <w:pPr>
        <w:pStyle w:val="Heading2"/>
        <w:rPr>
          <w:rFonts w:cs="Arial"/>
        </w:rPr>
      </w:pPr>
      <w:r w:rsidRPr="00D45D24">
        <w:rPr>
          <w:rFonts w:cs="Arial"/>
        </w:rPr>
        <w:t>INTRODUCTION</w:t>
      </w:r>
    </w:p>
    <w:p w14:paraId="494D7DFD" w14:textId="3C456CD3" w:rsidR="00C56C52" w:rsidRPr="00D45D24" w:rsidRDefault="00C56C52" w:rsidP="00D45D24">
      <w:pPr>
        <w:rPr>
          <w:rFonts w:cs="Arial"/>
        </w:rPr>
      </w:pPr>
      <w:r w:rsidRPr="00D45D24">
        <w:rPr>
          <w:rFonts w:cs="Arial"/>
        </w:rPr>
        <w:t>This road</w:t>
      </w:r>
      <w:r w:rsidR="002E40E0" w:rsidRPr="00D45D24">
        <w:rPr>
          <w:rFonts w:cs="Arial"/>
        </w:rPr>
        <w:t xml:space="preserve"> </w:t>
      </w:r>
      <w:r w:rsidRPr="00D45D24">
        <w:rPr>
          <w:rFonts w:cs="Arial"/>
        </w:rPr>
        <w:t xml:space="preserve">map will guide you through the process of deciding on the value and frequency of the cash transfer that best meets the objectives established for the emergency response. </w:t>
      </w:r>
    </w:p>
    <w:p w14:paraId="31F5C207" w14:textId="2A07E806" w:rsidR="00C56C52" w:rsidRPr="00D45D24" w:rsidRDefault="00C56C52" w:rsidP="00D45D24">
      <w:pPr>
        <w:rPr>
          <w:rFonts w:cs="Arial"/>
        </w:rPr>
      </w:pPr>
      <w:r w:rsidRPr="00D45D24">
        <w:rPr>
          <w:rFonts w:cs="Arial"/>
        </w:rPr>
        <w:t>The road</w:t>
      </w:r>
      <w:r w:rsidR="002E40E0" w:rsidRPr="00D45D24">
        <w:rPr>
          <w:rFonts w:cs="Arial"/>
        </w:rPr>
        <w:t xml:space="preserve"> </w:t>
      </w:r>
      <w:r w:rsidRPr="00D45D24">
        <w:rPr>
          <w:rFonts w:cs="Arial"/>
        </w:rPr>
        <w:t xml:space="preserve">map also provides suggestions on which CiE tools are most useful for this step and sub-steps. The tools will need to be adapted to your need and context. </w:t>
      </w:r>
    </w:p>
    <w:p w14:paraId="3C214E1A" w14:textId="77777777" w:rsidR="00C56C52" w:rsidRPr="00D45D24" w:rsidRDefault="00C56C52" w:rsidP="00D45D24">
      <w:pPr>
        <w:rPr>
          <w:rFonts w:cs="Arial"/>
        </w:rPr>
      </w:pPr>
      <w:r w:rsidRPr="00D45D24">
        <w:rPr>
          <w:rFonts w:cs="Arial"/>
        </w:rPr>
        <w:t xml:space="preserve">You should always aim to comply with the minimum standards listed under this step, as this will contribute to the quality of your CTP response. </w:t>
      </w:r>
    </w:p>
    <w:p w14:paraId="64BE00D4" w14:textId="77777777" w:rsidR="00C56C52" w:rsidRPr="00D45D24" w:rsidRDefault="00C56C52" w:rsidP="00D45D24">
      <w:pPr>
        <w:rPr>
          <w:rFonts w:cs="Arial"/>
        </w:rPr>
      </w:pPr>
      <w:r w:rsidRPr="00D45D24">
        <w:rPr>
          <w:rFonts w:cs="Arial"/>
        </w:rPr>
        <w:t xml:space="preserve">It is likely that you will need to </w:t>
      </w:r>
      <w:r w:rsidRPr="00D45D24">
        <w:rPr>
          <w:rFonts w:cs="Arial"/>
          <w:b/>
        </w:rPr>
        <w:t>move back and forth</w:t>
      </w:r>
      <w:r w:rsidRPr="00D45D24">
        <w:rPr>
          <w:rFonts w:cs="Arial"/>
        </w:rPr>
        <w:t xml:space="preserve"> between the different sub-steps to guide your decision-making as information and processes are completed and feed into each sub-step.</w:t>
      </w:r>
    </w:p>
    <w:p w14:paraId="6832A67F" w14:textId="4D84FC05" w:rsidR="00C56C52" w:rsidRPr="00D45D24" w:rsidRDefault="00C56C52" w:rsidP="00D45D24">
      <w:pPr>
        <w:rPr>
          <w:rFonts w:cs="Arial"/>
        </w:rPr>
      </w:pPr>
      <w:r w:rsidRPr="00D45D24">
        <w:rPr>
          <w:rFonts w:cs="Arial"/>
        </w:rPr>
        <w:t xml:space="preserve">If you need more detailed guidance on </w:t>
      </w:r>
      <w:r w:rsidR="006B7328" w:rsidRPr="00D45D24">
        <w:rPr>
          <w:rFonts w:cs="Arial"/>
        </w:rPr>
        <w:t xml:space="preserve">the value and the frequency of the </w:t>
      </w:r>
      <w:r w:rsidR="00F62663" w:rsidRPr="00D45D24">
        <w:rPr>
          <w:rFonts w:cs="Arial"/>
        </w:rPr>
        <w:t>transfer</w:t>
      </w:r>
      <w:r w:rsidRPr="00D45D24">
        <w:rPr>
          <w:rFonts w:cs="Arial"/>
        </w:rPr>
        <w:t>, consult the reference documents suggested at the end of this road</w:t>
      </w:r>
      <w:r w:rsidR="002E40E0" w:rsidRPr="00D45D24">
        <w:rPr>
          <w:rFonts w:cs="Arial"/>
        </w:rPr>
        <w:t xml:space="preserve"> </w:t>
      </w:r>
      <w:r w:rsidRPr="00D45D24">
        <w:rPr>
          <w:rFonts w:cs="Arial"/>
        </w:rPr>
        <w:t>map.</w:t>
      </w:r>
    </w:p>
    <w:p w14:paraId="43FD74A5" w14:textId="77777777" w:rsidR="00EF2552" w:rsidRPr="00D45D24" w:rsidRDefault="00EF2552" w:rsidP="00507CFF">
      <w:pPr>
        <w:pStyle w:val="Heading2"/>
        <w:rPr>
          <w:rFonts w:cs="Arial"/>
        </w:rPr>
      </w:pPr>
      <w:r w:rsidRPr="00D45D24">
        <w:rPr>
          <w:rFonts w:cs="Arial"/>
        </w:rPr>
        <w:t>MINIMUM STANDARDS</w:t>
      </w:r>
    </w:p>
    <w:p w14:paraId="668AB0A0" w14:textId="77777777" w:rsidR="00ED5D88" w:rsidRPr="00D45D24" w:rsidRDefault="00ED5D88" w:rsidP="00ED5D88">
      <w:pPr>
        <w:pStyle w:val="Bullet1"/>
        <w:rPr>
          <w:rFonts w:cs="Arial"/>
        </w:rPr>
      </w:pPr>
      <w:r>
        <w:rPr>
          <w:rFonts w:cs="Arial"/>
        </w:rPr>
        <w:t>Involve stakeholders, particularly the government, humanitarian actors and local communities in the process of setting the value of the transfer.</w:t>
      </w:r>
    </w:p>
    <w:p w14:paraId="6D70C39E" w14:textId="2E31D14C" w:rsidR="00EF2552" w:rsidRDefault="00393AA3" w:rsidP="00507CFF">
      <w:pPr>
        <w:pStyle w:val="Bullet1"/>
        <w:rPr>
          <w:rFonts w:cs="Arial"/>
        </w:rPr>
      </w:pPr>
      <w:bookmarkStart w:id="0" w:name="_GoBack"/>
      <w:bookmarkEnd w:id="0"/>
      <w:r>
        <w:rPr>
          <w:rFonts w:cs="Arial"/>
        </w:rPr>
        <w:t>When setting the value of the transfer, c</w:t>
      </w:r>
      <w:r w:rsidR="00EF2552" w:rsidRPr="00D45D24">
        <w:rPr>
          <w:rFonts w:cs="Arial"/>
        </w:rPr>
        <w:t xml:space="preserve">onsider the cost of a </w:t>
      </w:r>
      <w:r>
        <w:rPr>
          <w:rFonts w:cs="Arial"/>
        </w:rPr>
        <w:t>M</w:t>
      </w:r>
      <w:r w:rsidRPr="00D45D24">
        <w:rPr>
          <w:rFonts w:cs="Arial"/>
        </w:rPr>
        <w:t xml:space="preserve">inimum </w:t>
      </w:r>
      <w:r>
        <w:rPr>
          <w:rFonts w:cs="Arial"/>
        </w:rPr>
        <w:t>E</w:t>
      </w:r>
      <w:r w:rsidRPr="00D45D24">
        <w:rPr>
          <w:rFonts w:cs="Arial"/>
        </w:rPr>
        <w:t xml:space="preserve">xpenditure </w:t>
      </w:r>
      <w:r>
        <w:rPr>
          <w:rFonts w:cs="Arial"/>
        </w:rPr>
        <w:t>B</w:t>
      </w:r>
      <w:r w:rsidRPr="00D45D24">
        <w:rPr>
          <w:rFonts w:cs="Arial"/>
        </w:rPr>
        <w:t>asket</w:t>
      </w:r>
      <w:r>
        <w:rPr>
          <w:rFonts w:cs="Arial"/>
        </w:rPr>
        <w:t xml:space="preserve"> (MEB)</w:t>
      </w:r>
      <w:r w:rsidR="007C1CA3">
        <w:rPr>
          <w:rFonts w:cs="Arial"/>
        </w:rPr>
        <w:t xml:space="preserve"> and</w:t>
      </w:r>
      <w:r w:rsidR="00BB6AFC">
        <w:rPr>
          <w:rFonts w:cs="Arial"/>
        </w:rPr>
        <w:t>,</w:t>
      </w:r>
      <w:r w:rsidR="007C1CA3">
        <w:rPr>
          <w:rFonts w:cs="Arial"/>
        </w:rPr>
        <w:t xml:space="preserve"> </w:t>
      </w:r>
      <w:r w:rsidR="00BB6AFC">
        <w:rPr>
          <w:rFonts w:cs="Arial"/>
        </w:rPr>
        <w:t xml:space="preserve">when appropriate, </w:t>
      </w:r>
      <w:r w:rsidR="00ED5D88">
        <w:rPr>
          <w:rFonts w:cs="Arial"/>
        </w:rPr>
        <w:t xml:space="preserve">align it to </w:t>
      </w:r>
      <w:r w:rsidR="007C1CA3">
        <w:rPr>
          <w:rFonts w:cs="Arial"/>
        </w:rPr>
        <w:t xml:space="preserve">the </w:t>
      </w:r>
      <w:r w:rsidR="00BB6AFC">
        <w:rPr>
          <w:rFonts w:cs="Arial"/>
        </w:rPr>
        <w:t>national poverty line</w:t>
      </w:r>
      <w:r w:rsidR="007C1CA3">
        <w:rPr>
          <w:rFonts w:cs="Arial"/>
        </w:rPr>
        <w:t>.</w:t>
      </w:r>
    </w:p>
    <w:p w14:paraId="1A0D70E6" w14:textId="7F6C4390" w:rsidR="00EF2552" w:rsidRPr="00D45D24" w:rsidRDefault="00EF2552" w:rsidP="00507CFF">
      <w:pPr>
        <w:pStyle w:val="Bullet1"/>
        <w:rPr>
          <w:rFonts w:cs="Arial"/>
        </w:rPr>
      </w:pPr>
      <w:r w:rsidRPr="00D45D24">
        <w:rPr>
          <w:rFonts w:cs="Arial"/>
        </w:rPr>
        <w:t xml:space="preserve">Seek </w:t>
      </w:r>
      <w:r w:rsidR="004955F5" w:rsidRPr="00D45D24">
        <w:rPr>
          <w:rFonts w:cs="Arial"/>
        </w:rPr>
        <w:t>harmonization</w:t>
      </w:r>
      <w:r w:rsidRPr="00D45D24">
        <w:rPr>
          <w:rFonts w:cs="Arial"/>
        </w:rPr>
        <w:t xml:space="preserve"> with existing programmes to avoid </w:t>
      </w:r>
      <w:r w:rsidR="009F2BAE">
        <w:rPr>
          <w:rFonts w:cs="Arial"/>
        </w:rPr>
        <w:t xml:space="preserve">conflict with </w:t>
      </w:r>
      <w:r w:rsidR="007C1CA3">
        <w:rPr>
          <w:rFonts w:cs="Arial"/>
        </w:rPr>
        <w:t>existing</w:t>
      </w:r>
      <w:r w:rsidR="009F2BAE">
        <w:rPr>
          <w:rFonts w:cs="Arial"/>
        </w:rPr>
        <w:t xml:space="preserve"> social safety nets or, better, to reinforce or adapt </w:t>
      </w:r>
      <w:r w:rsidR="007C1CA3">
        <w:rPr>
          <w:rFonts w:cs="Arial"/>
        </w:rPr>
        <w:t>them</w:t>
      </w:r>
      <w:r w:rsidR="009F2BAE">
        <w:rPr>
          <w:rFonts w:cs="Arial"/>
        </w:rPr>
        <w:t xml:space="preserve"> to humanitarian contexts.</w:t>
      </w:r>
      <w:r w:rsidR="003C4E71">
        <w:rPr>
          <w:rFonts w:cs="Arial"/>
        </w:rPr>
        <w:t xml:space="preserve"> </w:t>
      </w:r>
    </w:p>
    <w:p w14:paraId="466F639A" w14:textId="26D4A298" w:rsidR="00A23507" w:rsidRPr="00A23507" w:rsidRDefault="00735432" w:rsidP="007C1CA3">
      <w:pPr>
        <w:pStyle w:val="Bullet1"/>
        <w:rPr>
          <w:rFonts w:cs="Arial"/>
        </w:rPr>
      </w:pPr>
      <w:r>
        <w:rPr>
          <w:rFonts w:cs="Arial"/>
        </w:rPr>
        <w:t xml:space="preserve">When planning for </w:t>
      </w:r>
      <w:r w:rsidR="00EF2552" w:rsidRPr="00D45D24">
        <w:rPr>
          <w:rFonts w:cs="Arial"/>
        </w:rPr>
        <w:t>adjustments to the value of the transfer</w:t>
      </w:r>
      <w:r w:rsidR="007C1CA3">
        <w:rPr>
          <w:rFonts w:cs="Arial"/>
        </w:rPr>
        <w:t>, establish clear triggers, budget for contingency resources a</w:t>
      </w:r>
      <w:r w:rsidR="00A23507">
        <w:rPr>
          <w:rFonts w:cs="Arial"/>
        </w:rPr>
        <w:t>nd i</w:t>
      </w:r>
      <w:r w:rsidR="00A23507" w:rsidRPr="00A23507">
        <w:rPr>
          <w:rFonts w:cs="Arial"/>
        </w:rPr>
        <w:t xml:space="preserve">nform </w:t>
      </w:r>
      <w:r w:rsidR="00A23507">
        <w:rPr>
          <w:rFonts w:cs="Arial"/>
        </w:rPr>
        <w:t>stakeholders</w:t>
      </w:r>
      <w:r w:rsidR="00A23507" w:rsidRPr="00A23507">
        <w:rPr>
          <w:rFonts w:cs="Arial"/>
        </w:rPr>
        <w:t xml:space="preserve"> on the rational</w:t>
      </w:r>
      <w:r w:rsidR="00A23507">
        <w:rPr>
          <w:rFonts w:cs="Arial"/>
        </w:rPr>
        <w:t>e</w:t>
      </w:r>
      <w:r w:rsidR="00A23507" w:rsidRPr="00A23507">
        <w:rPr>
          <w:rFonts w:cs="Arial"/>
        </w:rPr>
        <w:t xml:space="preserve"> </w:t>
      </w:r>
      <w:r w:rsidR="00A23507">
        <w:rPr>
          <w:rFonts w:cs="Arial"/>
        </w:rPr>
        <w:t>behind potential</w:t>
      </w:r>
      <w:r w:rsidR="00A23507" w:rsidRPr="00A23507">
        <w:rPr>
          <w:rFonts w:cs="Arial"/>
        </w:rPr>
        <w:t xml:space="preserve"> adjustments</w:t>
      </w:r>
      <w:r w:rsidR="007C1CA3">
        <w:rPr>
          <w:rFonts w:cs="Arial"/>
        </w:rPr>
        <w:t>.</w:t>
      </w:r>
    </w:p>
    <w:p w14:paraId="0790BD49" w14:textId="252282DF" w:rsidR="003C4E71" w:rsidRPr="00D45D24" w:rsidRDefault="00EF2552" w:rsidP="00507CFF">
      <w:pPr>
        <w:pStyle w:val="Bullet1"/>
        <w:rPr>
          <w:rFonts w:cs="Arial"/>
        </w:rPr>
      </w:pPr>
      <w:r w:rsidRPr="00D45D24">
        <w:rPr>
          <w:rFonts w:cs="Arial"/>
        </w:rPr>
        <w:t>Consider the local</w:t>
      </w:r>
      <w:r w:rsidR="004955F5" w:rsidRPr="00D45D24">
        <w:rPr>
          <w:rFonts w:cs="Arial"/>
        </w:rPr>
        <w:t xml:space="preserve"> rates for</w:t>
      </w:r>
      <w:r w:rsidRPr="00D45D24">
        <w:rPr>
          <w:rFonts w:cs="Arial"/>
        </w:rPr>
        <w:t xml:space="preserve"> labour</w:t>
      </w:r>
      <w:r w:rsidR="004955F5" w:rsidRPr="00D45D24">
        <w:rPr>
          <w:rFonts w:cs="Arial"/>
        </w:rPr>
        <w:t xml:space="preserve"> payment</w:t>
      </w:r>
      <w:r w:rsidRPr="00D45D24">
        <w:rPr>
          <w:rFonts w:cs="Arial"/>
        </w:rPr>
        <w:t>, and relevant national legislation/taxation when setting the wages for a CFW project.</w:t>
      </w:r>
    </w:p>
    <w:p w14:paraId="42E0F30D" w14:textId="77777777" w:rsidR="00EF2552" w:rsidRPr="00D45D24" w:rsidRDefault="00EF2552" w:rsidP="00507CFF">
      <w:pPr>
        <w:pStyle w:val="Heading2"/>
        <w:rPr>
          <w:rFonts w:cs="Arial"/>
        </w:rPr>
      </w:pPr>
      <w:r w:rsidRPr="00D45D24">
        <w:rPr>
          <w:rFonts w:cs="Arial"/>
        </w:rPr>
        <w:lastRenderedPageBreak/>
        <w:t>SUB-STEPS AND TOOLS</w:t>
      </w:r>
    </w:p>
    <w:p w14:paraId="4AD91C8E" w14:textId="075E5D22" w:rsidR="003C4E71" w:rsidRPr="00D45D24" w:rsidRDefault="004955F5" w:rsidP="00D45D24">
      <w:pPr>
        <w:pStyle w:val="Heading3"/>
        <w:rPr>
          <w:rFonts w:cs="Arial"/>
        </w:rPr>
      </w:pPr>
      <w:r w:rsidRPr="00D45D24">
        <w:rPr>
          <w:rFonts w:cs="Arial"/>
        </w:rPr>
        <w:t>Set</w:t>
      </w:r>
      <w:r w:rsidR="00D34DBF" w:rsidRPr="00D45D24">
        <w:rPr>
          <w:rFonts w:cs="Arial"/>
        </w:rPr>
        <w:t xml:space="preserve"> the value</w:t>
      </w:r>
    </w:p>
    <w:p w14:paraId="25CCD11A" w14:textId="06F1FF30" w:rsidR="00BF3875" w:rsidRDefault="00A7146D" w:rsidP="00D45D24">
      <w:pPr>
        <w:rPr>
          <w:rFonts w:cs="Arial"/>
        </w:rPr>
      </w:pPr>
      <w:r>
        <w:rPr>
          <w:rFonts w:cs="Arial"/>
        </w:rPr>
        <w:t>The process of setting the value of the transfer starts with the calculation of a Minimum Expenditure Basket (MEB)</w:t>
      </w:r>
      <w:r w:rsidR="003B4105">
        <w:rPr>
          <w:rFonts w:cs="Arial"/>
        </w:rPr>
        <w:t xml:space="preserve">, </w:t>
      </w:r>
      <w:r w:rsidR="00BF3875">
        <w:rPr>
          <w:rFonts w:cs="Arial"/>
        </w:rPr>
        <w:t>which outline</w:t>
      </w:r>
      <w:r w:rsidR="0081402B">
        <w:rPr>
          <w:rFonts w:cs="Arial"/>
        </w:rPr>
        <w:t>s</w:t>
      </w:r>
      <w:r w:rsidR="00BF3875">
        <w:rPr>
          <w:rFonts w:cs="Arial"/>
        </w:rPr>
        <w:t xml:space="preserve"> the shock-affected population’s basic needs based on estimated monthly expenditure</w:t>
      </w:r>
      <w:r w:rsidR="00BB6AFC">
        <w:rPr>
          <w:rFonts w:cs="Arial"/>
        </w:rPr>
        <w:t>s</w:t>
      </w:r>
      <w:r>
        <w:rPr>
          <w:rFonts w:cs="Arial"/>
        </w:rPr>
        <w:t>.</w:t>
      </w:r>
      <w:r w:rsidR="00F877CA">
        <w:rPr>
          <w:rFonts w:cs="Arial"/>
        </w:rPr>
        <w:t xml:space="preserve"> When calculating the value of the transfer, one </w:t>
      </w:r>
      <w:r>
        <w:rPr>
          <w:rFonts w:cs="Arial"/>
        </w:rPr>
        <w:t xml:space="preserve">should distinguish between recurrent and one-off needs (e.g. food </w:t>
      </w:r>
      <w:r w:rsidR="00BF3875">
        <w:rPr>
          <w:rFonts w:cs="Arial"/>
        </w:rPr>
        <w:t>needs to be purchased on a regular basis</w:t>
      </w:r>
      <w:r w:rsidR="00F877CA">
        <w:rPr>
          <w:rFonts w:cs="Arial"/>
        </w:rPr>
        <w:t>, against</w:t>
      </w:r>
      <w:r w:rsidR="00BF3875">
        <w:rPr>
          <w:rFonts w:cs="Arial"/>
        </w:rPr>
        <w:t xml:space="preserve"> shelter materials</w:t>
      </w:r>
      <w:r w:rsidR="00F877CA">
        <w:rPr>
          <w:rFonts w:cs="Arial"/>
        </w:rPr>
        <w:t>, which</w:t>
      </w:r>
      <w:r w:rsidR="00BF3875">
        <w:rPr>
          <w:rFonts w:cs="Arial"/>
        </w:rPr>
        <w:t xml:space="preserve"> will probably be acquired just once).</w:t>
      </w:r>
    </w:p>
    <w:p w14:paraId="7E0C6189" w14:textId="15ABDFB2" w:rsidR="00807EB8" w:rsidRDefault="00BF3875" w:rsidP="00807EB8">
      <w:pPr>
        <w:rPr>
          <w:rFonts w:cs="Arial"/>
        </w:rPr>
      </w:pPr>
      <w:r>
        <w:rPr>
          <w:rFonts w:cs="Arial"/>
        </w:rPr>
        <w:t>T</w:t>
      </w:r>
      <w:r w:rsidR="00DE7410">
        <w:rPr>
          <w:rFonts w:cs="Arial"/>
        </w:rPr>
        <w:t xml:space="preserve">he </w:t>
      </w:r>
      <w:r>
        <w:rPr>
          <w:rFonts w:cs="Arial"/>
        </w:rPr>
        <w:t xml:space="preserve">calculation of the </w:t>
      </w:r>
      <w:r w:rsidR="00DE7410">
        <w:rPr>
          <w:rFonts w:cs="Arial"/>
        </w:rPr>
        <w:t>value of the transfer</w:t>
      </w:r>
      <w:r>
        <w:rPr>
          <w:rFonts w:cs="Arial"/>
        </w:rPr>
        <w:t xml:space="preserve"> should take into account the gap between the </w:t>
      </w:r>
      <w:r w:rsidR="009D779E">
        <w:rPr>
          <w:rFonts w:cs="Arial"/>
        </w:rPr>
        <w:t>affected population’s needs</w:t>
      </w:r>
      <w:r>
        <w:rPr>
          <w:rFonts w:cs="Arial"/>
        </w:rPr>
        <w:t xml:space="preserve"> and the</w:t>
      </w:r>
      <w:r w:rsidR="009D779E">
        <w:rPr>
          <w:rFonts w:cs="Arial"/>
        </w:rPr>
        <w:t>ir</w:t>
      </w:r>
      <w:r>
        <w:rPr>
          <w:rFonts w:cs="Arial"/>
        </w:rPr>
        <w:t xml:space="preserve"> capacity </w:t>
      </w:r>
      <w:r w:rsidR="009D779E">
        <w:rPr>
          <w:rFonts w:cs="Arial"/>
        </w:rPr>
        <w:t xml:space="preserve">to provide for themselves </w:t>
      </w:r>
      <w:r>
        <w:rPr>
          <w:rFonts w:cs="Arial"/>
        </w:rPr>
        <w:t xml:space="preserve">without resorting to negative coping strategies. </w:t>
      </w:r>
      <w:r w:rsidR="00EC3256">
        <w:rPr>
          <w:rFonts w:cs="Arial"/>
        </w:rPr>
        <w:t xml:space="preserve">Programme </w:t>
      </w:r>
      <w:r w:rsidR="0081402B">
        <w:rPr>
          <w:rFonts w:cs="Arial"/>
        </w:rPr>
        <w:t>objectives, other sources of assistance, and resource</w:t>
      </w:r>
      <w:r w:rsidR="00EC3256">
        <w:rPr>
          <w:rFonts w:cs="Arial"/>
        </w:rPr>
        <w:t>s</w:t>
      </w:r>
      <w:r w:rsidR="0081402B">
        <w:rPr>
          <w:rFonts w:cs="Arial"/>
        </w:rPr>
        <w:t xml:space="preserve"> availab</w:t>
      </w:r>
      <w:r w:rsidR="00EC3256">
        <w:rPr>
          <w:rFonts w:cs="Arial"/>
        </w:rPr>
        <w:t>le should also be factored in</w:t>
      </w:r>
      <w:r w:rsidR="0081402B">
        <w:rPr>
          <w:rFonts w:cs="Arial"/>
        </w:rPr>
        <w:t xml:space="preserve">. If resources are insufficient to cover the gap, </w:t>
      </w:r>
      <w:r w:rsidR="00AB035F">
        <w:rPr>
          <w:rFonts w:cs="Arial"/>
        </w:rPr>
        <w:t xml:space="preserve">the </w:t>
      </w:r>
      <w:r w:rsidR="0081402B">
        <w:rPr>
          <w:rFonts w:cs="Arial"/>
        </w:rPr>
        <w:t xml:space="preserve">risks for the most vulnerable </w:t>
      </w:r>
      <w:r w:rsidR="003B4105">
        <w:rPr>
          <w:rFonts w:cs="Arial"/>
        </w:rPr>
        <w:t xml:space="preserve">groups </w:t>
      </w:r>
      <w:r w:rsidR="00EC3256">
        <w:rPr>
          <w:rFonts w:cs="Arial"/>
        </w:rPr>
        <w:t xml:space="preserve">should be identified </w:t>
      </w:r>
      <w:r w:rsidR="0081402B">
        <w:rPr>
          <w:rFonts w:cs="Arial"/>
        </w:rPr>
        <w:t xml:space="preserve">and relevant mitigation strategies should be </w:t>
      </w:r>
      <w:r w:rsidR="00EC3256">
        <w:rPr>
          <w:rFonts w:cs="Arial"/>
        </w:rPr>
        <w:t>developed</w:t>
      </w:r>
      <w:r w:rsidR="0081402B">
        <w:rPr>
          <w:rFonts w:cs="Arial"/>
        </w:rPr>
        <w:t>.</w:t>
      </w:r>
      <w:r w:rsidR="00807EB8">
        <w:rPr>
          <w:rFonts w:cs="Arial"/>
        </w:rPr>
        <w:t xml:space="preserve"> </w:t>
      </w:r>
      <w:r w:rsidR="00BB6AFC">
        <w:rPr>
          <w:rFonts w:cs="Arial"/>
        </w:rPr>
        <w:t>Furthermore</w:t>
      </w:r>
      <w:r w:rsidR="00807EB8">
        <w:rPr>
          <w:rFonts w:cs="Arial"/>
        </w:rPr>
        <w:t>, it is important to seek harmonization with existing</w:t>
      </w:r>
      <w:r w:rsidR="009D779E">
        <w:rPr>
          <w:rFonts w:cs="Arial"/>
        </w:rPr>
        <w:t xml:space="preserve"> cash transfer programmes, </w:t>
      </w:r>
      <w:r w:rsidR="00C237E4">
        <w:rPr>
          <w:rFonts w:cs="Arial"/>
        </w:rPr>
        <w:t xml:space="preserve">in order </w:t>
      </w:r>
      <w:r w:rsidR="00AB035F">
        <w:rPr>
          <w:rFonts w:cs="Arial"/>
        </w:rPr>
        <w:t>to avoid conflicts</w:t>
      </w:r>
      <w:r w:rsidR="00807EB8">
        <w:rPr>
          <w:rFonts w:cs="Arial"/>
        </w:rPr>
        <w:t xml:space="preserve"> or, ideally, to reinforce or adapt </w:t>
      </w:r>
      <w:r w:rsidR="00C237E4">
        <w:rPr>
          <w:rFonts w:cs="Arial"/>
        </w:rPr>
        <w:t>existing social safety nets</w:t>
      </w:r>
      <w:r w:rsidR="00807EB8">
        <w:rPr>
          <w:rFonts w:cs="Arial"/>
        </w:rPr>
        <w:t xml:space="preserve"> to humanitarian contexts</w:t>
      </w:r>
      <w:r w:rsidR="00C237E4">
        <w:rPr>
          <w:rFonts w:cs="Arial"/>
        </w:rPr>
        <w:t>.</w:t>
      </w:r>
    </w:p>
    <w:p w14:paraId="51AD49BA" w14:textId="678197B0" w:rsidR="003C4E71" w:rsidRPr="00D45D24" w:rsidRDefault="00C237E4" w:rsidP="00D45D24">
      <w:pPr>
        <w:rPr>
          <w:rFonts w:cs="Arial"/>
        </w:rPr>
      </w:pPr>
      <w:r>
        <w:rPr>
          <w:rFonts w:cs="Arial"/>
        </w:rPr>
        <w:t>In the toolkit you will find a</w:t>
      </w:r>
      <w:r w:rsidR="00D34DBF" w:rsidRPr="00D45D24">
        <w:rPr>
          <w:rFonts w:cs="Arial"/>
        </w:rPr>
        <w:t xml:space="preserve"> </w:t>
      </w:r>
      <w:r>
        <w:rPr>
          <w:rFonts w:cs="Arial"/>
        </w:rPr>
        <w:t>‘</w:t>
      </w:r>
      <w:r w:rsidR="00D34DBF" w:rsidRPr="00D45D24">
        <w:rPr>
          <w:rFonts w:cs="Arial"/>
        </w:rPr>
        <w:t>transfer value quick calculation tool</w:t>
      </w:r>
      <w:r>
        <w:rPr>
          <w:rFonts w:cs="Arial"/>
        </w:rPr>
        <w:t xml:space="preserve">’, which can help determine </w:t>
      </w:r>
      <w:r w:rsidR="00D34DBF" w:rsidRPr="00D45D24">
        <w:rPr>
          <w:rFonts w:cs="Arial"/>
        </w:rPr>
        <w:t xml:space="preserve">the value of </w:t>
      </w:r>
      <w:r w:rsidR="009D779E">
        <w:rPr>
          <w:rFonts w:cs="Arial"/>
        </w:rPr>
        <w:t>a multipurpose cash</w:t>
      </w:r>
      <w:r w:rsidR="009D779E" w:rsidRPr="00D45D24">
        <w:rPr>
          <w:rFonts w:cs="Arial"/>
        </w:rPr>
        <w:t xml:space="preserve"> </w:t>
      </w:r>
      <w:r w:rsidR="00D34DBF" w:rsidRPr="00D45D24">
        <w:rPr>
          <w:rFonts w:cs="Arial"/>
        </w:rPr>
        <w:t>transfer</w:t>
      </w:r>
      <w:r w:rsidR="009D779E">
        <w:rPr>
          <w:rFonts w:cs="Arial"/>
        </w:rPr>
        <w:t>, including a MEB and one-off expenditures</w:t>
      </w:r>
      <w:r>
        <w:rPr>
          <w:rFonts w:cs="Arial"/>
        </w:rPr>
        <w:t>.</w:t>
      </w:r>
      <w:r w:rsidR="009D779E">
        <w:rPr>
          <w:rFonts w:cs="Arial"/>
        </w:rPr>
        <w:t xml:space="preserve"> When</w:t>
      </w:r>
      <w:r w:rsidR="00D34DBF" w:rsidRPr="00D45D24">
        <w:rPr>
          <w:rFonts w:cs="Arial"/>
        </w:rPr>
        <w:t xml:space="preserve"> dealing with different modalities (e.g.</w:t>
      </w:r>
      <w:r w:rsidR="00D31CB5" w:rsidRPr="00D45D24">
        <w:rPr>
          <w:rFonts w:cs="Arial"/>
        </w:rPr>
        <w:t>,</w:t>
      </w:r>
      <w:r w:rsidR="00D34DBF" w:rsidRPr="00D45D24">
        <w:rPr>
          <w:rFonts w:cs="Arial"/>
        </w:rPr>
        <w:t xml:space="preserve"> cash for work) or with specific sectors (e.g. shelter, livelihoods), you may have to consider additional issues</w:t>
      </w:r>
      <w:r>
        <w:rPr>
          <w:rFonts w:cs="Arial"/>
        </w:rPr>
        <w:t>, some of which are listed in t</w:t>
      </w:r>
      <w:r w:rsidR="00D34DBF" w:rsidRPr="00D45D24">
        <w:rPr>
          <w:rFonts w:cs="Arial"/>
        </w:rPr>
        <w:t xml:space="preserve">he tool </w:t>
      </w:r>
      <w:r>
        <w:rPr>
          <w:rFonts w:cs="Arial"/>
        </w:rPr>
        <w:t>‘</w:t>
      </w:r>
      <w:r w:rsidR="00D34DBF" w:rsidRPr="00D45D24">
        <w:rPr>
          <w:rFonts w:cs="Arial"/>
        </w:rPr>
        <w:t>considerations on setting the value</w:t>
      </w:r>
      <w:r>
        <w:rPr>
          <w:rFonts w:cs="Arial"/>
        </w:rPr>
        <w:t>’</w:t>
      </w:r>
      <w:r w:rsidR="00D34DBF" w:rsidRPr="00D45D24">
        <w:rPr>
          <w:rFonts w:cs="Arial"/>
        </w:rPr>
        <w:t>.</w:t>
      </w:r>
    </w:p>
    <w:p w14:paraId="45B9E5D4" w14:textId="5C662C5B" w:rsidR="003C4E71" w:rsidRPr="00D45D24" w:rsidRDefault="00D31CB5" w:rsidP="00D45D24">
      <w:pPr>
        <w:pStyle w:val="Heading3"/>
        <w:rPr>
          <w:rFonts w:cs="Arial"/>
        </w:rPr>
      </w:pPr>
      <w:r w:rsidRPr="00D45D24">
        <w:rPr>
          <w:rFonts w:cs="Arial"/>
        </w:rPr>
        <w:t>Adjust</w:t>
      </w:r>
      <w:r w:rsidR="00D34DBF" w:rsidRPr="00D45D24">
        <w:rPr>
          <w:rFonts w:cs="Arial"/>
        </w:rPr>
        <w:t xml:space="preserve"> the value to household size</w:t>
      </w:r>
    </w:p>
    <w:p w14:paraId="07B2BCE7" w14:textId="77777777" w:rsidR="003C4E71" w:rsidRPr="00D45D24" w:rsidRDefault="00D34DBF" w:rsidP="00D45D24">
      <w:pPr>
        <w:rPr>
          <w:rFonts w:cs="Arial"/>
        </w:rPr>
      </w:pPr>
      <w:r w:rsidRPr="00D45D24">
        <w:rPr>
          <w:rFonts w:cs="Arial"/>
        </w:rPr>
        <w:t>It is simpler to give a fixed transfer regardless of household size but more equitable to give more money to households with more people. However, having a transfer dependent on household size may be challenging especially in emergencies, because it requires updated and reliable information on household size and more complex registration and payment procedures. Eventually, you will need to make a compromise between what is fair and what is feasible. The tool</w:t>
      </w:r>
      <w:r w:rsidRPr="00D45D24">
        <w:rPr>
          <w:rFonts w:cs="Arial"/>
          <w:color w:val="0000FF"/>
          <w:u w:val="single"/>
        </w:rPr>
        <w:t xml:space="preserve"> </w:t>
      </w:r>
      <w:r w:rsidRPr="00D45D24">
        <w:rPr>
          <w:rFonts w:cs="Arial"/>
        </w:rPr>
        <w:t>deciding whether or not to adjust the value to household size lists some pros and cons of fixed and variable transfers.</w:t>
      </w:r>
    </w:p>
    <w:p w14:paraId="6F0596F3" w14:textId="2289571B" w:rsidR="003C4E71" w:rsidRPr="00D45D24" w:rsidRDefault="000B2261" w:rsidP="00D45D24">
      <w:pPr>
        <w:pStyle w:val="Heading3"/>
        <w:rPr>
          <w:rFonts w:cs="Arial"/>
        </w:rPr>
      </w:pPr>
      <w:r w:rsidRPr="00D45D24">
        <w:rPr>
          <w:rFonts w:cs="Arial"/>
        </w:rPr>
        <w:t>Decide on</w:t>
      </w:r>
      <w:r w:rsidR="00D34DBF" w:rsidRPr="00D45D24">
        <w:rPr>
          <w:rFonts w:cs="Arial"/>
        </w:rPr>
        <w:t xml:space="preserve"> the frequency</w:t>
      </w:r>
    </w:p>
    <w:p w14:paraId="5EAB703A" w14:textId="71A53584" w:rsidR="00466BA8" w:rsidRPr="00D45D24" w:rsidRDefault="00D34DBF" w:rsidP="00D45D24">
      <w:pPr>
        <w:rPr>
          <w:rFonts w:cs="Arial"/>
        </w:rPr>
      </w:pPr>
      <w:r w:rsidRPr="00D45D24">
        <w:rPr>
          <w:rFonts w:cs="Arial"/>
        </w:rPr>
        <w:t>Cash transfers can be given</w:t>
      </w:r>
      <w:r w:rsidR="00466BA8" w:rsidRPr="00D45D24">
        <w:rPr>
          <w:rFonts w:cs="Arial"/>
        </w:rPr>
        <w:t xml:space="preserve">: </w:t>
      </w:r>
    </w:p>
    <w:p w14:paraId="3FE8EBDE" w14:textId="52C7B663" w:rsidR="00466BA8" w:rsidRPr="00D45D24" w:rsidRDefault="00C237E4" w:rsidP="00507CFF">
      <w:pPr>
        <w:pStyle w:val="Bullet2"/>
      </w:pPr>
      <w:r>
        <w:t xml:space="preserve">For </w:t>
      </w:r>
      <w:r w:rsidR="00466BA8" w:rsidRPr="00D45D24">
        <w:t xml:space="preserve">immediate needs as a one-off payment, </w:t>
      </w:r>
    </w:p>
    <w:p w14:paraId="65AD80DB" w14:textId="12748A6B" w:rsidR="00466BA8" w:rsidRPr="00D45D24" w:rsidRDefault="00C237E4" w:rsidP="00507CFF">
      <w:pPr>
        <w:pStyle w:val="Bullet2"/>
      </w:pPr>
      <w:r>
        <w:t>I</w:t>
      </w:r>
      <w:r w:rsidR="00466BA8" w:rsidRPr="00D45D24">
        <w:t>n instal</w:t>
      </w:r>
      <w:r w:rsidR="00056E1C" w:rsidRPr="00D45D24">
        <w:t>ments to meet a recurr</w:t>
      </w:r>
      <w:r w:rsidR="003B4105">
        <w:t>ent</w:t>
      </w:r>
      <w:r w:rsidR="00056E1C" w:rsidRPr="00D45D24">
        <w:t xml:space="preserve"> need,</w:t>
      </w:r>
      <w:r w:rsidR="00466BA8" w:rsidRPr="00D45D24">
        <w:t xml:space="preserve"> or </w:t>
      </w:r>
    </w:p>
    <w:p w14:paraId="3454FA19" w14:textId="36AC644E" w:rsidR="00466BA8" w:rsidRPr="00D45D24" w:rsidRDefault="00C237E4" w:rsidP="00507CFF">
      <w:pPr>
        <w:pStyle w:val="Bullet2"/>
      </w:pPr>
      <w:r>
        <w:t>I</w:t>
      </w:r>
      <w:r w:rsidR="00466BA8" w:rsidRPr="00D45D24">
        <w:t>n instalments linked to a household investment such as livelihood assets or shelter.</w:t>
      </w:r>
    </w:p>
    <w:p w14:paraId="5AE56591" w14:textId="143CC363" w:rsidR="00917188" w:rsidRPr="00D45D24" w:rsidRDefault="00917188" w:rsidP="00D45D24">
      <w:pPr>
        <w:rPr>
          <w:rFonts w:cs="Arial"/>
        </w:rPr>
      </w:pPr>
      <w:r w:rsidRPr="00D45D24">
        <w:rPr>
          <w:rFonts w:cs="Arial"/>
        </w:rPr>
        <w:t>One</w:t>
      </w:r>
      <w:r w:rsidR="003C4E71">
        <w:rPr>
          <w:rFonts w:cs="Arial"/>
        </w:rPr>
        <w:t>-</w:t>
      </w:r>
      <w:r w:rsidRPr="00D45D24">
        <w:rPr>
          <w:rFonts w:cs="Arial"/>
        </w:rPr>
        <w:t xml:space="preserve">off payments are more suitable to meet immediate needs and allow </w:t>
      </w:r>
      <w:r w:rsidR="003C4E71">
        <w:rPr>
          <w:rFonts w:cs="Arial"/>
        </w:rPr>
        <w:t>for</w:t>
      </w:r>
      <w:r w:rsidRPr="00D45D24">
        <w:rPr>
          <w:rFonts w:cs="Arial"/>
        </w:rPr>
        <w:t xml:space="preserve"> response</w:t>
      </w:r>
      <w:r w:rsidR="003C4E71">
        <w:rPr>
          <w:rFonts w:cs="Arial"/>
        </w:rPr>
        <w:t>s</w:t>
      </w:r>
      <w:r w:rsidRPr="00D45D24">
        <w:rPr>
          <w:rFonts w:cs="Arial"/>
        </w:rPr>
        <w:t xml:space="preserve"> at scale at relatively low cash transfer values. There will </w:t>
      </w:r>
      <w:r w:rsidR="003B4105">
        <w:rPr>
          <w:rFonts w:cs="Arial"/>
        </w:rPr>
        <w:t xml:space="preserve">be </w:t>
      </w:r>
      <w:r w:rsidRPr="00D45D24">
        <w:rPr>
          <w:rFonts w:cs="Arial"/>
        </w:rPr>
        <w:t>a number of household level needs that one</w:t>
      </w:r>
      <w:r w:rsidR="00C237E4">
        <w:rPr>
          <w:rFonts w:cs="Arial"/>
        </w:rPr>
        <w:t>-</w:t>
      </w:r>
      <w:r w:rsidRPr="00D45D24">
        <w:rPr>
          <w:rFonts w:cs="Arial"/>
        </w:rPr>
        <w:t xml:space="preserve">off cash transfers can help meet, although not all households will spend their </w:t>
      </w:r>
      <w:r w:rsidR="00C237E4">
        <w:rPr>
          <w:rFonts w:cs="Arial"/>
        </w:rPr>
        <w:t>entitlements</w:t>
      </w:r>
      <w:r w:rsidRPr="00D45D24">
        <w:rPr>
          <w:rFonts w:cs="Arial"/>
        </w:rPr>
        <w:t xml:space="preserve"> in the same way as they will have variable priorities.</w:t>
      </w:r>
    </w:p>
    <w:p w14:paraId="02241F95" w14:textId="7A205A85" w:rsidR="003C4E71" w:rsidRPr="00D45D24" w:rsidRDefault="00917188" w:rsidP="00D45D24">
      <w:pPr>
        <w:rPr>
          <w:rFonts w:cs="Arial"/>
        </w:rPr>
      </w:pPr>
      <w:r w:rsidRPr="00D45D24">
        <w:rPr>
          <w:rFonts w:cs="Arial"/>
        </w:rPr>
        <w:t>Instalments are preferable for recurr</w:t>
      </w:r>
      <w:r w:rsidR="003B4105">
        <w:rPr>
          <w:rFonts w:cs="Arial"/>
        </w:rPr>
        <w:t xml:space="preserve">ent </w:t>
      </w:r>
      <w:r w:rsidRPr="00D45D24">
        <w:rPr>
          <w:rFonts w:cs="Arial"/>
        </w:rPr>
        <w:t>household needs such as food and non-food items that such as fuel, hygiene products or water. They ar</w:t>
      </w:r>
      <w:r w:rsidR="000B2261" w:rsidRPr="00D45D24">
        <w:rPr>
          <w:rFonts w:cs="Arial"/>
        </w:rPr>
        <w:t>e also suitable for livelihoods/shelter/</w:t>
      </w:r>
      <w:r w:rsidRPr="00D45D24">
        <w:rPr>
          <w:rFonts w:cs="Arial"/>
        </w:rPr>
        <w:t>recovery as grants are larger and more technical support is often needed from organisation (e.g.</w:t>
      </w:r>
      <w:r w:rsidR="000B2261" w:rsidRPr="00D45D24">
        <w:rPr>
          <w:rFonts w:cs="Arial"/>
        </w:rPr>
        <w:t>,</w:t>
      </w:r>
      <w:r w:rsidRPr="00D45D24">
        <w:rPr>
          <w:rFonts w:cs="Arial"/>
        </w:rPr>
        <w:t xml:space="preserve"> LH business plans / shelter technical supervision).</w:t>
      </w:r>
    </w:p>
    <w:p w14:paraId="211FB17A" w14:textId="77777777" w:rsidR="003C4E71" w:rsidRPr="00D45D24" w:rsidRDefault="00D34DBF" w:rsidP="00D45D24">
      <w:pPr>
        <w:pStyle w:val="Heading3"/>
        <w:rPr>
          <w:rFonts w:cs="Arial"/>
        </w:rPr>
      </w:pPr>
      <w:r w:rsidRPr="00D45D24">
        <w:rPr>
          <w:rFonts w:cs="Arial"/>
        </w:rPr>
        <w:t>Adjusting the value to price changes</w:t>
      </w:r>
    </w:p>
    <w:p w14:paraId="57E864F8" w14:textId="77777777" w:rsidR="003C4E71" w:rsidRPr="00D45D24" w:rsidRDefault="00D34DBF" w:rsidP="00D45D24">
      <w:pPr>
        <w:rPr>
          <w:rFonts w:cs="Arial"/>
        </w:rPr>
      </w:pPr>
      <w:r w:rsidRPr="00D45D24">
        <w:rPr>
          <w:rFonts w:cs="Arial"/>
        </w:rPr>
        <w:t xml:space="preserve">If the transfer is planned through several instalments, you may need to consider the potential negative effects of inflation on people's entitlements. This can be made in two ways: </w:t>
      </w:r>
    </w:p>
    <w:p w14:paraId="09765B29" w14:textId="1EA84DBD" w:rsidR="003C4E71" w:rsidRPr="00D45D24" w:rsidRDefault="000B2261" w:rsidP="00507CFF">
      <w:pPr>
        <w:pStyle w:val="Bullet2"/>
      </w:pPr>
      <w:r w:rsidRPr="00D45D24">
        <w:t>f</w:t>
      </w:r>
      <w:r w:rsidR="00D34DBF" w:rsidRPr="00D45D24">
        <w:t>actoring in the expected inflation over the intervention period when calculating the value</w:t>
      </w:r>
      <w:r w:rsidRPr="00D45D24">
        <w:t>: t</w:t>
      </w:r>
      <w:r w:rsidR="00D34DBF" w:rsidRPr="00D45D24">
        <w:t>he value will be adjusted for the estimated average inflation over the considered period. (see transfer value quick calculation tool)</w:t>
      </w:r>
    </w:p>
    <w:p w14:paraId="16E6A981" w14:textId="1B1C2592" w:rsidR="003C4E71" w:rsidRPr="00D45D24" w:rsidRDefault="000B2261" w:rsidP="003C4E71">
      <w:pPr>
        <w:pStyle w:val="Bullet2"/>
        <w:spacing w:after="360"/>
      </w:pPr>
      <w:r w:rsidRPr="00D45D24">
        <w:t>d</w:t>
      </w:r>
      <w:r w:rsidR="00D34DBF" w:rsidRPr="00D45D24">
        <w:t>evelop</w:t>
      </w:r>
      <w:r w:rsidRPr="00D45D24">
        <w:t>ing</w:t>
      </w:r>
      <w:r w:rsidR="00D34DBF" w:rsidRPr="00D45D24">
        <w:t xml:space="preserve"> a contingency plan to adjust the value of the transfer or </w:t>
      </w:r>
      <w:r w:rsidRPr="00D45D24">
        <w:t xml:space="preserve">shift </w:t>
      </w:r>
      <w:r w:rsidR="00D34DBF" w:rsidRPr="00D45D24">
        <w:t xml:space="preserve">modality when inflation exceeds pre-established cut-off levels of prices. The tool </w:t>
      </w:r>
      <w:r w:rsidR="003C4E71">
        <w:t>‘</w:t>
      </w:r>
      <w:r w:rsidR="00D34DBF" w:rsidRPr="00D45D24">
        <w:t>adjusting the value to price changes</w:t>
      </w:r>
      <w:r w:rsidR="003C4E71">
        <w:t>’</w:t>
      </w:r>
      <w:r w:rsidR="00D34DBF" w:rsidRPr="00D45D24">
        <w:t xml:space="preserve"> helps you understand which steps can be necessary to respond promptly and efficiently to price changes. </w:t>
      </w:r>
    </w:p>
    <w:tbl>
      <w:tblPr>
        <w:tblStyle w:val="TableGray"/>
        <w:tblW w:w="0" w:type="auto"/>
        <w:tblInd w:w="142" w:type="dxa"/>
        <w:tblLook w:val="04A0" w:firstRow="1" w:lastRow="0" w:firstColumn="1" w:lastColumn="0" w:noHBand="0" w:noVBand="1"/>
      </w:tblPr>
      <w:tblGrid>
        <w:gridCol w:w="9639"/>
      </w:tblGrid>
      <w:tr w:rsidR="00507CFF" w:rsidRPr="00D80B92" w14:paraId="2F437D6D" w14:textId="77777777" w:rsidTr="00507CFF">
        <w:tc>
          <w:tcPr>
            <w:tcW w:w="9639" w:type="dxa"/>
          </w:tcPr>
          <w:p w14:paraId="7FB41F06" w14:textId="3774E6F6" w:rsidR="00507CFF" w:rsidRPr="00D45D24" w:rsidRDefault="00507CFF" w:rsidP="00507CFF">
            <w:pPr>
              <w:pStyle w:val="RefTitre"/>
              <w:rPr>
                <w:rFonts w:cs="Arial"/>
                <w:lang w:eastAsia="it-IT"/>
              </w:rPr>
            </w:pPr>
            <w:r w:rsidRPr="00D45D24">
              <w:rPr>
                <w:rFonts w:cs="Arial"/>
                <w:lang w:eastAsia="it-IT"/>
              </w:rPr>
              <w:lastRenderedPageBreak/>
              <w:t xml:space="preserve">REFERENCE DOCUMENTS </w:t>
            </w:r>
          </w:p>
          <w:p w14:paraId="51AA7B23" w14:textId="56CEE458" w:rsidR="003B4105" w:rsidRDefault="003B4105" w:rsidP="00342760">
            <w:pPr>
              <w:jc w:val="left"/>
              <w:rPr>
                <w:rFonts w:eastAsia="Times New Roman"/>
              </w:rPr>
            </w:pPr>
            <w:r w:rsidRPr="00D77D45">
              <w:rPr>
                <w:rFonts w:eastAsia="Times New Roman"/>
              </w:rPr>
              <w:t>T</w:t>
            </w:r>
            <w:r w:rsidR="00AC3A1D">
              <w:rPr>
                <w:rFonts w:eastAsia="Times New Roman"/>
              </w:rPr>
              <w:t>he MPG Transfer Value. Part</w:t>
            </w:r>
            <w:r w:rsidR="00342760">
              <w:rPr>
                <w:rFonts w:eastAsia="Times New Roman"/>
              </w:rPr>
              <w:t xml:space="preserve"> </w:t>
            </w:r>
            <w:r w:rsidR="00AC3A1D">
              <w:rPr>
                <w:rFonts w:eastAsia="Times New Roman"/>
              </w:rPr>
              <w:t>3 in</w:t>
            </w:r>
            <w:r w:rsidRPr="00D77D45">
              <w:rPr>
                <w:rFonts w:eastAsia="Times New Roman"/>
              </w:rPr>
              <w:t xml:space="preserve"> the Multi-Purpose Cash Grant Toolkit (2016) </w:t>
            </w:r>
            <w:hyperlink r:id="rId8" w:history="1">
              <w:r w:rsidR="00342760" w:rsidRPr="00EB1786">
                <w:rPr>
                  <w:rStyle w:val="Hyperlink"/>
                  <w:rFonts w:eastAsia="Times New Roman"/>
                </w:rPr>
                <w:t>http://www.cashlearning.org/downloads/mpg-toolkit-pdfs/mpg-part3-3.pdf</w:t>
              </w:r>
            </w:hyperlink>
          </w:p>
          <w:p w14:paraId="39D12C84" w14:textId="3452C5F9" w:rsidR="00342760" w:rsidRDefault="00342760" w:rsidP="00342760">
            <w:pPr>
              <w:jc w:val="left"/>
              <w:rPr>
                <w:rFonts w:eastAsia="Times New Roman" w:cs="Arial"/>
              </w:rPr>
            </w:pPr>
            <w:r w:rsidRPr="00342760">
              <w:rPr>
                <w:rFonts w:eastAsia="Times New Roman" w:cs="Arial"/>
              </w:rPr>
              <w:t>Survival or Minimum Expenditure Basket (S)MEB Samples. Appendix A of MPG Standard Operating Procedures in Multi-Purpose Cash Grant Toolkit (</w:t>
            </w:r>
            <w:r>
              <w:rPr>
                <w:rFonts w:eastAsia="Times New Roman" w:cs="Arial"/>
              </w:rPr>
              <w:t xml:space="preserve">UNHCR </w:t>
            </w:r>
            <w:r w:rsidRPr="00342760">
              <w:rPr>
                <w:rFonts w:eastAsia="Times New Roman" w:cs="Arial"/>
              </w:rPr>
              <w:t>2016)</w:t>
            </w:r>
            <w:r>
              <w:rPr>
                <w:rFonts w:eastAsia="Times New Roman" w:cs="Arial"/>
              </w:rPr>
              <w:t>.</w:t>
            </w:r>
          </w:p>
          <w:p w14:paraId="394122A5" w14:textId="12DADFB2" w:rsidR="00B7319F" w:rsidRPr="00342760" w:rsidRDefault="00B7319F" w:rsidP="00342760">
            <w:pPr>
              <w:jc w:val="left"/>
              <w:rPr>
                <w:rFonts w:eastAsia="Times New Roman" w:cs="Arial"/>
              </w:rPr>
            </w:pPr>
            <w:r w:rsidRPr="00D77D45">
              <w:rPr>
                <w:lang w:val="en-GB"/>
              </w:rPr>
              <w:t xml:space="preserve">ICRC (2016) </w:t>
            </w:r>
            <w:r w:rsidRPr="00D77D45">
              <w:rPr>
                <w:i/>
                <w:lang w:val="en-GB"/>
              </w:rPr>
              <w:t>ECOSEC Executive Brief on Multi-Purpose Cash Grants</w:t>
            </w:r>
            <w:r w:rsidRPr="00D77D45">
              <w:rPr>
                <w:lang w:val="en-GB"/>
              </w:rPr>
              <w:t>.</w:t>
            </w:r>
          </w:p>
          <w:p w14:paraId="3C173632" w14:textId="7CC845EE" w:rsidR="00507CFF" w:rsidRPr="00D712BC" w:rsidRDefault="00507CFF" w:rsidP="00342760">
            <w:pPr>
              <w:pStyle w:val="RefItem1"/>
              <w:rPr>
                <w:rFonts w:cs="Arial"/>
                <w:lang w:val="en-CA"/>
              </w:rPr>
            </w:pPr>
            <w:r w:rsidRPr="00D45D24">
              <w:rPr>
                <w:rFonts w:cs="Arial"/>
              </w:rPr>
              <w:t xml:space="preserve">Learning from cash responses to the tsunami (2006) Issues Paper 3. Setting the value. </w:t>
            </w:r>
            <w:r w:rsidRPr="00D712BC">
              <w:rPr>
                <w:rFonts w:cs="Arial"/>
                <w:lang w:val="en-CA"/>
              </w:rPr>
              <w:t xml:space="preserve">ODI </w:t>
            </w:r>
            <w:r w:rsidR="00D712BC" w:rsidRPr="00D712BC">
              <w:rPr>
                <w:rFonts w:cs="Arial"/>
                <w:lang w:val="en-CA"/>
              </w:rPr>
              <w:br/>
            </w:r>
            <w:hyperlink r:id="rId9" w:history="1">
              <w:r w:rsidRPr="00D712BC">
                <w:rPr>
                  <w:rStyle w:val="Hyperlink"/>
                  <w:rFonts w:cs="Arial"/>
                  <w:lang w:val="en-CA"/>
                </w:rPr>
                <w:t>htpp://www.odi.org/publications/3997-learning-cash-responses-tsunami-issues-papers</w:t>
              </w:r>
            </w:hyperlink>
          </w:p>
          <w:p w14:paraId="6186F028" w14:textId="77777777" w:rsidR="00507CFF" w:rsidRPr="00D45D24" w:rsidRDefault="00507CFF" w:rsidP="00342760">
            <w:pPr>
              <w:pStyle w:val="RefItem1"/>
              <w:rPr>
                <w:rFonts w:cs="Arial"/>
              </w:rPr>
            </w:pPr>
            <w:r w:rsidRPr="00D45D24">
              <w:rPr>
                <w:rFonts w:cs="Arial"/>
              </w:rPr>
              <w:t xml:space="preserve">International Red Cross and Red Crescent Movement (2012) Market Analysis Guidance (MAG) </w:t>
            </w:r>
          </w:p>
          <w:p w14:paraId="10B82020" w14:textId="2A2FA5DC" w:rsidR="00507CFF" w:rsidRPr="00D45D24" w:rsidRDefault="00507CFF" w:rsidP="00507CFF">
            <w:pPr>
              <w:pStyle w:val="RefItem1"/>
              <w:rPr>
                <w:rFonts w:cs="Arial"/>
              </w:rPr>
            </w:pPr>
            <w:r w:rsidRPr="00D45D24">
              <w:rPr>
                <w:rFonts w:cs="Arial"/>
              </w:rPr>
              <w:t xml:space="preserve">International Red Cross and Red Crescent Movement (2007) Guidelines for cash transfer programming Pages 28-30. </w:t>
            </w:r>
            <w:r w:rsidR="00D712BC">
              <w:rPr>
                <w:rFonts w:cs="Arial"/>
              </w:rPr>
              <w:br/>
            </w:r>
            <w:hyperlink r:id="rId10" w:history="1">
              <w:r w:rsidRPr="00D45D24">
                <w:rPr>
                  <w:rStyle w:val="Hyperlink"/>
                  <w:rFonts w:cs="Arial"/>
                </w:rPr>
                <w:t>htpp://www.ifrc.org/Global/Publications/disasters/finance/cash-guidelines-en.pdf</w:t>
              </w:r>
            </w:hyperlink>
          </w:p>
          <w:p w14:paraId="4365B0FC" w14:textId="2EA7092B" w:rsidR="00507CFF" w:rsidRPr="00D45D24" w:rsidRDefault="00507CFF" w:rsidP="00D712BC">
            <w:pPr>
              <w:pStyle w:val="RefItem1"/>
              <w:rPr>
                <w:rFonts w:eastAsia="Times New Roman" w:cs="Arial"/>
                <w:sz w:val="22"/>
                <w:szCs w:val="22"/>
                <w:lang w:val="fr-CA"/>
              </w:rPr>
            </w:pPr>
            <w:r w:rsidRPr="00D45D24">
              <w:rPr>
                <w:rFonts w:cs="Arial"/>
              </w:rPr>
              <w:t xml:space="preserve">ACF (2007) Implementing cash-based interventions. </w:t>
            </w:r>
            <w:r w:rsidRPr="00D45D24">
              <w:rPr>
                <w:rFonts w:cs="Arial"/>
                <w:lang w:val="fr-FR"/>
              </w:rPr>
              <w:t>Pages 69-75.</w:t>
            </w:r>
            <w:r w:rsidR="00D712BC">
              <w:rPr>
                <w:rFonts w:cs="Arial"/>
                <w:lang w:val="fr-FR"/>
              </w:rPr>
              <w:br/>
            </w:r>
            <w:hyperlink r:id="rId11" w:history="1">
              <w:r w:rsidRPr="00D45D24">
                <w:rPr>
                  <w:rStyle w:val="Hyperlink"/>
                  <w:rFonts w:cs="Arial"/>
                  <w:lang w:val="fr-FR"/>
                </w:rPr>
                <w:t>http://www.actionagainsthunger.org/publication/2007/10/implementing-cash-based-interventions-guideline-aid-workers</w:t>
              </w:r>
            </w:hyperlink>
          </w:p>
        </w:tc>
      </w:tr>
    </w:tbl>
    <w:p w14:paraId="6ECFD3D2" w14:textId="77777777" w:rsidR="003C4E71" w:rsidRPr="00D45D24" w:rsidRDefault="003C4E71" w:rsidP="00D45D24">
      <w:pPr>
        <w:rPr>
          <w:rFonts w:cs="Arial"/>
          <w:lang w:val="fr-CA"/>
        </w:rPr>
      </w:pPr>
    </w:p>
    <w:sectPr w:rsidR="003C4E71" w:rsidRPr="00D45D24" w:rsidSect="00555E96">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8"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84123" w14:textId="77777777" w:rsidR="00476C63" w:rsidRDefault="00476C63" w:rsidP="003C4E71">
      <w:r>
        <w:separator/>
      </w:r>
    </w:p>
  </w:endnote>
  <w:endnote w:type="continuationSeparator" w:id="0">
    <w:p w14:paraId="3B309C42" w14:textId="77777777" w:rsidR="00476C63" w:rsidRDefault="00476C63" w:rsidP="003C4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Roman">
    <w:altName w:val="Times"/>
    <w:charset w:val="00"/>
    <w:family w:val="auto"/>
    <w:pitch w:val="variable"/>
    <w:sig w:usb0="00000003" w:usb1="00000000" w:usb2="00000000" w:usb3="00000000" w:csb0="00000001" w:csb1="00000000"/>
  </w:font>
  <w:font w:name="Caecilia-Light">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1F80C" w14:textId="77777777" w:rsidR="003C070E" w:rsidRDefault="003C070E" w:rsidP="003C4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5DDD1" w14:textId="77777777" w:rsidR="003C070E" w:rsidRDefault="003C070E" w:rsidP="003C4E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4F7A6" w14:textId="785ED1AA" w:rsidR="003C070E" w:rsidRDefault="003C070E" w:rsidP="003C4E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0B92">
      <w:rPr>
        <w:rStyle w:val="PageNumber"/>
        <w:noProof/>
      </w:rPr>
      <w:t>3</w:t>
    </w:r>
    <w:r>
      <w:rPr>
        <w:rStyle w:val="PageNumber"/>
      </w:rPr>
      <w:fldChar w:fldCharType="end"/>
    </w:r>
  </w:p>
  <w:p w14:paraId="658D6A0D" w14:textId="4BE49386" w:rsidR="003C070E" w:rsidRDefault="003C070E" w:rsidP="003C4E71">
    <w:pPr>
      <w:pStyle w:val="Footer"/>
      <w:ind w:right="360"/>
    </w:pPr>
    <w:r w:rsidRPr="007042F1">
      <w:rPr>
        <w:b/>
      </w:rPr>
      <w:t>Module 3.</w:t>
    </w:r>
    <w:r>
      <w:t xml:space="preserve"> Step 2. </w:t>
    </w:r>
    <w:r w:rsidRPr="00E30A1B">
      <w:t>Roadmap for decisions on the value and frequency of the transfer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E7574" w14:textId="32A63BB2" w:rsidR="003C070E" w:rsidRPr="00B45C74" w:rsidRDefault="003C070E" w:rsidP="003C4E71">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D80B92">
      <w:rPr>
        <w:b/>
        <w:noProof/>
        <w:color w:val="808080" w:themeColor="background1" w:themeShade="80"/>
        <w:sz w:val="18"/>
        <w:szCs w:val="18"/>
      </w:rPr>
      <w:t>1</w:t>
    </w:r>
    <w:r w:rsidRPr="00B45C74">
      <w:rPr>
        <w:b/>
        <w:color w:val="808080" w:themeColor="background1" w:themeShade="80"/>
        <w:sz w:val="18"/>
        <w:szCs w:val="18"/>
      </w:rPr>
      <w:fldChar w:fldCharType="end"/>
    </w:r>
  </w:p>
  <w:p w14:paraId="76DCAF57" w14:textId="55D5912D" w:rsidR="003C070E" w:rsidRPr="003A3500" w:rsidRDefault="003C070E" w:rsidP="003C4E71">
    <w:pPr>
      <w:pStyle w:val="Footer"/>
    </w:pPr>
    <w:r w:rsidRPr="00107E15">
      <w:rPr>
        <w:b/>
      </w:rPr>
      <w:t xml:space="preserve">Module </w:t>
    </w:r>
    <w:r>
      <w:rPr>
        <w:b/>
      </w:rPr>
      <w:t>3</w:t>
    </w:r>
    <w:r w:rsidRPr="00107E15">
      <w:rPr>
        <w:b/>
      </w:rPr>
      <w:t>.</w:t>
    </w:r>
    <w:r w:rsidRPr="00107E15">
      <w:t xml:space="preserve"> </w:t>
    </w:r>
    <w:r>
      <w:t xml:space="preserve">Step 2. </w:t>
    </w:r>
    <w:r w:rsidRPr="00107E15">
      <w:rPr>
        <w:i/>
      </w:rPr>
      <w:fldChar w:fldCharType="begin"/>
    </w:r>
    <w:r w:rsidRPr="00107E15">
      <w:rPr>
        <w:i/>
      </w:rPr>
      <w:instrText xml:space="preserve"> STYLEREF  H1 \t  \* MERGEFORMAT </w:instrText>
    </w:r>
    <w:r w:rsidRPr="00107E15">
      <w:rPr>
        <w:i/>
      </w:rPr>
      <w:fldChar w:fldCharType="separate"/>
    </w:r>
    <w:r w:rsidR="00D80B92" w:rsidRPr="00D80B92">
      <w:rPr>
        <w:bCs/>
        <w:noProof/>
      </w:rPr>
      <w:t>Roadmap for decisions on the value and frequency of</w:t>
    </w:r>
    <w:r w:rsidR="00D80B92" w:rsidRPr="00D80B92">
      <w:rPr>
        <w:noProof/>
      </w:rPr>
      <w:t xml:space="preserve"> the transfer</w:t>
    </w:r>
    <w:r w:rsidRPr="00107E15">
      <w:rP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7A664" w14:textId="77777777" w:rsidR="00476C63" w:rsidRDefault="00476C63" w:rsidP="003C4E71">
      <w:r>
        <w:separator/>
      </w:r>
    </w:p>
  </w:footnote>
  <w:footnote w:type="continuationSeparator" w:id="0">
    <w:p w14:paraId="0A6BDBF4" w14:textId="77777777" w:rsidR="00476C63" w:rsidRDefault="00476C63" w:rsidP="003C4E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F3E7" w14:textId="77777777" w:rsidR="003C070E" w:rsidRDefault="003C07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F4B3D" w14:textId="77777777" w:rsidR="003C070E" w:rsidRPr="00074036" w:rsidRDefault="003C070E" w:rsidP="003C4E71">
    <w:pPr>
      <w:pStyle w:val="Header"/>
      <w:rPr>
        <w:szCs w:val="16"/>
      </w:rPr>
    </w:pPr>
    <w:r w:rsidRPr="004B5DA9">
      <w:rPr>
        <w:rStyle w:val="Pantone485"/>
      </w:rPr>
      <w:t>International Red Cross and Red Crescent Movement</w:t>
    </w:r>
    <w:r>
      <w:rPr>
        <w:rFonts w:cs="Caecilia-Light"/>
        <w:color w:val="FF0000"/>
        <w:szCs w:val="16"/>
      </w:rPr>
      <w:t xml:space="preserve"> </w:t>
    </w:r>
    <w:r w:rsidRPr="002B5D03">
      <w:rPr>
        <w:rStyle w:val="PageNumber"/>
        <w:bCs/>
        <w:szCs w:val="16"/>
      </w:rPr>
      <w:t>I</w:t>
    </w:r>
    <w:r w:rsidRPr="009F6986">
      <w:rPr>
        <w:rStyle w:val="PageNumber"/>
        <w:color w:val="FF0000"/>
        <w:szCs w:val="16"/>
      </w:rPr>
      <w:t xml:space="preserve"> </w:t>
    </w:r>
    <w:r w:rsidRPr="009F6986">
      <w:rPr>
        <w:b/>
        <w:szCs w:val="16"/>
      </w:rPr>
      <w:t>Cash in Emergenc</w:t>
    </w:r>
    <w:r>
      <w:rPr>
        <w:b/>
        <w:szCs w:val="16"/>
      </w:rPr>
      <w:t>ies</w:t>
    </w:r>
    <w:r w:rsidRPr="009F6986">
      <w:rPr>
        <w:b/>
        <w:szCs w:val="16"/>
      </w:rPr>
      <w:t xml:space="preserve">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8F604" w14:textId="77777777" w:rsidR="003C070E" w:rsidRDefault="003C070E" w:rsidP="003C4E71">
    <w:pPr>
      <w:pStyle w:val="Header1"/>
    </w:pPr>
    <w:r>
      <w:rPr>
        <w:noProof/>
        <w:lang w:val="en-GB" w:eastAsia="en-GB"/>
      </w:rPr>
      <w:drawing>
        <wp:anchor distT="0" distB="0" distL="114300" distR="114300" simplePos="0" relativeHeight="251660288" behindDoc="0" locked="0" layoutInCell="1" allowOverlap="1" wp14:anchorId="0BA96D63" wp14:editId="7DD61E77">
          <wp:simplePos x="0" y="0"/>
          <wp:positionH relativeFrom="page">
            <wp:posOffset>1080135</wp:posOffset>
          </wp:positionH>
          <wp:positionV relativeFrom="page">
            <wp:posOffset>377825</wp:posOffset>
          </wp:positionV>
          <wp:extent cx="633730" cy="719512"/>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1">
                    <a:extLst>
                      <a:ext uri="{28A0092B-C50C-407E-A947-70E740481C1C}">
                        <a14:useLocalDpi xmlns:a14="http://schemas.microsoft.com/office/drawing/2010/main" val="0"/>
                      </a:ext>
                    </a:extLst>
                  </a:blip>
                  <a:stretch>
                    <a:fillRect/>
                  </a:stretch>
                </pic:blipFill>
                <pic:spPr>
                  <a:xfrm>
                    <a:off x="0" y="0"/>
                    <a:ext cx="633730" cy="719512"/>
                  </a:xfrm>
                  <a:prstGeom prst="rect">
                    <a:avLst/>
                  </a:prstGeom>
                </pic:spPr>
              </pic:pic>
            </a:graphicData>
          </a:graphic>
          <wp14:sizeRelH relativeFrom="page">
            <wp14:pctWidth>0</wp14:pctWidth>
          </wp14:sizeRelH>
          <wp14:sizeRelV relativeFrom="page">
            <wp14:pctHeight>0</wp14:pctHeight>
          </wp14:sizeRelV>
        </wp:anchor>
      </w:drawing>
    </w:r>
  </w:p>
  <w:p w14:paraId="0182E42E" w14:textId="77777777" w:rsidR="003C070E" w:rsidRDefault="003C070E" w:rsidP="003C4E71">
    <w:pPr>
      <w:pStyle w:val="Header1"/>
    </w:pPr>
  </w:p>
  <w:p w14:paraId="15785B68" w14:textId="77777777" w:rsidR="003C070E" w:rsidRDefault="003C070E" w:rsidP="003C4E71">
    <w:pPr>
      <w:pStyle w:val="Header"/>
      <w:rPr>
        <w:color w:val="DC281E"/>
        <w:sz w:val="24"/>
        <w:szCs w:val="24"/>
      </w:rPr>
    </w:pPr>
    <w:r>
      <w:rPr>
        <w:noProof/>
        <w:lang w:val="en-GB" w:eastAsia="en-GB"/>
      </w:rPr>
      <w:drawing>
        <wp:anchor distT="0" distB="0" distL="114300" distR="114300" simplePos="0" relativeHeight="251659264" behindDoc="0" locked="0" layoutInCell="1" allowOverlap="1" wp14:anchorId="1A5BC194" wp14:editId="4D1E1877">
          <wp:simplePos x="0" y="0"/>
          <wp:positionH relativeFrom="page">
            <wp:posOffset>3366135</wp:posOffset>
          </wp:positionH>
          <wp:positionV relativeFrom="page">
            <wp:posOffset>784225</wp:posOffset>
          </wp:positionV>
          <wp:extent cx="3200400" cy="299867"/>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EN-1metre.jpg"/>
                  <pic:cNvPicPr/>
                </pic:nvPicPr>
                <pic:blipFill>
                  <a:blip r:embed="rId2">
                    <a:extLst>
                      <a:ext uri="{28A0092B-C50C-407E-A947-70E740481C1C}">
                        <a14:useLocalDpi xmlns:a14="http://schemas.microsoft.com/office/drawing/2010/main" val="0"/>
                      </a:ext>
                    </a:extLst>
                  </a:blip>
                  <a:stretch>
                    <a:fillRect/>
                  </a:stretch>
                </pic:blipFill>
                <pic:spPr>
                  <a:xfrm>
                    <a:off x="0" y="0"/>
                    <a:ext cx="3200400" cy="299867"/>
                  </a:xfrm>
                  <a:prstGeom prst="rect">
                    <a:avLst/>
                  </a:prstGeom>
                </pic:spPr>
              </pic:pic>
            </a:graphicData>
          </a:graphic>
          <wp14:sizeRelH relativeFrom="page">
            <wp14:pctWidth>0</wp14:pctWidth>
          </wp14:sizeRelH>
          <wp14:sizeRelV relativeFrom="page">
            <wp14:pctHeight>0</wp14:pctHeight>
          </wp14:sizeRelV>
        </wp:anchor>
      </w:drawing>
    </w:r>
  </w:p>
  <w:p w14:paraId="45575C14" w14:textId="77777777" w:rsidR="003C070E" w:rsidRDefault="003C070E" w:rsidP="003C4E71">
    <w:pPr>
      <w:pStyle w:val="Header"/>
      <w:spacing w:line="240" w:lineRule="auto"/>
      <w:rPr>
        <w:b/>
        <w:color w:val="DC281E"/>
        <w:sz w:val="24"/>
        <w:szCs w:val="24"/>
      </w:rPr>
    </w:pPr>
  </w:p>
  <w:p w14:paraId="4374528E" w14:textId="77777777" w:rsidR="003C070E" w:rsidRDefault="003C070E" w:rsidP="003C4E71">
    <w:pPr>
      <w:pStyle w:val="Header"/>
      <w:spacing w:line="240" w:lineRule="auto"/>
      <w:rPr>
        <w:b/>
        <w:color w:val="DC281E"/>
        <w:sz w:val="24"/>
        <w:szCs w:val="24"/>
      </w:rPr>
    </w:pPr>
  </w:p>
  <w:p w14:paraId="608FE74D" w14:textId="77777777" w:rsidR="003C070E" w:rsidRPr="00555E96" w:rsidRDefault="003C070E" w:rsidP="003C4E71">
    <w:pPr>
      <w:pStyle w:val="Header1"/>
      <w:rPr>
        <w:rFonts w:ascii="Arial Bold" w:hAnsi="Arial Bold"/>
        <w:color w:val="DC281E"/>
      </w:rPr>
    </w:pPr>
    <w:r w:rsidRPr="00555E96">
      <w:rPr>
        <w:rFonts w:ascii="Arial Bold" w:hAnsi="Arial Bold"/>
        <w:color w:val="DC281E"/>
      </w:rPr>
      <w:t>Cash in Emergencies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02652"/>
    <w:multiLevelType w:val="hybridMultilevel"/>
    <w:tmpl w:val="9CF4AF48"/>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20167"/>
    <w:multiLevelType w:val="hybridMultilevel"/>
    <w:tmpl w:val="EEBAE6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646E50"/>
    <w:multiLevelType w:val="hybridMultilevel"/>
    <w:tmpl w:val="78806A2A"/>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025864"/>
    <w:multiLevelType w:val="hybridMultilevel"/>
    <w:tmpl w:val="7FB6FBEA"/>
    <w:lvl w:ilvl="0" w:tplc="4B1032CE">
      <w:start w:val="1"/>
      <w:numFmt w:val="decimal"/>
      <w:lvlText w:val="%1."/>
      <w:lvlJc w:val="left"/>
      <w:pPr>
        <w:ind w:left="720" w:hanging="360"/>
      </w:pPr>
      <w:rPr>
        <w:rFonts w:asciiTheme="majorHAnsi" w:eastAsiaTheme="minorEastAsia" w:hAnsiTheme="majorHAnsi" w:cs="ArialMT"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202994"/>
    <w:multiLevelType w:val="hybridMultilevel"/>
    <w:tmpl w:val="9236B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0630407"/>
    <w:multiLevelType w:val="hybridMultilevel"/>
    <w:tmpl w:val="3AFE9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B67CF0"/>
    <w:multiLevelType w:val="hybridMultilevel"/>
    <w:tmpl w:val="F470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112787"/>
    <w:multiLevelType w:val="hybridMultilevel"/>
    <w:tmpl w:val="5FCC9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3D6413"/>
    <w:multiLevelType w:val="hybridMultilevel"/>
    <w:tmpl w:val="C478B7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623AFB"/>
    <w:multiLevelType w:val="hybridMultilevel"/>
    <w:tmpl w:val="F0DA8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3"/>
  </w:num>
  <w:num w:numId="4">
    <w:abstractNumId w:val="15"/>
  </w:num>
  <w:num w:numId="5">
    <w:abstractNumId w:val="13"/>
  </w:num>
  <w:num w:numId="6">
    <w:abstractNumId w:val="16"/>
  </w:num>
  <w:num w:numId="7">
    <w:abstractNumId w:val="10"/>
  </w:num>
  <w:num w:numId="8">
    <w:abstractNumId w:val="14"/>
  </w:num>
  <w:num w:numId="9">
    <w:abstractNumId w:val="4"/>
  </w:num>
  <w:num w:numId="10">
    <w:abstractNumId w:val="12"/>
  </w:num>
  <w:num w:numId="11">
    <w:abstractNumId w:val="1"/>
  </w:num>
  <w:num w:numId="12">
    <w:abstractNumId w:val="0"/>
  </w:num>
  <w:num w:numId="13">
    <w:abstractNumId w:val="7"/>
  </w:num>
  <w:num w:numId="14">
    <w:abstractNumId w:val="2"/>
  </w:num>
  <w:num w:numId="15">
    <w:abstractNumId w:val="8"/>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FC"/>
    <w:rsid w:val="00031084"/>
    <w:rsid w:val="00056E1C"/>
    <w:rsid w:val="00067802"/>
    <w:rsid w:val="000B2261"/>
    <w:rsid w:val="000C56E6"/>
    <w:rsid w:val="000F5827"/>
    <w:rsid w:val="00110951"/>
    <w:rsid w:val="001761FB"/>
    <w:rsid w:val="00192C10"/>
    <w:rsid w:val="00205729"/>
    <w:rsid w:val="002E40E0"/>
    <w:rsid w:val="002F446C"/>
    <w:rsid w:val="00342760"/>
    <w:rsid w:val="00393AA3"/>
    <w:rsid w:val="003B4105"/>
    <w:rsid w:val="003C070E"/>
    <w:rsid w:val="003C4E71"/>
    <w:rsid w:val="00423184"/>
    <w:rsid w:val="00466BA8"/>
    <w:rsid w:val="00476C63"/>
    <w:rsid w:val="00477AF1"/>
    <w:rsid w:val="004955F5"/>
    <w:rsid w:val="004B02DC"/>
    <w:rsid w:val="004E1573"/>
    <w:rsid w:val="004F3396"/>
    <w:rsid w:val="004F6087"/>
    <w:rsid w:val="00507CFF"/>
    <w:rsid w:val="00555E96"/>
    <w:rsid w:val="005A0845"/>
    <w:rsid w:val="005B1688"/>
    <w:rsid w:val="00664B61"/>
    <w:rsid w:val="006A28A2"/>
    <w:rsid w:val="006B5769"/>
    <w:rsid w:val="006B7328"/>
    <w:rsid w:val="006D408A"/>
    <w:rsid w:val="007042F1"/>
    <w:rsid w:val="00733CC8"/>
    <w:rsid w:val="00735432"/>
    <w:rsid w:val="007C1CA3"/>
    <w:rsid w:val="00807EB8"/>
    <w:rsid w:val="0081402B"/>
    <w:rsid w:val="00890483"/>
    <w:rsid w:val="00917188"/>
    <w:rsid w:val="00982F4D"/>
    <w:rsid w:val="009C2F13"/>
    <w:rsid w:val="009D779E"/>
    <w:rsid w:val="009F2BAE"/>
    <w:rsid w:val="00A23507"/>
    <w:rsid w:val="00A7146D"/>
    <w:rsid w:val="00A832C5"/>
    <w:rsid w:val="00AB035F"/>
    <w:rsid w:val="00AC3A1D"/>
    <w:rsid w:val="00AD58C2"/>
    <w:rsid w:val="00B05A65"/>
    <w:rsid w:val="00B07EFC"/>
    <w:rsid w:val="00B13819"/>
    <w:rsid w:val="00B3168A"/>
    <w:rsid w:val="00B7319F"/>
    <w:rsid w:val="00B934B5"/>
    <w:rsid w:val="00BB6AFC"/>
    <w:rsid w:val="00BF3875"/>
    <w:rsid w:val="00C237E4"/>
    <w:rsid w:val="00C271DC"/>
    <w:rsid w:val="00C55BC4"/>
    <w:rsid w:val="00C56C52"/>
    <w:rsid w:val="00C72EB8"/>
    <w:rsid w:val="00D077D0"/>
    <w:rsid w:val="00D31CB5"/>
    <w:rsid w:val="00D34DBF"/>
    <w:rsid w:val="00D45D24"/>
    <w:rsid w:val="00D57984"/>
    <w:rsid w:val="00D712BC"/>
    <w:rsid w:val="00D80B92"/>
    <w:rsid w:val="00DE4839"/>
    <w:rsid w:val="00DE7410"/>
    <w:rsid w:val="00E259B2"/>
    <w:rsid w:val="00E30A1B"/>
    <w:rsid w:val="00E51940"/>
    <w:rsid w:val="00E8711C"/>
    <w:rsid w:val="00EC3256"/>
    <w:rsid w:val="00ED4F9F"/>
    <w:rsid w:val="00ED5D88"/>
    <w:rsid w:val="00EF2552"/>
    <w:rsid w:val="00F62663"/>
    <w:rsid w:val="00F877CA"/>
    <w:rsid w:val="00FE53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9322A"/>
  <w15:docId w15:val="{43F36E2A-5081-405F-AD20-36392D4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inorEastAsia" w:hAnsiTheme="majorHAnsi" w:cs="ArialMT"/>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712BC"/>
    <w:pPr>
      <w:spacing w:after="120"/>
      <w:jc w:val="both"/>
    </w:pPr>
    <w:rPr>
      <w:rFonts w:ascii="Arial" w:hAnsi="Arial" w:cs="Times New Roman"/>
    </w:rPr>
  </w:style>
  <w:style w:type="paragraph" w:styleId="Heading1">
    <w:name w:val="heading 1"/>
    <w:basedOn w:val="H1"/>
    <w:next w:val="Normal"/>
    <w:link w:val="Heading1Char"/>
    <w:uiPriority w:val="9"/>
    <w:rsid w:val="00D712BC"/>
  </w:style>
  <w:style w:type="paragraph" w:styleId="Heading2">
    <w:name w:val="heading 2"/>
    <w:basedOn w:val="Normal"/>
    <w:next w:val="Normal"/>
    <w:link w:val="Heading2Char"/>
    <w:uiPriority w:val="9"/>
    <w:unhideWhenUsed/>
    <w:qFormat/>
    <w:rsid w:val="00D712BC"/>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D712BC"/>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712BC"/>
    <w:pPr>
      <w:spacing w:after="240"/>
      <w:ind w:left="720"/>
      <w:contextualSpacing/>
    </w:pPr>
    <w:rPr>
      <w:rFonts w:eastAsiaTheme="minorHAnsi" w:cstheme="minorBidi"/>
      <w:szCs w:val="22"/>
    </w:rPr>
  </w:style>
  <w:style w:type="table" w:styleId="TableGrid">
    <w:name w:val="Table Grid"/>
    <w:basedOn w:val="TableNormal"/>
    <w:uiPriority w:val="59"/>
    <w:rsid w:val="00D712BC"/>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2BC"/>
    <w:pPr>
      <w:spacing w:after="0" w:line="288" w:lineRule="auto"/>
      <w:jc w:val="left"/>
    </w:pPr>
    <w:rPr>
      <w:sz w:val="16"/>
    </w:rPr>
  </w:style>
  <w:style w:type="character" w:customStyle="1" w:styleId="HeaderChar">
    <w:name w:val="Header Char"/>
    <w:basedOn w:val="DefaultParagraphFont"/>
    <w:link w:val="Header"/>
    <w:uiPriority w:val="99"/>
    <w:rsid w:val="00D712BC"/>
    <w:rPr>
      <w:rFonts w:ascii="Arial" w:hAnsi="Arial" w:cs="Times New Roman"/>
      <w:sz w:val="16"/>
    </w:rPr>
  </w:style>
  <w:style w:type="paragraph" w:styleId="Footer">
    <w:name w:val="footer"/>
    <w:basedOn w:val="Normal"/>
    <w:link w:val="FooterChar"/>
    <w:uiPriority w:val="99"/>
    <w:unhideWhenUsed/>
    <w:rsid w:val="00D712BC"/>
    <w:pPr>
      <w:spacing w:after="0"/>
      <w:jc w:val="left"/>
    </w:pPr>
    <w:rPr>
      <w:sz w:val="16"/>
      <w:szCs w:val="18"/>
    </w:rPr>
  </w:style>
  <w:style w:type="character" w:customStyle="1" w:styleId="FooterChar">
    <w:name w:val="Footer Char"/>
    <w:basedOn w:val="DefaultParagraphFont"/>
    <w:link w:val="Footer"/>
    <w:uiPriority w:val="99"/>
    <w:rsid w:val="00D712BC"/>
    <w:rPr>
      <w:rFonts w:ascii="Arial" w:hAnsi="Arial" w:cs="Times New Roman"/>
      <w:sz w:val="16"/>
      <w:szCs w:val="18"/>
    </w:rPr>
  </w:style>
  <w:style w:type="character" w:styleId="PageNumber">
    <w:name w:val="page number"/>
    <w:basedOn w:val="DefaultParagraphFont"/>
    <w:uiPriority w:val="99"/>
    <w:unhideWhenUsed/>
    <w:rsid w:val="00D712BC"/>
    <w:rPr>
      <w:b/>
    </w:rPr>
  </w:style>
  <w:style w:type="character" w:styleId="CommentReference">
    <w:name w:val="annotation reference"/>
    <w:basedOn w:val="DefaultParagraphFont"/>
    <w:uiPriority w:val="99"/>
    <w:semiHidden/>
    <w:unhideWhenUsed/>
    <w:rsid w:val="00D712BC"/>
    <w:rPr>
      <w:sz w:val="18"/>
      <w:szCs w:val="18"/>
    </w:rPr>
  </w:style>
  <w:style w:type="paragraph" w:styleId="CommentText">
    <w:name w:val="annotation text"/>
    <w:basedOn w:val="Normal"/>
    <w:link w:val="CommentTextChar"/>
    <w:uiPriority w:val="99"/>
    <w:semiHidden/>
    <w:unhideWhenUsed/>
    <w:rsid w:val="005966AE"/>
  </w:style>
  <w:style w:type="character" w:customStyle="1" w:styleId="CommentTextChar">
    <w:name w:val="Comment Text Char"/>
    <w:basedOn w:val="DefaultParagraphFont"/>
    <w:link w:val="CommentText"/>
    <w:uiPriority w:val="99"/>
    <w:semiHidden/>
    <w:rsid w:val="005966AE"/>
    <w:rPr>
      <w:lang w:val="en-GB"/>
    </w:rPr>
  </w:style>
  <w:style w:type="paragraph" w:styleId="CommentSubject">
    <w:name w:val="annotation subject"/>
    <w:basedOn w:val="Normal"/>
    <w:link w:val="CommentSubjectChar"/>
    <w:uiPriority w:val="99"/>
    <w:semiHidden/>
    <w:unhideWhenUsed/>
    <w:rsid w:val="00D712BC"/>
    <w:rPr>
      <w:b/>
      <w:bCs/>
    </w:rPr>
  </w:style>
  <w:style w:type="character" w:customStyle="1" w:styleId="CommentSubjectChar">
    <w:name w:val="Comment Subject Char"/>
    <w:basedOn w:val="DefaultParagraphFont"/>
    <w:link w:val="CommentSubject"/>
    <w:uiPriority w:val="99"/>
    <w:semiHidden/>
    <w:rsid w:val="00D712BC"/>
    <w:rPr>
      <w:rFonts w:ascii="Arial" w:hAnsi="Arial" w:cs="Times New Roman"/>
      <w:b/>
      <w:bCs/>
    </w:rPr>
  </w:style>
  <w:style w:type="paragraph" w:styleId="BalloonText">
    <w:name w:val="Balloon Text"/>
    <w:basedOn w:val="Normal"/>
    <w:link w:val="BalloonTextChar"/>
    <w:uiPriority w:val="99"/>
    <w:semiHidden/>
    <w:unhideWhenUsed/>
    <w:rsid w:val="00D712B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12BC"/>
    <w:rPr>
      <w:rFonts w:ascii="Lucida Grande" w:hAnsi="Lucida Grande" w:cs="Lucida Grande"/>
      <w:sz w:val="18"/>
      <w:szCs w:val="18"/>
    </w:rPr>
  </w:style>
  <w:style w:type="character" w:customStyle="1" w:styleId="ListParagraphChar">
    <w:name w:val="List Paragraph Char"/>
    <w:basedOn w:val="DefaultParagraphFont"/>
    <w:link w:val="ListParagraph"/>
    <w:uiPriority w:val="34"/>
    <w:rsid w:val="00D712BC"/>
    <w:rPr>
      <w:rFonts w:ascii="Arial" w:eastAsiaTheme="minorHAnsi" w:hAnsi="Arial" w:cstheme="minorBidi"/>
      <w:szCs w:val="22"/>
    </w:rPr>
  </w:style>
  <w:style w:type="table" w:styleId="MediumShading1-Accent1">
    <w:name w:val="Medium Shading 1 Accent 1"/>
    <w:basedOn w:val="TableNormal"/>
    <w:uiPriority w:val="63"/>
    <w:rsid w:val="00B05A6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eading1Char">
    <w:name w:val="Heading 1 Char"/>
    <w:basedOn w:val="DefaultParagraphFont"/>
    <w:link w:val="Heading1"/>
    <w:uiPriority w:val="9"/>
    <w:rsid w:val="00D712BC"/>
    <w:rPr>
      <w:rFonts w:ascii="Arial" w:hAnsi="Arial" w:cs="Times New Roman"/>
      <w:b/>
      <w:sz w:val="40"/>
      <w:szCs w:val="52"/>
    </w:rPr>
  </w:style>
  <w:style w:type="character" w:customStyle="1" w:styleId="Heading2Char">
    <w:name w:val="Heading 2 Char"/>
    <w:basedOn w:val="DefaultParagraphFont"/>
    <w:link w:val="Heading2"/>
    <w:uiPriority w:val="9"/>
    <w:rsid w:val="00D712BC"/>
    <w:rPr>
      <w:rFonts w:ascii="Arial" w:hAnsi="Arial" w:cs="Times New Roman"/>
      <w:b/>
      <w:caps/>
      <w:sz w:val="24"/>
      <w:szCs w:val="26"/>
    </w:rPr>
  </w:style>
  <w:style w:type="character" w:customStyle="1" w:styleId="Heading3Char">
    <w:name w:val="Heading 3 Char"/>
    <w:basedOn w:val="DefaultParagraphFont"/>
    <w:link w:val="Heading3"/>
    <w:uiPriority w:val="9"/>
    <w:rsid w:val="00D712BC"/>
    <w:rPr>
      <w:rFonts w:ascii="Arial" w:hAnsi="Arial" w:cs="Times New Roman"/>
      <w:b/>
      <w:sz w:val="22"/>
      <w:szCs w:val="24"/>
    </w:rPr>
  </w:style>
  <w:style w:type="paragraph" w:customStyle="1" w:styleId="Default">
    <w:name w:val="Default"/>
    <w:rsid w:val="00D712BC"/>
    <w:pPr>
      <w:widowControl w:val="0"/>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712BC"/>
    <w:rPr>
      <w:color w:val="0000FF" w:themeColor="hyperlink"/>
      <w:u w:val="single"/>
    </w:rPr>
  </w:style>
  <w:style w:type="character" w:styleId="FollowedHyperlink">
    <w:name w:val="FollowedHyperlink"/>
    <w:basedOn w:val="DefaultParagraphFont"/>
    <w:uiPriority w:val="99"/>
    <w:semiHidden/>
    <w:unhideWhenUsed/>
    <w:rsid w:val="00D712BC"/>
    <w:rPr>
      <w:color w:val="800080" w:themeColor="followedHyperlink"/>
      <w:u w:val="single"/>
    </w:rPr>
  </w:style>
  <w:style w:type="paragraph" w:styleId="FootnoteText">
    <w:name w:val="footnote text"/>
    <w:basedOn w:val="Normal"/>
    <w:link w:val="FootnoteTextChar"/>
    <w:uiPriority w:val="99"/>
    <w:unhideWhenUsed/>
    <w:rsid w:val="00D712BC"/>
    <w:pPr>
      <w:spacing w:after="0"/>
    </w:pPr>
    <w:rPr>
      <w:sz w:val="16"/>
      <w:szCs w:val="22"/>
    </w:rPr>
  </w:style>
  <w:style w:type="character" w:customStyle="1" w:styleId="FootnoteTextChar">
    <w:name w:val="Footnote Text Char"/>
    <w:basedOn w:val="DefaultParagraphFont"/>
    <w:link w:val="FootnoteText"/>
    <w:uiPriority w:val="99"/>
    <w:rsid w:val="00D712BC"/>
    <w:rPr>
      <w:rFonts w:ascii="Arial" w:hAnsi="Arial" w:cs="Times New Roman"/>
      <w:sz w:val="16"/>
      <w:szCs w:val="22"/>
    </w:rPr>
  </w:style>
  <w:style w:type="character" w:styleId="FootnoteReference">
    <w:name w:val="footnote reference"/>
    <w:basedOn w:val="DefaultParagraphFont"/>
    <w:uiPriority w:val="99"/>
    <w:unhideWhenUsed/>
    <w:rsid w:val="00D712BC"/>
    <w:rPr>
      <w:vertAlign w:val="superscript"/>
    </w:rPr>
  </w:style>
  <w:style w:type="paragraph" w:styleId="Revision">
    <w:name w:val="Revision"/>
    <w:hidden/>
    <w:uiPriority w:val="99"/>
    <w:semiHidden/>
    <w:rsid w:val="00D712BC"/>
    <w:rPr>
      <w:rFonts w:ascii="Arial" w:hAnsi="Arial" w:cs="Arial"/>
      <w:sz w:val="21"/>
      <w:szCs w:val="21"/>
    </w:rPr>
  </w:style>
  <w:style w:type="paragraph" w:customStyle="1" w:styleId="BasicParagraph">
    <w:name w:val="[Basic Paragraph]"/>
    <w:basedOn w:val="Normal"/>
    <w:uiPriority w:val="99"/>
    <w:rsid w:val="00D712BC"/>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D712BC"/>
    <w:pPr>
      <w:spacing w:before="360" w:after="240"/>
      <w:jc w:val="left"/>
      <w:outlineLvl w:val="0"/>
    </w:pPr>
    <w:rPr>
      <w:b/>
      <w:sz w:val="40"/>
      <w:szCs w:val="52"/>
    </w:rPr>
  </w:style>
  <w:style w:type="paragraph" w:customStyle="1" w:styleId="Bullet1">
    <w:name w:val="Bullet 1"/>
    <w:basedOn w:val="Normal"/>
    <w:rsid w:val="00D712BC"/>
    <w:pPr>
      <w:numPr>
        <w:numId w:val="14"/>
      </w:numPr>
      <w:spacing w:before="60"/>
    </w:pPr>
    <w:rPr>
      <w:rFonts w:eastAsia="Times New Roman"/>
      <w:color w:val="000000"/>
    </w:rPr>
  </w:style>
  <w:style w:type="paragraph" w:customStyle="1" w:styleId="RefItem1">
    <w:name w:val="Ref Item 1"/>
    <w:basedOn w:val="Normal"/>
    <w:rsid w:val="00D712BC"/>
    <w:pPr>
      <w:jc w:val="left"/>
    </w:pPr>
    <w:rPr>
      <w:color w:val="000000"/>
      <w:szCs w:val="24"/>
      <w:lang w:eastAsia="it-IT"/>
    </w:rPr>
  </w:style>
  <w:style w:type="paragraph" w:customStyle="1" w:styleId="RefTitre">
    <w:name w:val="Ref Titre"/>
    <w:basedOn w:val="Normal"/>
    <w:rsid w:val="00D712BC"/>
    <w:pPr>
      <w:jc w:val="left"/>
    </w:pPr>
    <w:rPr>
      <w:rFonts w:eastAsia="Times New Roman"/>
      <w:b/>
      <w:bCs/>
      <w:sz w:val="26"/>
      <w:szCs w:val="26"/>
    </w:rPr>
  </w:style>
  <w:style w:type="paragraph" w:customStyle="1" w:styleId="Header1">
    <w:name w:val="Header 1"/>
    <w:basedOn w:val="Header"/>
    <w:rsid w:val="00D712BC"/>
    <w:rPr>
      <w:b/>
      <w:sz w:val="24"/>
      <w:szCs w:val="24"/>
    </w:rPr>
  </w:style>
  <w:style w:type="character" w:customStyle="1" w:styleId="Pantone485">
    <w:name w:val="Pantone 485"/>
    <w:basedOn w:val="DefaultParagraphFont"/>
    <w:uiPriority w:val="1"/>
    <w:qFormat/>
    <w:rsid w:val="00D712BC"/>
    <w:rPr>
      <w:rFonts w:cs="Caecilia-Light"/>
      <w:color w:val="DC281E"/>
      <w:szCs w:val="16"/>
    </w:rPr>
  </w:style>
  <w:style w:type="character" w:customStyle="1" w:styleId="H1Char">
    <w:name w:val="H1 Char"/>
    <w:basedOn w:val="DefaultParagraphFont"/>
    <w:link w:val="H1"/>
    <w:rsid w:val="00D712BC"/>
    <w:rPr>
      <w:rFonts w:ascii="Arial" w:hAnsi="Arial" w:cs="Times New Roman"/>
      <w:b/>
      <w:sz w:val="40"/>
      <w:szCs w:val="52"/>
    </w:rPr>
  </w:style>
  <w:style w:type="table" w:customStyle="1" w:styleId="TableGray">
    <w:name w:val="Table Gray"/>
    <w:basedOn w:val="TableNormal"/>
    <w:uiPriority w:val="99"/>
    <w:rsid w:val="00D712BC"/>
    <w:rPr>
      <w:rFonts w:asciiTheme="minorHAnsi" w:hAnsiTheme="minorHAnsi" w:cs="Times New Roman"/>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D712BC"/>
    <w:pPr>
      <w:numPr>
        <w:numId w:val="15"/>
      </w:numPr>
      <w:tabs>
        <w:tab w:val="left" w:pos="7230"/>
      </w:tabs>
      <w:spacing w:before="120" w:after="120"/>
      <w:contextualSpacing w:val="0"/>
    </w:pPr>
    <w:rPr>
      <w:rFonts w:cs="Arial"/>
    </w:rPr>
  </w:style>
  <w:style w:type="paragraph" w:customStyle="1" w:styleId="ListNumber1">
    <w:name w:val="List Number 1"/>
    <w:basedOn w:val="Normal"/>
    <w:rsid w:val="00D712BC"/>
    <w:pPr>
      <w:numPr>
        <w:ilvl w:val="1"/>
        <w:numId w:val="12"/>
      </w:numPr>
      <w:contextualSpacing/>
    </w:pPr>
    <w:rPr>
      <w:rFonts w:eastAsiaTheme="minorHAnsi" w:cstheme="minorHAnsi"/>
      <w:szCs w:val="22"/>
    </w:rPr>
  </w:style>
  <w:style w:type="paragraph" w:customStyle="1" w:styleId="NormalNo">
    <w:name w:val="Normal + No"/>
    <w:basedOn w:val="Normal"/>
    <w:qFormat/>
    <w:rsid w:val="00D712BC"/>
    <w:pPr>
      <w:numPr>
        <w:numId w:val="13"/>
      </w:numPr>
    </w:pPr>
    <w:rPr>
      <w:rFonts w:eastAsia="MS Mincho"/>
      <w:b/>
      <w:sz w:val="22"/>
    </w:rPr>
  </w:style>
  <w:style w:type="paragraph" w:customStyle="1" w:styleId="Bullet3">
    <w:name w:val="Bullet 3"/>
    <w:basedOn w:val="ListParagraph"/>
    <w:qFormat/>
    <w:rsid w:val="00D712BC"/>
    <w:pPr>
      <w:numPr>
        <w:numId w:val="16"/>
      </w:numPr>
      <w:spacing w:before="120" w:after="120"/>
      <w:ind w:right="425"/>
    </w:pPr>
    <w:rPr>
      <w:rFonts w:cs="Arial"/>
      <w:i/>
      <w:iCs/>
    </w:rPr>
  </w:style>
  <w:style w:type="paragraph" w:customStyle="1" w:styleId="Indent">
    <w:name w:val="Indent"/>
    <w:basedOn w:val="Normal"/>
    <w:qFormat/>
    <w:rsid w:val="00D712BC"/>
    <w:pPr>
      <w:ind w:left="567"/>
    </w:pPr>
    <w:rPr>
      <w:rFonts w:cs="Arial"/>
      <w:b/>
    </w:rPr>
  </w:style>
  <w:style w:type="paragraph" w:customStyle="1" w:styleId="TitreTableau">
    <w:name w:val="Titre Tableau"/>
    <w:basedOn w:val="Normal"/>
    <w:qFormat/>
    <w:rsid w:val="00D712BC"/>
    <w:pPr>
      <w:spacing w:before="120"/>
      <w:jc w:val="center"/>
    </w:pPr>
    <w:rPr>
      <w:rFonts w:cs="Arial"/>
      <w:b/>
      <w:bCs/>
      <w:color w:val="FFFFFF" w:themeColor="background1"/>
      <w:lang w:val="en-CA"/>
    </w:rPr>
  </w:style>
  <w:style w:type="paragraph" w:customStyle="1" w:styleId="BulletTableau">
    <w:name w:val="Bullet Tableau"/>
    <w:basedOn w:val="Bullet2"/>
    <w:qFormat/>
    <w:rsid w:val="00D712BC"/>
    <w:pPr>
      <w:keepNext/>
      <w:keepLines/>
      <w:framePr w:hSpace="141" w:wrap="around" w:vAnchor="text" w:hAnchor="margin" w:y="402"/>
      <w:numPr>
        <w:numId w:val="17"/>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90674">
      <w:bodyDiv w:val="1"/>
      <w:marLeft w:val="0"/>
      <w:marRight w:val="0"/>
      <w:marTop w:val="0"/>
      <w:marBottom w:val="0"/>
      <w:divBdr>
        <w:top w:val="none" w:sz="0" w:space="0" w:color="auto"/>
        <w:left w:val="none" w:sz="0" w:space="0" w:color="auto"/>
        <w:bottom w:val="none" w:sz="0" w:space="0" w:color="auto"/>
        <w:right w:val="none" w:sz="0" w:space="0" w:color="auto"/>
      </w:divBdr>
    </w:div>
    <w:div w:id="578833817">
      <w:bodyDiv w:val="1"/>
      <w:marLeft w:val="0"/>
      <w:marRight w:val="0"/>
      <w:marTop w:val="0"/>
      <w:marBottom w:val="0"/>
      <w:divBdr>
        <w:top w:val="none" w:sz="0" w:space="0" w:color="auto"/>
        <w:left w:val="none" w:sz="0" w:space="0" w:color="auto"/>
        <w:bottom w:val="none" w:sz="0" w:space="0" w:color="auto"/>
        <w:right w:val="none" w:sz="0" w:space="0" w:color="auto"/>
      </w:divBdr>
    </w:div>
    <w:div w:id="1092749798">
      <w:bodyDiv w:val="1"/>
      <w:marLeft w:val="0"/>
      <w:marRight w:val="0"/>
      <w:marTop w:val="0"/>
      <w:marBottom w:val="0"/>
      <w:divBdr>
        <w:top w:val="none" w:sz="0" w:space="0" w:color="auto"/>
        <w:left w:val="none" w:sz="0" w:space="0" w:color="auto"/>
        <w:bottom w:val="none" w:sz="0" w:space="0" w:color="auto"/>
        <w:right w:val="none" w:sz="0" w:space="0" w:color="auto"/>
      </w:divBdr>
    </w:div>
    <w:div w:id="1171018667">
      <w:bodyDiv w:val="1"/>
      <w:marLeft w:val="0"/>
      <w:marRight w:val="0"/>
      <w:marTop w:val="0"/>
      <w:marBottom w:val="0"/>
      <w:divBdr>
        <w:top w:val="none" w:sz="0" w:space="0" w:color="auto"/>
        <w:left w:val="none" w:sz="0" w:space="0" w:color="auto"/>
        <w:bottom w:val="none" w:sz="0" w:space="0" w:color="auto"/>
        <w:right w:val="none" w:sz="0" w:space="0" w:color="auto"/>
      </w:divBdr>
    </w:div>
    <w:div w:id="1306860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downloads/mpg-toolkit-pdfs/mpg-part3-3.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tionagainsthunger.org/publication/2007/10/implementing-cash-based-interventions-guideline-aid-work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pp://www.ifrc.org/Global/Publications/disasters/finance/cash-guidelines-en.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pp://www.odi.org/publications/3997-learning-cash-responses-tsunami-issues-papers"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12</TotalTime>
  <Pages>3</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Pantaleo Creti</dc:creator>
  <cp:keywords/>
  <dc:description/>
  <cp:lastModifiedBy>Claire HOLMAN</cp:lastModifiedBy>
  <cp:revision>4</cp:revision>
  <cp:lastPrinted>2015-09-28T19:15:00Z</cp:lastPrinted>
  <dcterms:created xsi:type="dcterms:W3CDTF">2016-08-02T12:51:00Z</dcterms:created>
  <dcterms:modified xsi:type="dcterms:W3CDTF">2017-02-23T13:08:00Z</dcterms:modified>
</cp:coreProperties>
</file>