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E735F" w14:textId="2F15B0B8" w:rsidR="00B91BA9" w:rsidRDefault="00ED5CA8" w:rsidP="00AD51A4">
      <w:pPr>
        <w:pStyle w:val="H1"/>
      </w:pPr>
      <w:r w:rsidRPr="00303B3A">
        <w:t>Roadmap</w:t>
      </w:r>
      <w:r w:rsidR="00B74F74">
        <w:t xml:space="preserve"> </w:t>
      </w:r>
      <w:r w:rsidRPr="00303B3A">
        <w:t xml:space="preserve">for </w:t>
      </w:r>
      <w:proofErr w:type="spellStart"/>
      <w:r w:rsidR="00E4000C">
        <w:t>programme</w:t>
      </w:r>
      <w:proofErr w:type="spellEnd"/>
      <w:r w:rsidR="00E4000C">
        <w:t xml:space="preserve"> </w:t>
      </w:r>
      <w:r w:rsidR="00C71307" w:rsidRPr="00303B3A">
        <w:t>set-</w:t>
      </w:r>
      <w:r w:rsidR="00445F12" w:rsidRPr="00303B3A">
        <w:t>up</w:t>
      </w:r>
    </w:p>
    <w:p w14:paraId="3AB10B76" w14:textId="7FA0A44A" w:rsidR="00AD7AA6" w:rsidRPr="00AD7AA6" w:rsidRDefault="00902161" w:rsidP="0060132D">
      <w:pPr>
        <w:pStyle w:val="H1"/>
        <w:ind w:left="-170"/>
        <w:rPr>
          <w:sz w:val="20"/>
          <w:szCs w:val="20"/>
        </w:rPr>
      </w:pPr>
      <w:r>
        <w:pict w14:anchorId="5A880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5pt;height:217.55pt;mso-position-horizontal:absolute">
            <v:imagedata r:id="rId8" o:title="04-Setup_Implementation-rodmap-EN"/>
          </v:shape>
        </w:pict>
      </w:r>
    </w:p>
    <w:p w14:paraId="1BDD6326" w14:textId="17316606" w:rsidR="00FD0E83" w:rsidRPr="007E00C6" w:rsidRDefault="00FD0E83" w:rsidP="00AD51A4">
      <w:pPr>
        <w:pStyle w:val="Heading2"/>
      </w:pPr>
      <w:r w:rsidRPr="007E00C6">
        <w:t>INTRODUCTION</w:t>
      </w:r>
    </w:p>
    <w:p w14:paraId="162A5B98" w14:textId="69D6134C" w:rsidR="000712F6" w:rsidRPr="00916DFE" w:rsidRDefault="000712F6" w:rsidP="00916DFE">
      <w:r w:rsidRPr="00916DFE">
        <w:t>This road</w:t>
      </w:r>
      <w:r w:rsidR="00CD42AD" w:rsidRPr="00916DFE">
        <w:t xml:space="preserve"> </w:t>
      </w:r>
      <w:r w:rsidRPr="00916DFE">
        <w:t xml:space="preserve">map will guide you through the process of setting </w:t>
      </w:r>
      <w:r w:rsidRPr="007A53CA">
        <w:t xml:space="preserve">up a </w:t>
      </w:r>
      <w:proofErr w:type="spellStart"/>
      <w:r w:rsidRPr="007A53CA">
        <w:t>programme</w:t>
      </w:r>
      <w:proofErr w:type="spellEnd"/>
      <w:r w:rsidRPr="00916DFE">
        <w:t>. It includes guidance on how to develop an operational plan of action</w:t>
      </w:r>
      <w:r w:rsidR="00FD0E83" w:rsidRPr="00916DFE">
        <w:t xml:space="preserve"> and how</w:t>
      </w:r>
      <w:r w:rsidR="007530B8" w:rsidRPr="00916DFE">
        <w:t xml:space="preserve"> to</w:t>
      </w:r>
      <w:r w:rsidR="00FD0E83" w:rsidRPr="00916DFE">
        <w:t xml:space="preserve"> establish internal and external </w:t>
      </w:r>
      <w:r w:rsidRPr="00916DFE">
        <w:t>coordination</w:t>
      </w:r>
      <w:r w:rsidR="00FD0E83" w:rsidRPr="00916DFE">
        <w:t xml:space="preserve"> mechanisms</w:t>
      </w:r>
      <w:r w:rsidRPr="00916DFE">
        <w:t xml:space="preserve">. </w:t>
      </w:r>
    </w:p>
    <w:p w14:paraId="20F96C71" w14:textId="6BDF2F74" w:rsidR="00F54205" w:rsidRPr="00916DFE" w:rsidRDefault="00926EA4" w:rsidP="00916DFE">
      <w:r w:rsidRPr="00916DFE">
        <w:t>Also, t</w:t>
      </w:r>
      <w:r w:rsidR="00F54205" w:rsidRPr="00916DFE">
        <w:t>he road</w:t>
      </w:r>
      <w:r w:rsidR="00CD42AD" w:rsidRPr="00916DFE">
        <w:t xml:space="preserve"> </w:t>
      </w:r>
      <w:r w:rsidR="00F54205" w:rsidRPr="00916DFE">
        <w:t xml:space="preserve">map provides suggestions on which </w:t>
      </w:r>
      <w:proofErr w:type="spellStart"/>
      <w:r w:rsidR="00F54205" w:rsidRPr="00916DFE">
        <w:t>CiE</w:t>
      </w:r>
      <w:proofErr w:type="spellEnd"/>
      <w:r w:rsidR="00F54205" w:rsidRPr="00916DFE">
        <w:t xml:space="preserve"> tools are most useful for this step and sub-steps. The tools will need to be adapted to your need and context.  </w:t>
      </w:r>
    </w:p>
    <w:p w14:paraId="1BC1E68C" w14:textId="54AF32C2" w:rsidR="00F54205" w:rsidRPr="00916DFE" w:rsidRDefault="00F54205" w:rsidP="00916DFE">
      <w:r w:rsidRPr="00916DFE">
        <w:t xml:space="preserve">You should always aim to comply with the minimum standards listed under this step, as this will contribute to the quality of your response. </w:t>
      </w:r>
    </w:p>
    <w:p w14:paraId="78B644E0" w14:textId="77777777" w:rsidR="00F54205" w:rsidRPr="00C56C52" w:rsidRDefault="00F54205" w:rsidP="00916DFE">
      <w:r w:rsidRPr="00C56C52">
        <w:t xml:space="preserve">It is likely that you will need to </w:t>
      </w:r>
      <w:r w:rsidRPr="00C56C52">
        <w:rPr>
          <w:b/>
        </w:rPr>
        <w:t>move back and forth</w:t>
      </w:r>
      <w:r w:rsidRPr="00C56C52">
        <w:t xml:space="preserve"> between the different sub-steps to guide your decision-making as information and processes are completed and feed into each sub-step.</w:t>
      </w:r>
    </w:p>
    <w:p w14:paraId="037D322D" w14:textId="603B28BF" w:rsidR="00F54205" w:rsidRPr="00916DFE" w:rsidRDefault="00F54205" w:rsidP="00916DFE">
      <w:r w:rsidRPr="00C56C52">
        <w:rPr>
          <w:rFonts w:cs="O¯øœ!Ÿ"/>
        </w:rPr>
        <w:t xml:space="preserve">If you need more detailed guidance </w:t>
      </w:r>
      <w:r w:rsidRPr="007A53CA">
        <w:rPr>
          <w:rFonts w:cs="O¯øœ!Ÿ"/>
        </w:rPr>
        <w:t>on</w:t>
      </w:r>
      <w:r w:rsidR="009A2FDB" w:rsidRPr="007A53CA">
        <w:rPr>
          <w:rFonts w:cs="O¯øœ!Ÿ"/>
        </w:rPr>
        <w:t xml:space="preserve"> </w:t>
      </w:r>
      <w:proofErr w:type="spellStart"/>
      <w:r w:rsidR="0087780B" w:rsidRPr="007A53CA">
        <w:rPr>
          <w:rFonts w:cs="O¯øœ!Ÿ"/>
        </w:rPr>
        <w:t>programme</w:t>
      </w:r>
      <w:proofErr w:type="spellEnd"/>
      <w:r w:rsidR="0087780B">
        <w:rPr>
          <w:rFonts w:cs="O¯øœ!Ÿ"/>
        </w:rPr>
        <w:t xml:space="preserve"> </w:t>
      </w:r>
      <w:r w:rsidR="009A2FDB">
        <w:rPr>
          <w:rFonts w:cs="O¯øœ!Ÿ"/>
        </w:rPr>
        <w:t>set-up</w:t>
      </w:r>
      <w:r w:rsidRPr="00C56C52">
        <w:rPr>
          <w:rFonts w:cs="O¯øœ!Ÿ"/>
        </w:rPr>
        <w:t xml:space="preserve">, consult </w:t>
      </w:r>
      <w:r w:rsidRPr="00916DFE">
        <w:t>the reference documents</w:t>
      </w:r>
      <w:r w:rsidRPr="00C56C52">
        <w:rPr>
          <w:rFonts w:cs="O¯øœ!Ÿ"/>
        </w:rPr>
        <w:t xml:space="preserve"> suggested at the end of this road</w:t>
      </w:r>
      <w:r w:rsidR="00CD42AD">
        <w:rPr>
          <w:rFonts w:cs="O¯øœ!Ÿ"/>
        </w:rPr>
        <w:t xml:space="preserve"> </w:t>
      </w:r>
      <w:r w:rsidRPr="00C56C52">
        <w:rPr>
          <w:rFonts w:cs="O¯øœ!Ÿ"/>
        </w:rPr>
        <w:t>map</w:t>
      </w:r>
      <w:r w:rsidRPr="00916DFE">
        <w:t>.</w:t>
      </w:r>
    </w:p>
    <w:p w14:paraId="106CC852" w14:textId="4159D101" w:rsidR="000712F6" w:rsidRPr="007E00C6" w:rsidRDefault="00FD0E83" w:rsidP="00AD51A4">
      <w:pPr>
        <w:pStyle w:val="Heading2"/>
      </w:pPr>
      <w:r w:rsidRPr="007E00C6">
        <w:t>MINIMUM STANDARDS</w:t>
      </w:r>
    </w:p>
    <w:p w14:paraId="057DA5AA" w14:textId="58971348" w:rsidR="00FD0E83" w:rsidRDefault="00FD0E83" w:rsidP="00916DFE">
      <w:pPr>
        <w:pStyle w:val="Bullet1"/>
      </w:pPr>
      <w:r w:rsidRPr="00303B3A">
        <w:t xml:space="preserve">The operational plan of action must include a </w:t>
      </w:r>
      <w:proofErr w:type="spellStart"/>
      <w:r w:rsidRPr="00303B3A">
        <w:t>logframe</w:t>
      </w:r>
      <w:proofErr w:type="spellEnd"/>
      <w:r w:rsidRPr="00303B3A">
        <w:t xml:space="preserve"> with measurable indicators for each expected output and outcome.</w:t>
      </w:r>
    </w:p>
    <w:p w14:paraId="76AA5428" w14:textId="77777777" w:rsidR="00200A5E" w:rsidRDefault="00200A5E" w:rsidP="00200A5E">
      <w:pPr>
        <w:pStyle w:val="Bullet1"/>
        <w:rPr>
          <w:rFonts w:cs="Arial"/>
        </w:rPr>
      </w:pPr>
      <w:r>
        <w:rPr>
          <w:rFonts w:cs="Arial"/>
        </w:rPr>
        <w:t xml:space="preserve">Indicators should be limited in number and </w:t>
      </w:r>
      <w:r w:rsidRPr="00466ED9">
        <w:rPr>
          <w:rFonts w:cs="Arial"/>
        </w:rPr>
        <w:t>look at processes, outputs</w:t>
      </w:r>
      <w:r>
        <w:rPr>
          <w:rFonts w:cs="Arial"/>
        </w:rPr>
        <w:t>, outcomes</w:t>
      </w:r>
      <w:r w:rsidRPr="00466ED9">
        <w:rPr>
          <w:rFonts w:cs="Arial"/>
        </w:rPr>
        <w:t xml:space="preserve"> and markets.</w:t>
      </w:r>
      <w:r>
        <w:rPr>
          <w:rFonts w:cs="Arial"/>
        </w:rPr>
        <w:t xml:space="preserve"> </w:t>
      </w:r>
    </w:p>
    <w:p w14:paraId="5230FACD" w14:textId="572D7E87" w:rsidR="0087780B" w:rsidRPr="00303B3A" w:rsidRDefault="00200A5E" w:rsidP="00200A5E">
      <w:pPr>
        <w:pStyle w:val="Bullet1"/>
      </w:pPr>
      <w:r>
        <w:rPr>
          <w:rFonts w:cs="Arial"/>
        </w:rPr>
        <w:t>In the case of multipurpose cash grants (MPG), indicators should be broad enough to allow for capturing secondary impacts.</w:t>
      </w:r>
    </w:p>
    <w:p w14:paraId="40492940" w14:textId="77777777" w:rsidR="00FD0E83" w:rsidRPr="00303B3A" w:rsidRDefault="00FD0E83" w:rsidP="00916DFE">
      <w:pPr>
        <w:pStyle w:val="Bullet1"/>
      </w:pPr>
      <w:r w:rsidRPr="00303B3A">
        <w:t>Tasks and activities in the operational plan need to be agreed with internal and external stakeholders, including the government.</w:t>
      </w:r>
    </w:p>
    <w:p w14:paraId="689021DB" w14:textId="558A4582" w:rsidR="00FD0E83" w:rsidRPr="00303B3A" w:rsidRDefault="00FD0E83" w:rsidP="00916DFE">
      <w:pPr>
        <w:pStyle w:val="Bullet1"/>
      </w:pPr>
      <w:r w:rsidRPr="00303B3A">
        <w:t xml:space="preserve">Internal roles and responsibilities must be defined in alignment with existing </w:t>
      </w:r>
      <w:r w:rsidR="00E611F1">
        <w:t>Standard Operating Procedures (</w:t>
      </w:r>
      <w:r w:rsidRPr="00303B3A">
        <w:t>SOPs</w:t>
      </w:r>
      <w:r w:rsidR="00E611F1">
        <w:t>)</w:t>
      </w:r>
      <w:r w:rsidRPr="00303B3A">
        <w:t>, an</w:t>
      </w:r>
      <w:r w:rsidR="00926EA4">
        <w:t>d agreed upon within the organiz</w:t>
      </w:r>
      <w:r w:rsidRPr="00303B3A">
        <w:t>ation.</w:t>
      </w:r>
    </w:p>
    <w:p w14:paraId="2DB3F213" w14:textId="6B29B664" w:rsidR="00FD0E83" w:rsidRPr="00303B3A" w:rsidRDefault="00FD0E83" w:rsidP="00916DFE">
      <w:pPr>
        <w:pStyle w:val="Bullet1"/>
      </w:pPr>
      <w:r w:rsidRPr="00303B3A">
        <w:lastRenderedPageBreak/>
        <w:t>Participation in existing coordination mechanisms shou</w:t>
      </w:r>
      <w:r w:rsidR="00E611F1">
        <w:t>ld be ensured, so as to harmoniz</w:t>
      </w:r>
      <w:r w:rsidRPr="00303B3A">
        <w:t>e approaches, avoid duplications and gaps, and share experiences.</w:t>
      </w:r>
    </w:p>
    <w:p w14:paraId="6690ACC1" w14:textId="4FAD74A0" w:rsidR="0079696F" w:rsidRPr="007E00C6" w:rsidRDefault="00FD0E83" w:rsidP="00AD51A4">
      <w:pPr>
        <w:pStyle w:val="Heading2"/>
      </w:pPr>
      <w:r w:rsidRPr="007E00C6">
        <w:t>SUB-STEPS AND TOOLS</w:t>
      </w:r>
    </w:p>
    <w:p w14:paraId="134A2590" w14:textId="36CBA093" w:rsidR="00452787" w:rsidRPr="00303B3A" w:rsidRDefault="00E611F1" w:rsidP="00916DFE">
      <w:pPr>
        <w:pStyle w:val="Heading3"/>
      </w:pPr>
      <w:r>
        <w:t>Develop</w:t>
      </w:r>
      <w:r w:rsidR="00452787" w:rsidRPr="00303B3A">
        <w:t xml:space="preserve"> </w:t>
      </w:r>
      <w:r w:rsidR="00452787" w:rsidRPr="007A53CA">
        <w:t>a</w:t>
      </w:r>
      <w:r w:rsidR="0087780B" w:rsidRPr="007A53CA">
        <w:t>n</w:t>
      </w:r>
      <w:r w:rsidR="00452787" w:rsidRPr="00303B3A">
        <w:t xml:space="preserve"> operational plan</w:t>
      </w:r>
    </w:p>
    <w:p w14:paraId="2468C25E" w14:textId="3CDC0510" w:rsidR="00B91BA9" w:rsidRPr="00916DFE" w:rsidRDefault="003334E5" w:rsidP="00E531EB">
      <w:r w:rsidRPr="00916DFE">
        <w:t xml:space="preserve">A strong plan of action is critical to the success of </w:t>
      </w:r>
      <w:r w:rsidRPr="007A53CA">
        <w:t>a</w:t>
      </w:r>
      <w:r w:rsidR="00A070F1" w:rsidRPr="007A53CA">
        <w:t>ny</w:t>
      </w:r>
      <w:r w:rsidRPr="00916DFE">
        <w:t xml:space="preserve"> </w:t>
      </w:r>
      <w:proofErr w:type="spellStart"/>
      <w:r w:rsidRPr="00916DFE">
        <w:t>programme</w:t>
      </w:r>
      <w:proofErr w:type="spellEnd"/>
      <w:r w:rsidRPr="00916DFE">
        <w:t xml:space="preserve"> and should be prepared after the assessmen</w:t>
      </w:r>
      <w:r w:rsidR="000850B0" w:rsidRPr="00916DFE">
        <w:t>t and response analysis phases.</w:t>
      </w:r>
      <w:r w:rsidRPr="00916DFE">
        <w:t xml:space="preserve"> </w:t>
      </w:r>
      <w:r w:rsidR="00B91BA9" w:rsidRPr="00916DFE">
        <w:t>The operational plan of action will allow you to detail the overall strategy, specific objectives, field structure, resources and costs of the cash intervention.</w:t>
      </w:r>
      <w:r w:rsidR="00E611F1" w:rsidRPr="00916DFE">
        <w:t xml:space="preserve"> Also, i</w:t>
      </w:r>
      <w:r w:rsidR="00B91BA9" w:rsidRPr="00916DFE">
        <w:t xml:space="preserve">t will help you define expected outputs and outcomes, which will be used </w:t>
      </w:r>
      <w:r w:rsidR="00E611F1" w:rsidRPr="00916DFE">
        <w:t xml:space="preserve">later </w:t>
      </w:r>
      <w:r w:rsidR="00B91BA9" w:rsidRPr="00916DFE">
        <w:t xml:space="preserve">to measure the efficiency and effectiveness of the response. </w:t>
      </w:r>
    </w:p>
    <w:p w14:paraId="2399DF73" w14:textId="77777777" w:rsidR="000850B0" w:rsidRPr="00916DFE" w:rsidRDefault="000850B0" w:rsidP="000850B0">
      <w:pPr>
        <w:spacing w:line="276" w:lineRule="auto"/>
      </w:pPr>
      <w:r w:rsidRPr="00916DFE">
        <w:t xml:space="preserve">In this sub-step you will find a set of templates to support you in developing the </w:t>
      </w:r>
      <w:proofErr w:type="spellStart"/>
      <w:r w:rsidRPr="00916DFE">
        <w:t>PoA</w:t>
      </w:r>
      <w:proofErr w:type="spellEnd"/>
      <w:r w:rsidRPr="00916DFE">
        <w:t>, including:</w:t>
      </w:r>
    </w:p>
    <w:p w14:paraId="611DFDB7" w14:textId="4473C51F" w:rsidR="000850B0" w:rsidRPr="000850B0" w:rsidRDefault="000850B0" w:rsidP="00916DFE">
      <w:pPr>
        <w:pStyle w:val="Bullet2"/>
      </w:pPr>
      <w:r w:rsidRPr="000850B0">
        <w:t>logical framework</w:t>
      </w:r>
    </w:p>
    <w:p w14:paraId="569B457F" w14:textId="1D2249CA" w:rsidR="000850B0" w:rsidRPr="000850B0" w:rsidRDefault="000850B0" w:rsidP="00916DFE">
      <w:pPr>
        <w:pStyle w:val="Bullet2"/>
      </w:pPr>
      <w:r w:rsidRPr="000850B0">
        <w:t>budget</w:t>
      </w:r>
      <w:r w:rsidR="00E611F1">
        <w:t xml:space="preserve"> template</w:t>
      </w:r>
    </w:p>
    <w:p w14:paraId="1DC6082F" w14:textId="1A4A46C3" w:rsidR="000850B0" w:rsidRPr="000850B0" w:rsidRDefault="000850B0" w:rsidP="00916DFE">
      <w:pPr>
        <w:pStyle w:val="Bullet2"/>
      </w:pPr>
      <w:r w:rsidRPr="000850B0">
        <w:t>risk matrix</w:t>
      </w:r>
    </w:p>
    <w:p w14:paraId="5134ADE4" w14:textId="7D433ED2" w:rsidR="000850B0" w:rsidRPr="000850B0" w:rsidRDefault="000850B0" w:rsidP="00916DFE">
      <w:pPr>
        <w:pStyle w:val="Bullet2"/>
      </w:pPr>
      <w:r w:rsidRPr="000850B0">
        <w:t xml:space="preserve">HR plan, and </w:t>
      </w:r>
    </w:p>
    <w:p w14:paraId="6CFFF438" w14:textId="31D31102" w:rsidR="000850B0" w:rsidRPr="000850B0" w:rsidRDefault="000850B0" w:rsidP="00916DFE">
      <w:pPr>
        <w:pStyle w:val="Bullet2"/>
      </w:pPr>
      <w:r w:rsidRPr="000850B0">
        <w:t>detailed work plan</w:t>
      </w:r>
    </w:p>
    <w:p w14:paraId="4B928CC4" w14:textId="7A21F526" w:rsidR="00535C63" w:rsidRPr="00916DFE" w:rsidRDefault="00567AF9" w:rsidP="00535C63">
      <w:r w:rsidRPr="00916DFE">
        <w:t>Remember</w:t>
      </w:r>
      <w:r w:rsidR="0079696F" w:rsidRPr="00916DFE">
        <w:t xml:space="preserve"> that setting up a delivery mechanism from scratch takes time, oft</w:t>
      </w:r>
      <w:r w:rsidR="00F14B82" w:rsidRPr="00916DFE">
        <w:t>en more than two months</w:t>
      </w:r>
      <w:r w:rsidRPr="00916DFE">
        <w:t xml:space="preserve">. The time needed to complete the set-up process will depend on factors like the context and size of the intervention, and the </w:t>
      </w:r>
      <w:proofErr w:type="spellStart"/>
      <w:r w:rsidRPr="00916DFE">
        <w:t>proactiveness</w:t>
      </w:r>
      <w:proofErr w:type="spellEnd"/>
      <w:r w:rsidRPr="00916DFE">
        <w:t xml:space="preserve"> of the service provider and the agency. In this sub-step you will find an</w:t>
      </w:r>
      <w:r w:rsidR="0079696F" w:rsidRPr="00916DFE">
        <w:t xml:space="preserve"> e-transfer planning process with timeframe</w:t>
      </w:r>
      <w:r w:rsidRPr="00916DFE">
        <w:t>.</w:t>
      </w:r>
      <w:r w:rsidR="00535C63" w:rsidRPr="00916DFE">
        <w:t xml:space="preserve"> Some actions to consider to help speed up the setting up of the cash delivery system include:</w:t>
      </w:r>
    </w:p>
    <w:p w14:paraId="502F0754" w14:textId="77777777" w:rsidR="00535C63" w:rsidRPr="00535C63" w:rsidRDefault="00535C63" w:rsidP="00916DFE">
      <w:pPr>
        <w:pStyle w:val="Bullet2"/>
        <w:keepNext/>
      </w:pPr>
      <w:r w:rsidRPr="00535C63">
        <w:t>considering cash in envelopes or vouchers while you set up a different mechanism</w:t>
      </w:r>
    </w:p>
    <w:p w14:paraId="37391056" w14:textId="77777777" w:rsidR="00535C63" w:rsidRPr="00535C63" w:rsidRDefault="00535C63" w:rsidP="00916DFE">
      <w:pPr>
        <w:pStyle w:val="Bullet2"/>
      </w:pPr>
      <w:r w:rsidRPr="00535C63">
        <w:t>working in coordination with other agencies and using an existing mechanism</w:t>
      </w:r>
    </w:p>
    <w:p w14:paraId="23347F85" w14:textId="77777777" w:rsidR="00535C63" w:rsidRPr="00535C63" w:rsidRDefault="00535C63" w:rsidP="00916DFE">
      <w:pPr>
        <w:pStyle w:val="Bullet2"/>
      </w:pPr>
      <w:r w:rsidRPr="00535C63">
        <w:t xml:space="preserve">adopting existing tried and tested delivery mechanisms (those in place for social protection programming or those already in use by other humanitarian actors). </w:t>
      </w:r>
    </w:p>
    <w:p w14:paraId="300CE7B6" w14:textId="77777777" w:rsidR="00535C63" w:rsidRPr="00535C63" w:rsidRDefault="00535C63" w:rsidP="00916DFE">
      <w:pPr>
        <w:pStyle w:val="Bullet2"/>
      </w:pPr>
      <w:r w:rsidRPr="00535C63">
        <w:t xml:space="preserve">comparing whether it can be quicker and more effective for the Host National Society to set up the agreements for the delivery mechanism than the IFRC or ICRC because of legal and administrative aspects and capacity. </w:t>
      </w:r>
    </w:p>
    <w:p w14:paraId="56C9C90A" w14:textId="0CB3E513" w:rsidR="00B91BA9" w:rsidRPr="00303B3A" w:rsidRDefault="00B91BA9" w:rsidP="00916DFE">
      <w:pPr>
        <w:pStyle w:val="Heading3"/>
      </w:pPr>
      <w:r w:rsidRPr="00303B3A">
        <w:t>Internal coordination</w:t>
      </w:r>
    </w:p>
    <w:p w14:paraId="3DB24EBB" w14:textId="3D441B61" w:rsidR="00114235" w:rsidRPr="00916DFE" w:rsidRDefault="00E611F1" w:rsidP="00E531EB">
      <w:r w:rsidRPr="00916DFE">
        <w:t xml:space="preserve">The Red Cross </w:t>
      </w:r>
      <w:r w:rsidR="00114235" w:rsidRPr="00916DFE">
        <w:t>R</w:t>
      </w:r>
      <w:r w:rsidRPr="00916DFE">
        <w:t xml:space="preserve">ed </w:t>
      </w:r>
      <w:r w:rsidR="00114235" w:rsidRPr="00916DFE">
        <w:t>C</w:t>
      </w:r>
      <w:r w:rsidRPr="00916DFE">
        <w:t>rescent</w:t>
      </w:r>
      <w:r w:rsidR="00114235" w:rsidRPr="00916DFE">
        <w:t xml:space="preserve"> Movement must coordinate internally and ensure this is in support of the Host National Society (HNS) in international operations. The HNS will be implementing the </w:t>
      </w:r>
      <w:proofErr w:type="spellStart"/>
      <w:r w:rsidR="00114235" w:rsidRPr="00916DFE">
        <w:t>programme</w:t>
      </w:r>
      <w:proofErr w:type="spellEnd"/>
      <w:r w:rsidR="00114235" w:rsidRPr="00916DFE">
        <w:t xml:space="preserve"> with support from RC/RC Movement partners and where this is not the case will certainly be present and possibly in contact with the recipient population after the </w:t>
      </w:r>
      <w:proofErr w:type="spellStart"/>
      <w:r w:rsidR="00114235" w:rsidRPr="00916DFE">
        <w:t>programme</w:t>
      </w:r>
      <w:proofErr w:type="spellEnd"/>
      <w:r w:rsidR="00114235" w:rsidRPr="00916DFE">
        <w:t xml:space="preserve"> is over, and therefore must be involved and approve the cash transfer programming approach.</w:t>
      </w:r>
    </w:p>
    <w:p w14:paraId="1D4C5011" w14:textId="4CFB3F58" w:rsidR="00B91BA9" w:rsidRPr="00916DFE" w:rsidRDefault="00B91BA9" w:rsidP="00E531EB">
      <w:r w:rsidRPr="00916DFE">
        <w:t>Internally, each unit will need to engage in specific aspects of the cash transfer</w:t>
      </w:r>
      <w:r w:rsidR="003F22B5" w:rsidRPr="00916DFE">
        <w:t xml:space="preserve"> </w:t>
      </w:r>
      <w:proofErr w:type="spellStart"/>
      <w:r w:rsidR="003F22B5" w:rsidRPr="00916DFE">
        <w:t>programme</w:t>
      </w:r>
      <w:proofErr w:type="spellEnd"/>
      <w:r w:rsidR="003F22B5" w:rsidRPr="00916DFE">
        <w:t xml:space="preserve">. </w:t>
      </w:r>
      <w:r w:rsidR="002843DB" w:rsidRPr="00916DFE">
        <w:t xml:space="preserve">These roles and responsibilities should be </w:t>
      </w:r>
      <w:r w:rsidR="008D571F" w:rsidRPr="00916DFE">
        <w:t>detailed in the</w:t>
      </w:r>
      <w:r w:rsidR="002843DB" w:rsidRPr="00916DFE">
        <w:t xml:space="preserve"> SOPs developed during the preparedness phase. </w:t>
      </w:r>
      <w:r w:rsidR="003B3707" w:rsidRPr="00916DFE">
        <w:t>When</w:t>
      </w:r>
      <w:r w:rsidR="002843DB" w:rsidRPr="00916DFE">
        <w:t xml:space="preserve"> SOPs </w:t>
      </w:r>
      <w:r w:rsidR="003B3707" w:rsidRPr="00916DFE">
        <w:t>are not available</w:t>
      </w:r>
      <w:r w:rsidR="002843DB" w:rsidRPr="00916DFE">
        <w:t xml:space="preserve">, </w:t>
      </w:r>
      <w:r w:rsidR="008D571F" w:rsidRPr="00916DFE">
        <w:t xml:space="preserve">refer to the sub-step tools for </w:t>
      </w:r>
      <w:r w:rsidR="002F696C" w:rsidRPr="00916DFE">
        <w:t>suggesti</w:t>
      </w:r>
      <w:r w:rsidR="003B3707" w:rsidRPr="00916DFE">
        <w:t xml:space="preserve">ons on the main CTP roles and </w:t>
      </w:r>
      <w:r w:rsidR="002F696C" w:rsidRPr="00916DFE">
        <w:t xml:space="preserve">possible division of tasks. </w:t>
      </w:r>
      <w:r w:rsidR="003B3707" w:rsidRPr="00916DFE">
        <w:t xml:space="preserve">The decision on </w:t>
      </w:r>
      <w:r w:rsidR="008D571F" w:rsidRPr="00916DFE">
        <w:t>who will be responsible for what</w:t>
      </w:r>
      <w:r w:rsidR="002F696C" w:rsidRPr="00916DFE">
        <w:t xml:space="preserve"> in your CTP </w:t>
      </w:r>
      <w:proofErr w:type="spellStart"/>
      <w:r w:rsidR="002F696C" w:rsidRPr="00916DFE">
        <w:t>programme</w:t>
      </w:r>
      <w:proofErr w:type="spellEnd"/>
      <w:r w:rsidR="0051587F" w:rsidRPr="00916DFE">
        <w:t xml:space="preserve"> should be agreed among all units. </w:t>
      </w:r>
      <w:r w:rsidR="002D3CB3" w:rsidRPr="00916DFE">
        <w:t xml:space="preserve">In the </w:t>
      </w:r>
      <w:r w:rsidR="003516D7" w:rsidRPr="00916DFE">
        <w:t xml:space="preserve">RCRC MOVEMENT </w:t>
      </w:r>
      <w:r w:rsidR="002D3CB3" w:rsidRPr="00916DFE">
        <w:t xml:space="preserve">KEY DOCUMENTS </w:t>
      </w:r>
      <w:r w:rsidR="007123FE">
        <w:t>FOLDER</w:t>
      </w:r>
      <w:r w:rsidR="003516D7" w:rsidRPr="00916DFE">
        <w:t>,</w:t>
      </w:r>
      <w:r w:rsidR="002D3CB3" w:rsidRPr="00916DFE">
        <w:t xml:space="preserve"> you will find IFRC and ICRC CTP SOPs which identify the roles of different functions/departments for different types of cash transfer modality.</w:t>
      </w:r>
      <w:bookmarkStart w:id="0" w:name="_GoBack"/>
      <w:bookmarkEnd w:id="0"/>
      <w:r w:rsidR="002D3CB3" w:rsidRPr="00916DFE">
        <w:t xml:space="preserve">  </w:t>
      </w:r>
    </w:p>
    <w:p w14:paraId="13A84AEF" w14:textId="316FD259" w:rsidR="00B91BA9" w:rsidRPr="00303B3A" w:rsidRDefault="00E611F1" w:rsidP="00916DFE">
      <w:pPr>
        <w:pStyle w:val="Heading3"/>
      </w:pPr>
      <w:r>
        <w:t xml:space="preserve">Coordination </w:t>
      </w:r>
      <w:r w:rsidR="00B91BA9" w:rsidRPr="00303B3A">
        <w:t>with other actors</w:t>
      </w:r>
    </w:p>
    <w:p w14:paraId="506F9C1B" w14:textId="3424C27E" w:rsidR="00FA7C4C" w:rsidRDefault="00A52A09" w:rsidP="00E531EB">
      <w:r w:rsidRPr="004919C8">
        <w:t xml:space="preserve">The Red Cross Red Crescent Movement actors should always share information and look for ways of collaborating with other organizations. </w:t>
      </w:r>
      <w:r w:rsidR="00597274" w:rsidRPr="004919C8">
        <w:t xml:space="preserve">Depending on the type of </w:t>
      </w:r>
      <w:proofErr w:type="spellStart"/>
      <w:r w:rsidR="00597274" w:rsidRPr="004919C8">
        <w:t>programme</w:t>
      </w:r>
      <w:proofErr w:type="spellEnd"/>
      <w:r w:rsidR="00597274" w:rsidRPr="004919C8">
        <w:t xml:space="preserve">, key stakeholders can include ministries (e.g. social welfare, </w:t>
      </w:r>
      <w:proofErr w:type="spellStart"/>
      <w:r w:rsidR="00597274" w:rsidRPr="004919C8">
        <w:t>labour</w:t>
      </w:r>
      <w:proofErr w:type="spellEnd"/>
      <w:r w:rsidR="00597274" w:rsidRPr="004919C8">
        <w:t xml:space="preserve">, agriculture, trade, supply and commerce), </w:t>
      </w:r>
      <w:r w:rsidR="00597274" w:rsidRPr="004919C8">
        <w:rPr>
          <w:lang w:val="en-GB"/>
        </w:rPr>
        <w:t xml:space="preserve">civil protection/defence, military forces, United Nations, international and local NGOs. </w:t>
      </w:r>
      <w:r w:rsidR="00FA7C4C" w:rsidRPr="004919C8">
        <w:t xml:space="preserve">Respective bodies and organizations should be encouraged to actively participate in the design and set-up of the response. </w:t>
      </w:r>
      <w:r w:rsidR="00FA7C4C" w:rsidRPr="00916DFE">
        <w:t xml:space="preserve">Where there is added value the RC/RC movement should </w:t>
      </w:r>
      <w:r w:rsidR="00FA7C4C">
        <w:t>participate in</w:t>
      </w:r>
      <w:r w:rsidR="00FA7C4C" w:rsidRPr="00916DFE">
        <w:t xml:space="preserve"> existing coordination bodies</w:t>
      </w:r>
      <w:r w:rsidR="00FA7C4C">
        <w:t>,</w:t>
      </w:r>
      <w:r w:rsidR="00FA7C4C" w:rsidRPr="00916DFE">
        <w:t xml:space="preserve"> often established and </w:t>
      </w:r>
      <w:r w:rsidR="00FA7C4C">
        <w:t>led</w:t>
      </w:r>
      <w:r w:rsidR="00FA7C4C" w:rsidRPr="00916DFE">
        <w:t xml:space="preserve"> by the local government, IASC clusters and/or NGOs</w:t>
      </w:r>
      <w:r w:rsidR="00FA7C4C">
        <w:t>.</w:t>
      </w:r>
      <w:r w:rsidR="00FA7C4C" w:rsidRPr="00916DFE">
        <w:t xml:space="preserve"> </w:t>
      </w:r>
      <w:r w:rsidR="00FA7C4C" w:rsidRPr="002968CF">
        <w:t>These efforts can result in or take advantage of common databases that can support coordinated assessment, data analysis, delivery, reporting, monitoring etc.</w:t>
      </w:r>
    </w:p>
    <w:p w14:paraId="150E52E3" w14:textId="7F2E5118" w:rsidR="00B91BA9" w:rsidRPr="002968CF" w:rsidRDefault="00FA7C4C" w:rsidP="00E531EB">
      <w:pPr>
        <w:rPr>
          <w:i/>
        </w:rPr>
      </w:pPr>
      <w:r>
        <w:lastRenderedPageBreak/>
        <w:t xml:space="preserve">In case of </w:t>
      </w:r>
      <w:r w:rsidR="007A53CA">
        <w:t>CTP</w:t>
      </w:r>
      <w:r>
        <w:t xml:space="preserve">, it </w:t>
      </w:r>
      <w:r w:rsidRPr="004919C8">
        <w:t xml:space="preserve">will be </w:t>
      </w:r>
      <w:r>
        <w:t xml:space="preserve">particularly </w:t>
      </w:r>
      <w:r w:rsidRPr="004919C8">
        <w:t xml:space="preserve">important to engage with the government to ensure acceptance. </w:t>
      </w:r>
      <w:r w:rsidR="00597274" w:rsidRPr="004919C8">
        <w:rPr>
          <w:lang w:val="en-GB"/>
        </w:rPr>
        <w:t xml:space="preserve">Bringing on board </w:t>
      </w:r>
      <w:r w:rsidR="00597274" w:rsidRPr="004919C8">
        <w:t xml:space="preserve">government bodies and international organization (such as the World Bank) involved in national safety nets </w:t>
      </w:r>
      <w:r>
        <w:t>will</w:t>
      </w:r>
      <w:r w:rsidR="00597274" w:rsidRPr="004919C8">
        <w:t xml:space="preserve"> avoid overlapping or conflict with existing safety nets, or better to reinforce or adapt them for humanitarian contexts. </w:t>
      </w:r>
      <w:r w:rsidR="00A72748" w:rsidRPr="00916DFE">
        <w:t xml:space="preserve">Be sure </w:t>
      </w:r>
      <w:r>
        <w:t>to</w:t>
      </w:r>
      <w:r w:rsidRPr="00916DFE">
        <w:t xml:space="preserve"> </w:t>
      </w:r>
      <w:r w:rsidR="00A72748" w:rsidRPr="00916DFE">
        <w:t xml:space="preserve">identify a CTP Focal point who can attend </w:t>
      </w:r>
      <w:r>
        <w:t>cash coordination</w:t>
      </w:r>
      <w:r w:rsidRPr="00916DFE">
        <w:t xml:space="preserve"> </w:t>
      </w:r>
      <w:r w:rsidR="00A72748" w:rsidRPr="00916DFE">
        <w:t>meetings and represent the Movement appropriately.</w:t>
      </w:r>
      <w:r w:rsidR="00597274" w:rsidRPr="00597274">
        <w:rPr>
          <w:i/>
        </w:rPr>
        <w:t xml:space="preserve"> </w:t>
      </w:r>
    </w:p>
    <w:p w14:paraId="75C6654A" w14:textId="68104E86" w:rsidR="00E33CF8" w:rsidRPr="00916DFE" w:rsidRDefault="00B91BA9" w:rsidP="0060132D">
      <w:pPr>
        <w:keepNext/>
        <w:keepLines/>
        <w:spacing w:after="360"/>
      </w:pPr>
      <w:r w:rsidRPr="00916DFE">
        <w:t xml:space="preserve">The </w:t>
      </w:r>
      <w:r w:rsidR="00303B3A" w:rsidRPr="00916DFE">
        <w:t xml:space="preserve">sub-step </w:t>
      </w:r>
      <w:r w:rsidRPr="00916DFE">
        <w:t>tool</w:t>
      </w:r>
      <w:r w:rsidR="00303B3A" w:rsidRPr="00916DFE">
        <w:t>s</w:t>
      </w:r>
      <w:r w:rsidRPr="00916DFE">
        <w:t xml:space="preserve"> </w:t>
      </w:r>
      <w:r w:rsidR="00303B3A" w:rsidRPr="00916DFE">
        <w:t>provide</w:t>
      </w:r>
      <w:r w:rsidRPr="00916DFE">
        <w:t xml:space="preserve"> guidance on how to fit CTP coordination in</w:t>
      </w:r>
      <w:r w:rsidR="00DA1973" w:rsidRPr="00916DFE">
        <w:t>to</w:t>
      </w:r>
      <w:r w:rsidRPr="00916DFE">
        <w:t xml:space="preserve"> the wider coordination system. </w:t>
      </w:r>
      <w:r w:rsidR="00A72748" w:rsidRPr="00916DFE">
        <w:t>The IASC cluster coordination system encourages thematic working groups to be convened to discuss sector specific issues. As cash transfers are not a sector response, but a modality that is appropriate for use by many sectors, a specific Cash Transfer Coordination group may be convened. The Mo</w:t>
      </w:r>
      <w:r w:rsidR="006C2FA7" w:rsidRPr="00916DFE">
        <w:t>vement should be represented at</w:t>
      </w:r>
      <w:r w:rsidR="00A72748" w:rsidRPr="00916DFE">
        <w:t xml:space="preserve"> these meetings to inform other actors of Movement CTP activities and to ensure the CTP </w:t>
      </w:r>
      <w:proofErr w:type="spellStart"/>
      <w:r w:rsidR="00A72748" w:rsidRPr="00916DFE">
        <w:t>programmes</w:t>
      </w:r>
      <w:proofErr w:type="spellEnd"/>
      <w:r w:rsidR="00A72748" w:rsidRPr="00916DFE">
        <w:t xml:space="preserve"> are recorded in the 4ws matrix (where, what, who, when). It is a good forum to get additional te</w:t>
      </w:r>
      <w:r w:rsidR="00AD51A4" w:rsidRPr="00916DFE">
        <w:t>chnical peer support and ideas.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848"/>
      </w:tblGrid>
      <w:tr w:rsidR="00F024C1" w:rsidRPr="00F024C1" w14:paraId="5A842525" w14:textId="77777777" w:rsidTr="00F024C1">
        <w:tc>
          <w:tcPr>
            <w:tcW w:w="9848" w:type="dxa"/>
            <w:shd w:val="clear" w:color="auto" w:fill="D9D9D9"/>
          </w:tcPr>
          <w:p w14:paraId="0C4F5532" w14:textId="77777777" w:rsidR="00F024C1" w:rsidRPr="00F024C1" w:rsidRDefault="00F024C1" w:rsidP="004C14FB">
            <w:pPr>
              <w:pStyle w:val="RefTitre"/>
              <w:spacing w:before="240"/>
              <w:rPr>
                <w:rFonts w:eastAsia="Calibri"/>
              </w:rPr>
            </w:pPr>
            <w:r w:rsidRPr="00F024C1">
              <w:rPr>
                <w:rFonts w:eastAsia="Calibri"/>
              </w:rPr>
              <w:t>REFERENCE DOCUMENTS</w:t>
            </w:r>
          </w:p>
        </w:tc>
      </w:tr>
      <w:tr w:rsidR="00F024C1" w:rsidRPr="00F024C1" w14:paraId="6B966EA2" w14:textId="77777777" w:rsidTr="00F024C1">
        <w:tc>
          <w:tcPr>
            <w:tcW w:w="9848" w:type="dxa"/>
            <w:shd w:val="clear" w:color="auto" w:fill="D9D9D9"/>
          </w:tcPr>
          <w:p w14:paraId="5F349DFD" w14:textId="009DDF09" w:rsidR="007A53CA" w:rsidRDefault="007A53CA" w:rsidP="002F2DDF">
            <w:pPr>
              <w:pStyle w:val="RefItem1"/>
              <w:rPr>
                <w:rFonts w:cs="Arial"/>
                <w:szCs w:val="20"/>
              </w:rPr>
            </w:pPr>
            <w:r>
              <w:rPr>
                <w:bCs/>
                <w:lang w:val="en-GB"/>
              </w:rPr>
              <w:t>IFRC (2008) Relief ERU field manual.</w:t>
            </w:r>
            <w:r>
              <w:t xml:space="preserve"> </w:t>
            </w:r>
            <w:hyperlink r:id="rId9" w:history="1">
              <w:r w:rsidRPr="00C668FC">
                <w:rPr>
                  <w:rStyle w:val="Hyperlink"/>
                  <w:bCs/>
                  <w:lang w:val="en-GB"/>
                </w:rPr>
                <w:t>https://www-secure.ifrc.org/DMISII/Pages/03_response/0306_eru/030602_eru_relief/146900_relief%20ERU_EN_LR.pdf</w:t>
              </w:r>
            </w:hyperlink>
          </w:p>
          <w:p w14:paraId="1A91EF4F" w14:textId="32856EAB" w:rsidR="00F024C1" w:rsidRPr="00F024C1" w:rsidRDefault="00F024C1" w:rsidP="002F2DDF">
            <w:pPr>
              <w:pStyle w:val="RefItem1"/>
              <w:rPr>
                <w:rFonts w:cs="Arial"/>
                <w:szCs w:val="20"/>
              </w:rPr>
            </w:pPr>
            <w:r w:rsidRPr="00F024C1">
              <w:rPr>
                <w:rFonts w:cs="Arial"/>
                <w:szCs w:val="20"/>
              </w:rPr>
              <w:t xml:space="preserve">Making the Case For Cash: A field guide to advocacy for cash transfer programming </w:t>
            </w:r>
            <w:proofErr w:type="spellStart"/>
            <w:r w:rsidRPr="00F024C1">
              <w:rPr>
                <w:rFonts w:cs="Arial"/>
                <w:szCs w:val="20"/>
              </w:rPr>
              <w:t>CaLP</w:t>
            </w:r>
            <w:proofErr w:type="spellEnd"/>
            <w:r w:rsidRPr="00F024C1">
              <w:rPr>
                <w:rFonts w:cs="Arial"/>
                <w:szCs w:val="20"/>
              </w:rPr>
              <w:t xml:space="preserve"> (2011)</w:t>
            </w:r>
            <w:r w:rsidRPr="00F024C1">
              <w:rPr>
                <w:rFonts w:cs="Arial"/>
                <w:szCs w:val="20"/>
              </w:rPr>
              <w:br/>
            </w:r>
            <w:hyperlink r:id="rId10" w:history="1">
              <w:r>
                <w:rPr>
                  <w:rStyle w:val="Hyperlink"/>
                  <w:rFonts w:eastAsia="Times New Roman" w:cs="Arial"/>
                  <w:szCs w:val="20"/>
                </w:rPr>
                <w:t>http://www.cashlearning.org/resources/library/30-making-the-case-for-cash-a-field-guide-to-advocacy-for-cash-transfer-programming-screen-version</w:t>
              </w:r>
            </w:hyperlink>
          </w:p>
        </w:tc>
      </w:tr>
      <w:tr w:rsidR="00F024C1" w:rsidRPr="00F024C1" w14:paraId="15574ECF" w14:textId="77777777" w:rsidTr="00F024C1">
        <w:tc>
          <w:tcPr>
            <w:tcW w:w="9848" w:type="dxa"/>
            <w:shd w:val="clear" w:color="auto" w:fill="D9D9D9"/>
          </w:tcPr>
          <w:p w14:paraId="051F1AE4" w14:textId="2277B053" w:rsidR="00F024C1" w:rsidRPr="00F024C1" w:rsidRDefault="00F024C1" w:rsidP="002F2DDF">
            <w:pPr>
              <w:pStyle w:val="RefItem1"/>
              <w:rPr>
                <w:rFonts w:cs="Arial"/>
                <w:szCs w:val="20"/>
              </w:rPr>
            </w:pPr>
            <w:r w:rsidRPr="00F024C1">
              <w:rPr>
                <w:rFonts w:cs="Arial"/>
                <w:szCs w:val="20"/>
              </w:rPr>
              <w:t xml:space="preserve">Guidance on coordination - Coordination toolkit </w:t>
            </w:r>
            <w:proofErr w:type="spellStart"/>
            <w:r w:rsidRPr="00F024C1">
              <w:rPr>
                <w:rFonts w:cs="Arial"/>
                <w:szCs w:val="20"/>
              </w:rPr>
              <w:t>CaLP</w:t>
            </w:r>
            <w:proofErr w:type="spellEnd"/>
            <w:r w:rsidRPr="00F024C1">
              <w:rPr>
                <w:rFonts w:cs="Arial"/>
                <w:szCs w:val="20"/>
              </w:rPr>
              <w:t xml:space="preserve"> </w:t>
            </w:r>
            <w:r w:rsidRPr="00F024C1">
              <w:rPr>
                <w:rFonts w:cs="Arial"/>
                <w:szCs w:val="20"/>
              </w:rPr>
              <w:br/>
            </w:r>
            <w:hyperlink r:id="rId11" w:history="1">
              <w:r w:rsidRPr="00F024C1">
                <w:rPr>
                  <w:rStyle w:val="Hyperlink"/>
                  <w:rFonts w:cs="Arial"/>
                  <w:szCs w:val="20"/>
                </w:rPr>
                <w:t>http://www.cashlearning.org/resources/coordination-toolkit</w:t>
              </w:r>
            </w:hyperlink>
          </w:p>
        </w:tc>
      </w:tr>
      <w:tr w:rsidR="00F024C1" w:rsidRPr="00F024C1" w14:paraId="605DEA4D" w14:textId="77777777" w:rsidTr="00F024C1">
        <w:tc>
          <w:tcPr>
            <w:tcW w:w="9848" w:type="dxa"/>
            <w:shd w:val="clear" w:color="auto" w:fill="D9D9D9"/>
          </w:tcPr>
          <w:p w14:paraId="15825BDF" w14:textId="77777777" w:rsidR="00F024C1" w:rsidRDefault="00F024C1" w:rsidP="002F2DDF">
            <w:pPr>
              <w:pStyle w:val="RefItem1"/>
              <w:rPr>
                <w:rStyle w:val="Hyperlink"/>
                <w:rFonts w:eastAsia="Times New Roman" w:cs="Arial"/>
                <w:szCs w:val="20"/>
              </w:rPr>
            </w:pPr>
            <w:r w:rsidRPr="00F024C1">
              <w:rPr>
                <w:rFonts w:cs="Arial"/>
                <w:szCs w:val="20"/>
              </w:rPr>
              <w:t xml:space="preserve">Field advocacy guide for CTP - Coordination toolkit </w:t>
            </w:r>
            <w:proofErr w:type="spellStart"/>
            <w:r w:rsidRPr="00F024C1">
              <w:rPr>
                <w:rFonts w:cs="Arial"/>
                <w:szCs w:val="20"/>
              </w:rPr>
              <w:t>CaLP</w:t>
            </w:r>
            <w:proofErr w:type="spellEnd"/>
            <w:r w:rsidRPr="00F024C1">
              <w:rPr>
                <w:rFonts w:cs="Arial"/>
                <w:szCs w:val="20"/>
              </w:rPr>
              <w:br/>
            </w:r>
            <w:hyperlink r:id="rId12" w:history="1">
              <w:r>
                <w:rPr>
                  <w:rStyle w:val="Hyperlink"/>
                  <w:rFonts w:eastAsia="Times New Roman" w:cs="Arial"/>
                  <w:szCs w:val="20"/>
                </w:rPr>
                <w:t>http://www.cashlearning.org/resources/coordination-toolkit</w:t>
              </w:r>
            </w:hyperlink>
          </w:p>
          <w:p w14:paraId="450B2732" w14:textId="77777777" w:rsidR="002F2DDF" w:rsidRDefault="002F2DDF" w:rsidP="002F2DDF">
            <w:pPr>
              <w:rPr>
                <w:rFonts w:eastAsia="Times New Roman"/>
              </w:rPr>
            </w:pPr>
            <w:r w:rsidRPr="00D77D45">
              <w:rPr>
                <w:rFonts w:eastAsia="Times New Roman"/>
              </w:rPr>
              <w:t xml:space="preserve">Protection Risks and Benefits Analysis Tool. Annex 2 in the Multi-Purpose Cash Grants Toolkit. UNHCR (2016) </w:t>
            </w:r>
            <w:hyperlink r:id="rId13" w:history="1">
              <w:r w:rsidRPr="00D77D45">
                <w:rPr>
                  <w:rStyle w:val="Hyperlink"/>
                  <w:rFonts w:asciiTheme="majorHAnsi" w:eastAsia="Times New Roman" w:hAnsiTheme="majorHAnsi"/>
                  <w:sz w:val="22"/>
                </w:rPr>
                <w:t>http://www.cashlearning.org/downloads/mpg-toolkit-pdfs/mpg-annex2.pdf</w:t>
              </w:r>
            </w:hyperlink>
            <w:r>
              <w:rPr>
                <w:rStyle w:val="Hyperlink"/>
                <w:rFonts w:asciiTheme="majorHAnsi" w:eastAsia="Times New Roman" w:hAnsiTheme="majorHAnsi"/>
                <w:sz w:val="22"/>
              </w:rPr>
              <w:t xml:space="preserve"> </w:t>
            </w:r>
          </w:p>
          <w:p w14:paraId="51771498" w14:textId="57EB70F2" w:rsidR="002F2DDF" w:rsidRPr="00F024C1" w:rsidRDefault="002F2DDF" w:rsidP="002F2DDF">
            <w:pPr>
              <w:pStyle w:val="RefItem1"/>
              <w:rPr>
                <w:rFonts w:cs="Arial"/>
                <w:szCs w:val="20"/>
              </w:rPr>
            </w:pPr>
            <w:r w:rsidRPr="00D77D45">
              <w:rPr>
                <w:rFonts w:eastAsia="Times New Roman"/>
                <w:color w:val="auto"/>
              </w:rPr>
              <w:t xml:space="preserve">Template of Standard Operating Procedures for the Design and Implementation of Coordinated Multi-Purpose Cash Grants. Annex 3 of the Multi-Purpose Cash Grant Toolkit (2016) </w:t>
            </w:r>
            <w:hyperlink r:id="rId14" w:history="1">
              <w:r w:rsidRPr="00D77D45">
                <w:rPr>
                  <w:rStyle w:val="Hyperlink"/>
                  <w:rFonts w:asciiTheme="majorHAnsi" w:eastAsia="Times New Roman" w:hAnsiTheme="majorHAnsi"/>
                  <w:sz w:val="22"/>
                </w:rPr>
                <w:t>http://www.cashlearning.org/downloads/mpg-toolkit-pdfs/mpg-annex3.pdf</w:t>
              </w:r>
            </w:hyperlink>
          </w:p>
        </w:tc>
      </w:tr>
    </w:tbl>
    <w:p w14:paraId="3FEB0DAB" w14:textId="77777777" w:rsidR="00F024C1" w:rsidRPr="00F024C1" w:rsidRDefault="00F024C1" w:rsidP="00F024C1">
      <w:pPr>
        <w:jc w:val="left"/>
      </w:pPr>
    </w:p>
    <w:sectPr w:rsidR="00F024C1" w:rsidRPr="00F024C1" w:rsidSect="0017276B">
      <w:headerReference w:type="default" r:id="rId15"/>
      <w:footerReference w:type="default" r:id="rId16"/>
      <w:headerReference w:type="first" r:id="rId17"/>
      <w:footerReference w:type="first" r:id="rId18"/>
      <w:pgSz w:w="11900"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55EA7" w14:textId="77777777" w:rsidR="00902161" w:rsidRDefault="00902161" w:rsidP="0086012C">
      <w:r>
        <w:separator/>
      </w:r>
    </w:p>
  </w:endnote>
  <w:endnote w:type="continuationSeparator" w:id="0">
    <w:p w14:paraId="2A808436" w14:textId="77777777" w:rsidR="00902161" w:rsidRDefault="00902161" w:rsidP="0086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O¯øœ!Ÿ">
    <w:altName w:val="Calibri"/>
    <w:panose1 w:val="00000000000000000000"/>
    <w:charset w:val="4D"/>
    <w:family w:val="auto"/>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1621" w14:textId="343B60CF" w:rsidR="00FA7C4C" w:rsidRPr="00B45C74" w:rsidRDefault="00FA7C4C" w:rsidP="00A52A09">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123FE">
      <w:rPr>
        <w:b/>
        <w:noProof/>
        <w:color w:val="808080" w:themeColor="background1" w:themeShade="80"/>
        <w:sz w:val="18"/>
        <w:szCs w:val="18"/>
      </w:rPr>
      <w:t>2</w:t>
    </w:r>
    <w:r w:rsidRPr="00B45C74">
      <w:rPr>
        <w:b/>
        <w:color w:val="808080" w:themeColor="background1" w:themeShade="80"/>
        <w:sz w:val="18"/>
        <w:szCs w:val="18"/>
      </w:rPr>
      <w:fldChar w:fldCharType="end"/>
    </w:r>
  </w:p>
  <w:p w14:paraId="49F1FA15" w14:textId="3930D697" w:rsidR="00FA7C4C" w:rsidRPr="003A3500" w:rsidRDefault="00FA7C4C" w:rsidP="00A52A09">
    <w:pPr>
      <w:pStyle w:val="Footer"/>
    </w:pPr>
    <w:r w:rsidRPr="00107E15">
      <w:rPr>
        <w:b/>
      </w:rPr>
      <w:t xml:space="preserve">Module </w:t>
    </w:r>
    <w:r>
      <w:rPr>
        <w:b/>
      </w:rPr>
      <w:t>4</w:t>
    </w:r>
    <w:r w:rsidRPr="00107E15">
      <w:rPr>
        <w:b/>
      </w:rPr>
      <w:t>.</w:t>
    </w:r>
    <w:r w:rsidRPr="00107E15">
      <w:t xml:space="preserve"> </w:t>
    </w:r>
    <w:r w:rsidRPr="00F11E14">
      <w:fldChar w:fldCharType="begin"/>
    </w:r>
    <w:r w:rsidRPr="00F11E14">
      <w:instrText xml:space="preserve"> STYLEREF  H1 \t  \* MERGEFORMAT </w:instrText>
    </w:r>
    <w:r w:rsidRPr="00F11E14">
      <w:fldChar w:fldCharType="end"/>
    </w:r>
    <w:r w:rsidRPr="00F11E14">
      <w:fldChar w:fldCharType="begin"/>
    </w:r>
    <w:r w:rsidRPr="00F11E14">
      <w:instrText xml:space="preserve"> STYLEREF  H1 \t  \* MERGEFORMAT </w:instrText>
    </w:r>
    <w:r w:rsidRPr="00F11E14">
      <w:fldChar w:fldCharType="end"/>
    </w:r>
    <w:r w:rsidRPr="00F11E14">
      <w:fldChar w:fldCharType="begin"/>
    </w:r>
    <w:r w:rsidRPr="00F11E14">
      <w:instrText xml:space="preserve"> STYLEREF  H1 \t  \* MERGEFORMAT </w:instrText>
    </w:r>
    <w:r w:rsidRPr="00F11E14">
      <w:fldChar w:fldCharType="end"/>
    </w:r>
    <w:r>
      <w:t>Roadmap for CTP set-up</w:t>
    </w:r>
    <w:r w:rsidRPr="00107E15">
      <w:rPr>
        <w:i/>
      </w:rPr>
      <w:fldChar w:fldCharType="begin"/>
    </w:r>
    <w:r w:rsidRPr="00107E15">
      <w:rPr>
        <w:i/>
      </w:rPr>
      <w:instrText xml:space="preserve"> STYLEREF  H1 \t  \* MERGEFORMAT </w:instrText>
    </w:r>
    <w:r w:rsidRPr="00107E15">
      <w:rP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A198" w14:textId="52A6F91E" w:rsidR="00FA7C4C" w:rsidRPr="00B45C74" w:rsidRDefault="00FA7C4C" w:rsidP="00A52A09">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123FE">
      <w:rPr>
        <w:b/>
        <w:noProof/>
        <w:color w:val="808080" w:themeColor="background1" w:themeShade="80"/>
        <w:sz w:val="18"/>
        <w:szCs w:val="18"/>
      </w:rPr>
      <w:t>1</w:t>
    </w:r>
    <w:r w:rsidRPr="00B45C74">
      <w:rPr>
        <w:b/>
        <w:color w:val="808080" w:themeColor="background1" w:themeShade="80"/>
        <w:sz w:val="18"/>
        <w:szCs w:val="18"/>
      </w:rPr>
      <w:fldChar w:fldCharType="end"/>
    </w:r>
  </w:p>
  <w:p w14:paraId="6988F3DF" w14:textId="73CB3078" w:rsidR="00FA7C4C" w:rsidRPr="003A3500" w:rsidRDefault="00FA7C4C" w:rsidP="00A52A09">
    <w:pPr>
      <w:pStyle w:val="Footer"/>
    </w:pPr>
    <w:r w:rsidRPr="00107E15">
      <w:rPr>
        <w:b/>
      </w:rPr>
      <w:t xml:space="preserve">Module </w:t>
    </w:r>
    <w:r>
      <w:rPr>
        <w:b/>
      </w:rPr>
      <w:t>4</w:t>
    </w:r>
    <w:r w:rsidRPr="00107E15">
      <w:rPr>
        <w:b/>
      </w:rPr>
      <w:t>.</w:t>
    </w:r>
    <w:r w:rsidRPr="00107E15">
      <w:t xml:space="preserve"> </w:t>
    </w:r>
    <w:r w:rsidR="00902161">
      <w:fldChar w:fldCharType="begin"/>
    </w:r>
    <w:r w:rsidR="00902161">
      <w:instrText xml:space="preserve"> STYLEREF  H1 \t  \* MERGEFORMAT </w:instrText>
    </w:r>
    <w:r w:rsidR="00902161">
      <w:fldChar w:fldCharType="separate"/>
    </w:r>
    <w:r w:rsidR="007123FE" w:rsidRPr="007123FE">
      <w:rPr>
        <w:bCs/>
        <w:noProof/>
      </w:rPr>
      <w:t>Roadmap for programme</w:t>
    </w:r>
    <w:r w:rsidR="007123FE">
      <w:rPr>
        <w:noProof/>
      </w:rPr>
      <w:t xml:space="preserve"> set-up</w:t>
    </w:r>
    <w:r w:rsidR="00902161">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57D1F" w14:textId="77777777" w:rsidR="00902161" w:rsidRDefault="00902161" w:rsidP="0086012C">
      <w:r>
        <w:separator/>
      </w:r>
    </w:p>
  </w:footnote>
  <w:footnote w:type="continuationSeparator" w:id="0">
    <w:p w14:paraId="4C837864" w14:textId="77777777" w:rsidR="00902161" w:rsidRDefault="00902161" w:rsidP="00860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1813A" w14:textId="77777777" w:rsidR="00FA7C4C" w:rsidRPr="00074036" w:rsidRDefault="00FA7C4C" w:rsidP="00A52A09">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9445" w14:textId="77777777" w:rsidR="00FA7C4C" w:rsidRDefault="00FA7C4C" w:rsidP="00A52A09">
    <w:pPr>
      <w:pStyle w:val="Header1"/>
    </w:pPr>
    <w:r>
      <w:rPr>
        <w:noProof/>
      </w:rPr>
      <w:drawing>
        <wp:anchor distT="0" distB="0" distL="114300" distR="114300" simplePos="0" relativeHeight="251660288" behindDoc="0" locked="0" layoutInCell="1" allowOverlap="1" wp14:anchorId="73B2349E" wp14:editId="169996A0">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43A6DF54" w14:textId="77777777" w:rsidR="00FA7C4C" w:rsidRDefault="00FA7C4C" w:rsidP="00A52A09">
    <w:pPr>
      <w:pStyle w:val="Header1"/>
    </w:pPr>
  </w:p>
  <w:p w14:paraId="73D25F32" w14:textId="77777777" w:rsidR="00FA7C4C" w:rsidRDefault="00FA7C4C" w:rsidP="00A52A09">
    <w:pPr>
      <w:pStyle w:val="Header"/>
      <w:rPr>
        <w:color w:val="DC281E"/>
        <w:sz w:val="24"/>
        <w:szCs w:val="24"/>
      </w:rPr>
    </w:pPr>
    <w:r>
      <w:rPr>
        <w:noProof/>
      </w:rPr>
      <w:drawing>
        <wp:anchor distT="0" distB="0" distL="114300" distR="114300" simplePos="0" relativeHeight="251659264" behindDoc="0" locked="0" layoutInCell="1" allowOverlap="1" wp14:anchorId="1D3429F4" wp14:editId="753A4776">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689AFE84" w14:textId="77777777" w:rsidR="00FA7C4C" w:rsidRDefault="00FA7C4C" w:rsidP="00A52A09">
    <w:pPr>
      <w:pStyle w:val="Header"/>
      <w:spacing w:line="240" w:lineRule="auto"/>
      <w:rPr>
        <w:b/>
        <w:color w:val="DC281E"/>
        <w:sz w:val="24"/>
        <w:szCs w:val="24"/>
      </w:rPr>
    </w:pPr>
  </w:p>
  <w:p w14:paraId="1D2309D0" w14:textId="77777777" w:rsidR="00FA7C4C" w:rsidRDefault="00FA7C4C" w:rsidP="00A52A09">
    <w:pPr>
      <w:pStyle w:val="Header"/>
      <w:spacing w:line="240" w:lineRule="auto"/>
      <w:rPr>
        <w:b/>
        <w:color w:val="DC281E"/>
        <w:sz w:val="24"/>
        <w:szCs w:val="24"/>
      </w:rPr>
    </w:pPr>
  </w:p>
  <w:p w14:paraId="643C2DB4" w14:textId="77777777" w:rsidR="00FA7C4C" w:rsidRPr="00AD7AA6" w:rsidRDefault="00FA7C4C" w:rsidP="00A52A09">
    <w:pPr>
      <w:pStyle w:val="Header1"/>
      <w:rPr>
        <w:rFonts w:ascii="Arial Bold" w:hAnsi="Arial Bold"/>
        <w:color w:val="DC281E"/>
      </w:rPr>
    </w:pPr>
    <w:r w:rsidRPr="00AD7AA6">
      <w:rPr>
        <w:rFonts w:ascii="Arial Bold" w:hAnsi="Arial Bold"/>
        <w:color w:val="DC281E"/>
      </w:rPr>
      <w:t>Cash in Emergencies Toolkit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15342"/>
    <w:multiLevelType w:val="multilevel"/>
    <w:tmpl w:val="C7BABB4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11B7238"/>
    <w:multiLevelType w:val="multilevel"/>
    <w:tmpl w:val="956CB68C"/>
    <w:lvl w:ilvl="0">
      <w:start w:val="1"/>
      <w:numFmt w:val="bullet"/>
      <w:lvlText w:val=""/>
      <w:lvlJc w:val="left"/>
      <w:pPr>
        <w:ind w:left="720" w:hanging="360"/>
      </w:pPr>
      <w:rPr>
        <w:rFonts w:ascii="Wingdings" w:hAnsi="Wingdings" w:hint="default"/>
        <w:color w:val="3366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73072F"/>
    <w:multiLevelType w:val="hybridMultilevel"/>
    <w:tmpl w:val="956CB68C"/>
    <w:lvl w:ilvl="0" w:tplc="7CDA5062">
      <w:start w:val="1"/>
      <w:numFmt w:val="bullet"/>
      <w:lvlText w:val=""/>
      <w:lvlJc w:val="left"/>
      <w:pPr>
        <w:ind w:left="720" w:hanging="360"/>
      </w:pPr>
      <w:rPr>
        <w:rFonts w:ascii="Wingdings" w:hAnsi="Wingdings" w:hint="default"/>
        <w:color w:val="3366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E6C07"/>
    <w:multiLevelType w:val="hybridMultilevel"/>
    <w:tmpl w:val="1568741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301D9"/>
    <w:multiLevelType w:val="multilevel"/>
    <w:tmpl w:val="15861FC0"/>
    <w:lvl w:ilvl="0">
      <w:start w:val="1"/>
      <w:numFmt w:val="bullet"/>
      <w:lvlText w:val=""/>
      <w:lvlJc w:val="left"/>
      <w:pPr>
        <w:ind w:left="720" w:hanging="360"/>
      </w:pPr>
      <w:rPr>
        <w:rFonts w:ascii="Wingdings" w:hAnsi="Wingdings"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DB52718"/>
    <w:multiLevelType w:val="hybridMultilevel"/>
    <w:tmpl w:val="EE106C8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2E1E01F7"/>
    <w:multiLevelType w:val="hybridMultilevel"/>
    <w:tmpl w:val="2E4208B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DA5753"/>
    <w:multiLevelType w:val="hybridMultilevel"/>
    <w:tmpl w:val="C3344A4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3500F"/>
    <w:multiLevelType w:val="hybridMultilevel"/>
    <w:tmpl w:val="15861FC0"/>
    <w:lvl w:ilvl="0" w:tplc="96386C08">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D7C25"/>
    <w:multiLevelType w:val="hybridMultilevel"/>
    <w:tmpl w:val="C7BABB4C"/>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510A9"/>
    <w:multiLevelType w:val="hybridMultilevel"/>
    <w:tmpl w:val="C9E2635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745776"/>
    <w:multiLevelType w:val="hybridMultilevel"/>
    <w:tmpl w:val="02CA7B8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050309C"/>
    <w:multiLevelType w:val="hybridMultilevel"/>
    <w:tmpl w:val="37D2EC7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73113"/>
    <w:multiLevelType w:val="hybridMultilevel"/>
    <w:tmpl w:val="C7686B5C"/>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913EDC"/>
    <w:multiLevelType w:val="multilevel"/>
    <w:tmpl w:val="C7686B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A7E3250"/>
    <w:multiLevelType w:val="hybridMultilevel"/>
    <w:tmpl w:val="E44602E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CD15AF"/>
    <w:multiLevelType w:val="hybridMultilevel"/>
    <w:tmpl w:val="02D2A4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D847487"/>
    <w:multiLevelType w:val="hybridMultilevel"/>
    <w:tmpl w:val="3A94A06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num>
  <w:num w:numId="4">
    <w:abstractNumId w:val="19"/>
  </w:num>
  <w:num w:numId="5">
    <w:abstractNumId w:val="9"/>
  </w:num>
  <w:num w:numId="6">
    <w:abstractNumId w:val="14"/>
  </w:num>
  <w:num w:numId="7">
    <w:abstractNumId w:val="26"/>
  </w:num>
  <w:num w:numId="8">
    <w:abstractNumId w:val="24"/>
  </w:num>
  <w:num w:numId="9">
    <w:abstractNumId w:val="22"/>
  </w:num>
  <w:num w:numId="10">
    <w:abstractNumId w:val="13"/>
  </w:num>
  <w:num w:numId="11">
    <w:abstractNumId w:val="1"/>
  </w:num>
  <w:num w:numId="12">
    <w:abstractNumId w:val="21"/>
  </w:num>
  <w:num w:numId="13">
    <w:abstractNumId w:val="23"/>
  </w:num>
  <w:num w:numId="14">
    <w:abstractNumId w:val="12"/>
  </w:num>
  <w:num w:numId="15">
    <w:abstractNumId w:val="7"/>
  </w:num>
  <w:num w:numId="16">
    <w:abstractNumId w:val="3"/>
  </w:num>
  <w:num w:numId="17">
    <w:abstractNumId w:val="2"/>
  </w:num>
  <w:num w:numId="18">
    <w:abstractNumId w:val="6"/>
  </w:num>
  <w:num w:numId="19">
    <w:abstractNumId w:val="25"/>
  </w:num>
  <w:num w:numId="20">
    <w:abstractNumId w:val="8"/>
  </w:num>
  <w:num w:numId="21">
    <w:abstractNumId w:val="0"/>
  </w:num>
  <w:num w:numId="22">
    <w:abstractNumId w:val="15"/>
  </w:num>
  <w:num w:numId="23">
    <w:abstractNumId w:val="5"/>
  </w:num>
  <w:num w:numId="24">
    <w:abstractNumId w:val="16"/>
  </w:num>
  <w:num w:numId="25">
    <w:abstractNumId w:val="20"/>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A8"/>
    <w:rsid w:val="000219B7"/>
    <w:rsid w:val="000712F6"/>
    <w:rsid w:val="000846DE"/>
    <w:rsid w:val="000850B0"/>
    <w:rsid w:val="000B1078"/>
    <w:rsid w:val="000B5182"/>
    <w:rsid w:val="00113C18"/>
    <w:rsid w:val="00114235"/>
    <w:rsid w:val="00117B94"/>
    <w:rsid w:val="001527A1"/>
    <w:rsid w:val="00157A64"/>
    <w:rsid w:val="00164DC0"/>
    <w:rsid w:val="0017276B"/>
    <w:rsid w:val="00184932"/>
    <w:rsid w:val="001A66BD"/>
    <w:rsid w:val="00200A5E"/>
    <w:rsid w:val="00213C59"/>
    <w:rsid w:val="00234BD9"/>
    <w:rsid w:val="002843DB"/>
    <w:rsid w:val="002968CF"/>
    <w:rsid w:val="002D3CB3"/>
    <w:rsid w:val="002E0DDC"/>
    <w:rsid w:val="002F2DDF"/>
    <w:rsid w:val="002F696C"/>
    <w:rsid w:val="00303B3A"/>
    <w:rsid w:val="0031284B"/>
    <w:rsid w:val="003334E5"/>
    <w:rsid w:val="0034099A"/>
    <w:rsid w:val="00342E95"/>
    <w:rsid w:val="003516D7"/>
    <w:rsid w:val="00360B6B"/>
    <w:rsid w:val="00380087"/>
    <w:rsid w:val="0039084E"/>
    <w:rsid w:val="003B3707"/>
    <w:rsid w:val="003F22B5"/>
    <w:rsid w:val="003F59EC"/>
    <w:rsid w:val="003F5C27"/>
    <w:rsid w:val="0040036E"/>
    <w:rsid w:val="0040680D"/>
    <w:rsid w:val="00415FCB"/>
    <w:rsid w:val="00422EB9"/>
    <w:rsid w:val="00445F12"/>
    <w:rsid w:val="00447CD5"/>
    <w:rsid w:val="00452787"/>
    <w:rsid w:val="00471E31"/>
    <w:rsid w:val="004919C8"/>
    <w:rsid w:val="004C14FB"/>
    <w:rsid w:val="004D19A7"/>
    <w:rsid w:val="004F4D84"/>
    <w:rsid w:val="0051587F"/>
    <w:rsid w:val="00535C63"/>
    <w:rsid w:val="00567AF9"/>
    <w:rsid w:val="00577D0D"/>
    <w:rsid w:val="00597274"/>
    <w:rsid w:val="0060132D"/>
    <w:rsid w:val="0062370D"/>
    <w:rsid w:val="006845A9"/>
    <w:rsid w:val="00695F1C"/>
    <w:rsid w:val="006C2FA7"/>
    <w:rsid w:val="006D7328"/>
    <w:rsid w:val="006E5331"/>
    <w:rsid w:val="006E6BC8"/>
    <w:rsid w:val="006F1AE9"/>
    <w:rsid w:val="0070110F"/>
    <w:rsid w:val="007123FE"/>
    <w:rsid w:val="007530B8"/>
    <w:rsid w:val="0079696F"/>
    <w:rsid w:val="007A53CA"/>
    <w:rsid w:val="007E00C6"/>
    <w:rsid w:val="007E30B4"/>
    <w:rsid w:val="007F7647"/>
    <w:rsid w:val="00846727"/>
    <w:rsid w:val="0086012C"/>
    <w:rsid w:val="008648AB"/>
    <w:rsid w:val="0087780B"/>
    <w:rsid w:val="00896BD6"/>
    <w:rsid w:val="008D571F"/>
    <w:rsid w:val="008E6F84"/>
    <w:rsid w:val="008F3A81"/>
    <w:rsid w:val="00902161"/>
    <w:rsid w:val="00916DFE"/>
    <w:rsid w:val="009173CC"/>
    <w:rsid w:val="00926EA4"/>
    <w:rsid w:val="0093271C"/>
    <w:rsid w:val="00933E61"/>
    <w:rsid w:val="009461B2"/>
    <w:rsid w:val="00967955"/>
    <w:rsid w:val="00975035"/>
    <w:rsid w:val="00980845"/>
    <w:rsid w:val="009A2FDB"/>
    <w:rsid w:val="009D0E7D"/>
    <w:rsid w:val="009E3BED"/>
    <w:rsid w:val="00A070F1"/>
    <w:rsid w:val="00A254EB"/>
    <w:rsid w:val="00A2577F"/>
    <w:rsid w:val="00A32119"/>
    <w:rsid w:val="00A34C19"/>
    <w:rsid w:val="00A36B7B"/>
    <w:rsid w:val="00A40658"/>
    <w:rsid w:val="00A51FEC"/>
    <w:rsid w:val="00A52A09"/>
    <w:rsid w:val="00A72748"/>
    <w:rsid w:val="00A75B17"/>
    <w:rsid w:val="00AC5BA4"/>
    <w:rsid w:val="00AD51A4"/>
    <w:rsid w:val="00AD7AA6"/>
    <w:rsid w:val="00B026C1"/>
    <w:rsid w:val="00B10740"/>
    <w:rsid w:val="00B35F2E"/>
    <w:rsid w:val="00B5259E"/>
    <w:rsid w:val="00B738B0"/>
    <w:rsid w:val="00B74F74"/>
    <w:rsid w:val="00B91BA9"/>
    <w:rsid w:val="00C302DE"/>
    <w:rsid w:val="00C6279A"/>
    <w:rsid w:val="00C71307"/>
    <w:rsid w:val="00CD42AD"/>
    <w:rsid w:val="00D143BF"/>
    <w:rsid w:val="00DA1973"/>
    <w:rsid w:val="00E33CF8"/>
    <w:rsid w:val="00E4000C"/>
    <w:rsid w:val="00E531EB"/>
    <w:rsid w:val="00E611F1"/>
    <w:rsid w:val="00ED5CA8"/>
    <w:rsid w:val="00F024C1"/>
    <w:rsid w:val="00F055FF"/>
    <w:rsid w:val="00F11E14"/>
    <w:rsid w:val="00F14B82"/>
    <w:rsid w:val="00F4692D"/>
    <w:rsid w:val="00F54205"/>
    <w:rsid w:val="00F61C02"/>
    <w:rsid w:val="00F871C5"/>
    <w:rsid w:val="00FA7C4C"/>
    <w:rsid w:val="00FC37E3"/>
    <w:rsid w:val="00FD0E83"/>
    <w:rsid w:val="00FE0C5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E0F45"/>
  <w15:docId w15:val="{589277EC-C589-457D-8475-8F5972D6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A4"/>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AD51A4"/>
  </w:style>
  <w:style w:type="paragraph" w:styleId="Heading2">
    <w:name w:val="heading 2"/>
    <w:basedOn w:val="Normal"/>
    <w:next w:val="Normal"/>
    <w:link w:val="Heading2Char"/>
    <w:uiPriority w:val="9"/>
    <w:unhideWhenUsed/>
    <w:qFormat/>
    <w:rsid w:val="00AD51A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D51A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1A4"/>
    <w:pPr>
      <w:spacing w:after="240"/>
      <w:ind w:left="720"/>
      <w:contextualSpacing/>
    </w:pPr>
    <w:rPr>
      <w:rFonts w:eastAsiaTheme="minorHAnsi" w:cstheme="minorBidi"/>
      <w:szCs w:val="22"/>
    </w:rPr>
  </w:style>
  <w:style w:type="table" w:styleId="TableGrid">
    <w:name w:val="Table Grid"/>
    <w:basedOn w:val="TableNormal"/>
    <w:uiPriority w:val="59"/>
    <w:rsid w:val="00AD51A4"/>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51A4"/>
    <w:rPr>
      <w:sz w:val="18"/>
      <w:szCs w:val="18"/>
    </w:rPr>
  </w:style>
  <w:style w:type="paragraph" w:styleId="CommentText">
    <w:name w:val="annotation text"/>
    <w:basedOn w:val="Normal"/>
    <w:link w:val="CommentTextChar"/>
    <w:uiPriority w:val="99"/>
    <w:semiHidden/>
    <w:unhideWhenUsed/>
    <w:rsid w:val="000B5182"/>
  </w:style>
  <w:style w:type="character" w:customStyle="1" w:styleId="CommentTextChar">
    <w:name w:val="Comment Text Char"/>
    <w:basedOn w:val="DefaultParagraphFont"/>
    <w:link w:val="CommentText"/>
    <w:uiPriority w:val="99"/>
    <w:semiHidden/>
    <w:rsid w:val="000B5182"/>
    <w:rPr>
      <w:rFonts w:asciiTheme="majorHAnsi" w:hAnsiTheme="majorHAnsi"/>
      <w:sz w:val="20"/>
      <w:szCs w:val="20"/>
      <w:lang w:val="en-GB"/>
    </w:rPr>
  </w:style>
  <w:style w:type="paragraph" w:styleId="CommentSubject">
    <w:name w:val="annotation subject"/>
    <w:basedOn w:val="Normal"/>
    <w:link w:val="CommentSubjectChar"/>
    <w:uiPriority w:val="99"/>
    <w:semiHidden/>
    <w:unhideWhenUsed/>
    <w:rsid w:val="00AD51A4"/>
    <w:rPr>
      <w:b/>
      <w:bCs/>
    </w:rPr>
  </w:style>
  <w:style w:type="character" w:customStyle="1" w:styleId="CommentSubjectChar">
    <w:name w:val="Comment Subject Char"/>
    <w:basedOn w:val="DefaultParagraphFont"/>
    <w:link w:val="CommentSubject"/>
    <w:uiPriority w:val="99"/>
    <w:semiHidden/>
    <w:rsid w:val="00AD51A4"/>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AD51A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A4"/>
    <w:rPr>
      <w:rFonts w:ascii="Lucida Grande" w:eastAsiaTheme="minorEastAsia" w:hAnsi="Lucida Grande" w:cs="Lucida Grande"/>
      <w:sz w:val="18"/>
      <w:szCs w:val="18"/>
    </w:rPr>
  </w:style>
  <w:style w:type="paragraph" w:styleId="Revision">
    <w:name w:val="Revision"/>
    <w:hidden/>
    <w:uiPriority w:val="99"/>
    <w:semiHidden/>
    <w:rsid w:val="00AD51A4"/>
    <w:rPr>
      <w:rFonts w:ascii="Arial" w:eastAsiaTheme="minorEastAsia" w:hAnsi="Arial" w:cs="Arial"/>
      <w:sz w:val="21"/>
      <w:szCs w:val="21"/>
    </w:rPr>
  </w:style>
  <w:style w:type="character" w:customStyle="1" w:styleId="ListParagraphChar">
    <w:name w:val="List Paragraph Char"/>
    <w:basedOn w:val="DefaultParagraphFont"/>
    <w:link w:val="ListParagraph"/>
    <w:uiPriority w:val="34"/>
    <w:rsid w:val="00AD51A4"/>
    <w:rPr>
      <w:rFonts w:ascii="Arial" w:hAnsi="Arial"/>
      <w:sz w:val="20"/>
      <w:szCs w:val="22"/>
    </w:rPr>
  </w:style>
  <w:style w:type="paragraph" w:styleId="Header">
    <w:name w:val="header"/>
    <w:basedOn w:val="Normal"/>
    <w:link w:val="HeaderChar"/>
    <w:uiPriority w:val="99"/>
    <w:unhideWhenUsed/>
    <w:rsid w:val="00AD51A4"/>
    <w:pPr>
      <w:spacing w:after="0" w:line="288" w:lineRule="auto"/>
      <w:jc w:val="left"/>
    </w:pPr>
    <w:rPr>
      <w:sz w:val="16"/>
    </w:rPr>
  </w:style>
  <w:style w:type="character" w:customStyle="1" w:styleId="HeaderChar">
    <w:name w:val="Header Char"/>
    <w:basedOn w:val="DefaultParagraphFont"/>
    <w:link w:val="Header"/>
    <w:uiPriority w:val="99"/>
    <w:rsid w:val="00AD51A4"/>
    <w:rPr>
      <w:rFonts w:ascii="Arial" w:eastAsiaTheme="minorEastAsia" w:hAnsi="Arial" w:cs="Times New Roman"/>
      <w:sz w:val="16"/>
      <w:szCs w:val="20"/>
    </w:rPr>
  </w:style>
  <w:style w:type="paragraph" w:styleId="Footer">
    <w:name w:val="footer"/>
    <w:basedOn w:val="Normal"/>
    <w:link w:val="FooterChar"/>
    <w:uiPriority w:val="99"/>
    <w:unhideWhenUsed/>
    <w:rsid w:val="00AD51A4"/>
    <w:pPr>
      <w:spacing w:after="0"/>
      <w:jc w:val="left"/>
    </w:pPr>
    <w:rPr>
      <w:sz w:val="16"/>
      <w:szCs w:val="18"/>
    </w:rPr>
  </w:style>
  <w:style w:type="character" w:customStyle="1" w:styleId="FooterChar">
    <w:name w:val="Footer Char"/>
    <w:basedOn w:val="DefaultParagraphFont"/>
    <w:link w:val="Footer"/>
    <w:uiPriority w:val="99"/>
    <w:rsid w:val="00AD51A4"/>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AD51A4"/>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AD51A4"/>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AD51A4"/>
    <w:rPr>
      <w:rFonts w:ascii="Arial" w:eastAsiaTheme="minorEastAsia" w:hAnsi="Arial" w:cs="Times New Roman"/>
      <w:b/>
      <w:sz w:val="22"/>
    </w:rPr>
  </w:style>
  <w:style w:type="paragraph" w:customStyle="1" w:styleId="Default">
    <w:name w:val="Default"/>
    <w:rsid w:val="00AD51A4"/>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AD51A4"/>
    <w:rPr>
      <w:b/>
    </w:rPr>
  </w:style>
  <w:style w:type="character" w:styleId="Hyperlink">
    <w:name w:val="Hyperlink"/>
    <w:basedOn w:val="DefaultParagraphFont"/>
    <w:uiPriority w:val="99"/>
    <w:unhideWhenUsed/>
    <w:rsid w:val="00AD51A4"/>
    <w:rPr>
      <w:color w:val="0000FF" w:themeColor="hyperlink"/>
      <w:u w:val="single"/>
    </w:rPr>
  </w:style>
  <w:style w:type="character" w:styleId="FollowedHyperlink">
    <w:name w:val="FollowedHyperlink"/>
    <w:basedOn w:val="DefaultParagraphFont"/>
    <w:uiPriority w:val="99"/>
    <w:semiHidden/>
    <w:unhideWhenUsed/>
    <w:rsid w:val="00AD51A4"/>
    <w:rPr>
      <w:color w:val="800080" w:themeColor="followedHyperlink"/>
      <w:u w:val="single"/>
    </w:rPr>
  </w:style>
  <w:style w:type="paragraph" w:styleId="FootnoteText">
    <w:name w:val="footnote text"/>
    <w:basedOn w:val="Normal"/>
    <w:link w:val="FootnoteTextChar"/>
    <w:uiPriority w:val="99"/>
    <w:unhideWhenUsed/>
    <w:rsid w:val="00AD51A4"/>
    <w:pPr>
      <w:spacing w:after="0"/>
    </w:pPr>
    <w:rPr>
      <w:sz w:val="16"/>
      <w:szCs w:val="22"/>
    </w:rPr>
  </w:style>
  <w:style w:type="character" w:customStyle="1" w:styleId="FootnoteTextChar">
    <w:name w:val="Footnote Text Char"/>
    <w:basedOn w:val="DefaultParagraphFont"/>
    <w:link w:val="FootnoteText"/>
    <w:uiPriority w:val="99"/>
    <w:rsid w:val="00AD51A4"/>
    <w:rPr>
      <w:rFonts w:ascii="Arial" w:eastAsiaTheme="minorEastAsia" w:hAnsi="Arial" w:cs="Times New Roman"/>
      <w:sz w:val="16"/>
      <w:szCs w:val="22"/>
    </w:rPr>
  </w:style>
  <w:style w:type="character" w:styleId="FootnoteReference">
    <w:name w:val="footnote reference"/>
    <w:basedOn w:val="DefaultParagraphFont"/>
    <w:uiPriority w:val="99"/>
    <w:unhideWhenUsed/>
    <w:rsid w:val="00AD51A4"/>
    <w:rPr>
      <w:vertAlign w:val="superscript"/>
    </w:rPr>
  </w:style>
  <w:style w:type="paragraph" w:customStyle="1" w:styleId="BasicParagraph">
    <w:name w:val="[Basic Paragraph]"/>
    <w:basedOn w:val="Normal"/>
    <w:uiPriority w:val="99"/>
    <w:rsid w:val="00AD51A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D51A4"/>
    <w:pPr>
      <w:spacing w:before="360" w:after="240"/>
      <w:jc w:val="left"/>
      <w:outlineLvl w:val="0"/>
    </w:pPr>
    <w:rPr>
      <w:b/>
      <w:sz w:val="40"/>
      <w:szCs w:val="52"/>
    </w:rPr>
  </w:style>
  <w:style w:type="paragraph" w:customStyle="1" w:styleId="Bullet1">
    <w:name w:val="Bullet 1"/>
    <w:basedOn w:val="Normal"/>
    <w:rsid w:val="00AD51A4"/>
    <w:pPr>
      <w:numPr>
        <w:numId w:val="23"/>
      </w:numPr>
      <w:spacing w:before="60"/>
    </w:pPr>
    <w:rPr>
      <w:rFonts w:eastAsia="Times New Roman"/>
      <w:color w:val="000000"/>
    </w:rPr>
  </w:style>
  <w:style w:type="paragraph" w:customStyle="1" w:styleId="RefItem1">
    <w:name w:val="Ref Item 1"/>
    <w:basedOn w:val="Normal"/>
    <w:rsid w:val="00AD51A4"/>
    <w:pPr>
      <w:jc w:val="left"/>
    </w:pPr>
    <w:rPr>
      <w:color w:val="000000"/>
      <w:szCs w:val="24"/>
      <w:lang w:eastAsia="it-IT"/>
    </w:rPr>
  </w:style>
  <w:style w:type="paragraph" w:customStyle="1" w:styleId="RefTitre">
    <w:name w:val="Ref Titre"/>
    <w:basedOn w:val="Normal"/>
    <w:rsid w:val="00AD51A4"/>
    <w:pPr>
      <w:jc w:val="left"/>
    </w:pPr>
    <w:rPr>
      <w:rFonts w:eastAsia="Times New Roman"/>
      <w:b/>
      <w:bCs/>
      <w:sz w:val="26"/>
      <w:szCs w:val="26"/>
    </w:rPr>
  </w:style>
  <w:style w:type="paragraph" w:customStyle="1" w:styleId="Header1">
    <w:name w:val="Header 1"/>
    <w:basedOn w:val="Header"/>
    <w:rsid w:val="00AD51A4"/>
    <w:rPr>
      <w:b/>
      <w:sz w:val="24"/>
      <w:szCs w:val="24"/>
    </w:rPr>
  </w:style>
  <w:style w:type="character" w:customStyle="1" w:styleId="Pantone485">
    <w:name w:val="Pantone 485"/>
    <w:basedOn w:val="DefaultParagraphFont"/>
    <w:uiPriority w:val="1"/>
    <w:qFormat/>
    <w:rsid w:val="00AD51A4"/>
    <w:rPr>
      <w:rFonts w:cs="Caecilia-Light"/>
      <w:color w:val="DC281E"/>
      <w:szCs w:val="16"/>
    </w:rPr>
  </w:style>
  <w:style w:type="character" w:customStyle="1" w:styleId="H1Char">
    <w:name w:val="H1 Char"/>
    <w:basedOn w:val="DefaultParagraphFont"/>
    <w:link w:val="H1"/>
    <w:rsid w:val="00AD51A4"/>
    <w:rPr>
      <w:rFonts w:ascii="Arial" w:eastAsiaTheme="minorEastAsia" w:hAnsi="Arial" w:cs="Times New Roman"/>
      <w:b/>
      <w:sz w:val="40"/>
      <w:szCs w:val="52"/>
    </w:rPr>
  </w:style>
  <w:style w:type="table" w:customStyle="1" w:styleId="TableGray">
    <w:name w:val="Table Gray"/>
    <w:basedOn w:val="TableNormal"/>
    <w:uiPriority w:val="99"/>
    <w:rsid w:val="00AD51A4"/>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16DFE"/>
    <w:pPr>
      <w:numPr>
        <w:numId w:val="24"/>
      </w:numPr>
      <w:tabs>
        <w:tab w:val="left" w:pos="7230"/>
      </w:tabs>
      <w:spacing w:before="120" w:after="120"/>
      <w:ind w:left="714" w:hanging="357"/>
      <w:contextualSpacing w:val="0"/>
    </w:pPr>
    <w:rPr>
      <w:rFonts w:cs="Arial"/>
    </w:rPr>
  </w:style>
  <w:style w:type="paragraph" w:customStyle="1" w:styleId="ListNumber1">
    <w:name w:val="List Number 1"/>
    <w:basedOn w:val="Normal"/>
    <w:rsid w:val="00AD51A4"/>
    <w:pPr>
      <w:numPr>
        <w:ilvl w:val="1"/>
        <w:numId w:val="21"/>
      </w:numPr>
      <w:contextualSpacing/>
    </w:pPr>
    <w:rPr>
      <w:rFonts w:eastAsiaTheme="minorHAnsi" w:cstheme="minorHAnsi"/>
      <w:szCs w:val="22"/>
    </w:rPr>
  </w:style>
  <w:style w:type="paragraph" w:customStyle="1" w:styleId="NormalNo">
    <w:name w:val="Normal + No"/>
    <w:basedOn w:val="Normal"/>
    <w:qFormat/>
    <w:rsid w:val="00AD51A4"/>
    <w:pPr>
      <w:numPr>
        <w:numId w:val="22"/>
      </w:numPr>
    </w:pPr>
    <w:rPr>
      <w:rFonts w:eastAsia="MS Mincho"/>
      <w:b/>
      <w:sz w:val="22"/>
    </w:rPr>
  </w:style>
  <w:style w:type="paragraph" w:customStyle="1" w:styleId="Bullet3">
    <w:name w:val="Bullet 3"/>
    <w:basedOn w:val="ListParagraph"/>
    <w:qFormat/>
    <w:rsid w:val="00AD51A4"/>
    <w:pPr>
      <w:numPr>
        <w:numId w:val="25"/>
      </w:numPr>
      <w:spacing w:before="120" w:after="120"/>
      <w:ind w:right="425"/>
    </w:pPr>
    <w:rPr>
      <w:rFonts w:cs="Arial"/>
      <w:i/>
      <w:iCs/>
    </w:rPr>
  </w:style>
  <w:style w:type="paragraph" w:customStyle="1" w:styleId="Indent">
    <w:name w:val="Indent"/>
    <w:basedOn w:val="Normal"/>
    <w:qFormat/>
    <w:rsid w:val="00AD51A4"/>
    <w:pPr>
      <w:ind w:left="567"/>
    </w:pPr>
    <w:rPr>
      <w:rFonts w:cs="Arial"/>
      <w:b/>
    </w:rPr>
  </w:style>
  <w:style w:type="paragraph" w:customStyle="1" w:styleId="TitreTableau">
    <w:name w:val="Titre Tableau"/>
    <w:basedOn w:val="Normal"/>
    <w:qFormat/>
    <w:rsid w:val="00AD51A4"/>
    <w:pPr>
      <w:spacing w:before="120"/>
      <w:jc w:val="center"/>
    </w:pPr>
    <w:rPr>
      <w:rFonts w:cs="Arial"/>
      <w:b/>
      <w:bCs/>
      <w:color w:val="FFFFFF" w:themeColor="background1"/>
      <w:lang w:val="en-CA"/>
    </w:rPr>
  </w:style>
  <w:style w:type="paragraph" w:customStyle="1" w:styleId="BulletTableau">
    <w:name w:val="Bullet Tableau"/>
    <w:basedOn w:val="Bullet2"/>
    <w:qFormat/>
    <w:rsid w:val="00AD51A4"/>
    <w:pPr>
      <w:keepNext/>
      <w:keepLines/>
      <w:framePr w:hSpace="141" w:wrap="around" w:vAnchor="text" w:hAnchor="margin" w:y="402"/>
      <w:numPr>
        <w:numId w:val="2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79404">
      <w:bodyDiv w:val="1"/>
      <w:marLeft w:val="0"/>
      <w:marRight w:val="0"/>
      <w:marTop w:val="0"/>
      <w:marBottom w:val="0"/>
      <w:divBdr>
        <w:top w:val="none" w:sz="0" w:space="0" w:color="auto"/>
        <w:left w:val="none" w:sz="0" w:space="0" w:color="auto"/>
        <w:bottom w:val="none" w:sz="0" w:space="0" w:color="auto"/>
        <w:right w:val="none" w:sz="0" w:space="0" w:color="auto"/>
      </w:divBdr>
    </w:div>
    <w:div w:id="1587419199">
      <w:bodyDiv w:val="1"/>
      <w:marLeft w:val="0"/>
      <w:marRight w:val="0"/>
      <w:marTop w:val="0"/>
      <w:marBottom w:val="0"/>
      <w:divBdr>
        <w:top w:val="none" w:sz="0" w:space="0" w:color="auto"/>
        <w:left w:val="none" w:sz="0" w:space="0" w:color="auto"/>
        <w:bottom w:val="none" w:sz="0" w:space="0" w:color="auto"/>
        <w:right w:val="none" w:sz="0" w:space="0" w:color="auto"/>
      </w:divBdr>
    </w:div>
    <w:div w:id="2097433521">
      <w:bodyDiv w:val="1"/>
      <w:marLeft w:val="0"/>
      <w:marRight w:val="0"/>
      <w:marTop w:val="0"/>
      <w:marBottom w:val="0"/>
      <w:divBdr>
        <w:top w:val="none" w:sz="0" w:space="0" w:color="auto"/>
        <w:left w:val="none" w:sz="0" w:space="0" w:color="auto"/>
        <w:bottom w:val="none" w:sz="0" w:space="0" w:color="auto"/>
        <w:right w:val="none" w:sz="0" w:space="0" w:color="auto"/>
      </w:divBdr>
    </w:div>
    <w:div w:id="21328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ecure.ifrc.org/DMISII/Pages/03_response/0306_eru/030602_eru_relief/146900_relief%20ERU_EN_LR.pdf" TargetMode="External"/><Relationship Id="rId20" Type="http://schemas.openxmlformats.org/officeDocument/2006/relationships/theme" Target="theme/theme1.xml"/><Relationship Id="rId10" Type="http://schemas.openxmlformats.org/officeDocument/2006/relationships/hyperlink" Target="http://www.cashlearning.org/resources/library/30-making-the-case-for-cash-a-field-guide-to-advocacy-for-cash-transfer-programming-screen-version" TargetMode="External"/><Relationship Id="rId11" Type="http://schemas.openxmlformats.org/officeDocument/2006/relationships/hyperlink" Target="http://www.cashlearning.org/resources/coordination-toolkit" TargetMode="External"/><Relationship Id="rId12" Type="http://schemas.openxmlformats.org/officeDocument/2006/relationships/hyperlink" Target="http://www.cashlearning.org/resources/coordination-toolkit" TargetMode="External"/><Relationship Id="rId13" Type="http://schemas.openxmlformats.org/officeDocument/2006/relationships/hyperlink" Target="http://www.cashlearning.org/downloads/mpg-toolkit-pdfs/mpg-annex2.pdf" TargetMode="External"/><Relationship Id="rId14" Type="http://schemas.openxmlformats.org/officeDocument/2006/relationships/hyperlink" Target="http://www.cashlearning.org/downloads/mpg-toolkit-pdfs/mpg-annex3.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A9567-211B-B942-97C3-E86A884E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C:\Clients\Croix Rouge\ICRC_Template.dotx</Template>
  <TotalTime>47</TotalTime>
  <Pages>3</Pages>
  <Words>1210</Words>
  <Characters>6901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Rudolph, Lisa</cp:lastModifiedBy>
  <cp:revision>7</cp:revision>
  <cp:lastPrinted>2015-09-29T08:45:00Z</cp:lastPrinted>
  <dcterms:created xsi:type="dcterms:W3CDTF">2016-08-04T08:54:00Z</dcterms:created>
  <dcterms:modified xsi:type="dcterms:W3CDTF">2017-05-02T17:34:00Z</dcterms:modified>
</cp:coreProperties>
</file>