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D7281" w14:textId="039845AC" w:rsidR="00310F7F" w:rsidRPr="00CA21D0" w:rsidRDefault="00F23838" w:rsidP="001C6B1C">
      <w:pPr>
        <w:pStyle w:val="H1"/>
      </w:pPr>
      <w:bookmarkStart w:id="0" w:name="_GoBack"/>
      <w:bookmarkEnd w:id="0"/>
      <w:r>
        <w:t>Ro</w:t>
      </w:r>
      <w:r w:rsidR="00F067F8">
        <w:t>ad</w:t>
      </w:r>
      <w:r w:rsidR="00B43B9E" w:rsidRPr="004E4235">
        <w:t>map for monitoring</w:t>
      </w:r>
      <w:r w:rsidR="00B43B9E">
        <w:t xml:space="preserve"> and evaluation (M&amp;E) planning</w:t>
      </w:r>
    </w:p>
    <w:p w14:paraId="42CE8FDC" w14:textId="361E187B" w:rsidR="00E66A9A" w:rsidRPr="009A0962" w:rsidRDefault="00587F53" w:rsidP="00CC1211">
      <w:pPr>
        <w:ind w:left="-170"/>
      </w:pPr>
      <w:r>
        <w:pict w14:anchorId="263A8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120pt">
            <v:imagedata r:id="rId7" o:title="05-Monitoring_Evaluation-rodmap-EN"/>
          </v:shape>
        </w:pict>
      </w:r>
    </w:p>
    <w:p w14:paraId="62AADDA6" w14:textId="77777777" w:rsidR="00E66A9A" w:rsidRPr="007E00C6" w:rsidRDefault="00E66A9A" w:rsidP="009A0962">
      <w:pPr>
        <w:pStyle w:val="Heading2"/>
      </w:pPr>
      <w:r w:rsidRPr="007E00C6">
        <w:t>INTRODUCTION</w:t>
      </w:r>
    </w:p>
    <w:p w14:paraId="3760C63F" w14:textId="624A02DD" w:rsidR="00A22FB8" w:rsidRDefault="00A22FB8" w:rsidP="004C3287">
      <w:r w:rsidRPr="00AE1D59">
        <w:t xml:space="preserve">This </w:t>
      </w:r>
      <w:r w:rsidR="00EA6307">
        <w:t>roadmap</w:t>
      </w:r>
      <w:r w:rsidRPr="00AE1D59">
        <w:t xml:space="preserve"> will guide you through </w:t>
      </w:r>
      <w:r w:rsidR="00A9221E">
        <w:t xml:space="preserve">the </w:t>
      </w:r>
      <w:r w:rsidRPr="00AE1D59">
        <w:t>process of planning for monitoring and evaluati</w:t>
      </w:r>
      <w:r w:rsidR="00ED59E7">
        <w:t>on</w:t>
      </w:r>
      <w:r w:rsidR="00156089">
        <w:t>. This</w:t>
      </w:r>
      <w:r w:rsidRPr="00AE1D59">
        <w:t xml:space="preserve"> process involves developing a comprehensive M&amp;E strategy (including a detailed activity work plan and an M&amp;E matrix with indicat</w:t>
      </w:r>
      <w:r>
        <w:t>ors and means of verification) and</w:t>
      </w:r>
      <w:r w:rsidRPr="00AE1D59">
        <w:t xml:space="preserve"> building the capacity of volunteers and staff.</w:t>
      </w:r>
    </w:p>
    <w:p w14:paraId="32ED2804" w14:textId="4C5CCCB9" w:rsidR="00EE263E" w:rsidRPr="00EB6B84" w:rsidRDefault="00ED59E7" w:rsidP="004C3287">
      <w:r>
        <w:t>T</w:t>
      </w:r>
      <w:r w:rsidR="00EE263E" w:rsidRPr="00EB6B84">
        <w:t xml:space="preserve">he </w:t>
      </w:r>
      <w:r w:rsidR="00EA6307">
        <w:t>roadmap</w:t>
      </w:r>
      <w:r w:rsidR="00EE263E" w:rsidRPr="00EB6B84">
        <w:t xml:space="preserve"> provides suggestions on which CiE tools are most useful for this step and sub-steps. The tools will need to be adapted to your need and context.  </w:t>
      </w:r>
    </w:p>
    <w:p w14:paraId="4F24FAC4" w14:textId="1F26B963" w:rsidR="00EE263E" w:rsidRPr="00EB6B84" w:rsidRDefault="00EE263E" w:rsidP="004C3287">
      <w:r w:rsidRPr="00EB6B84">
        <w:t xml:space="preserve">You should always aim to comply with the minimum standards listed under this step, as this will contribute to the quality of your response. </w:t>
      </w:r>
    </w:p>
    <w:p w14:paraId="58B51ED2" w14:textId="77777777" w:rsidR="00EE263E" w:rsidRPr="00EB6B84" w:rsidRDefault="00EE263E" w:rsidP="004C3287">
      <w:r w:rsidRPr="00EB6B84">
        <w:t xml:space="preserve">It is likely that you will need to move </w:t>
      </w:r>
      <w:r w:rsidRPr="005528EF">
        <w:rPr>
          <w:b/>
        </w:rPr>
        <w:t>back and forth</w:t>
      </w:r>
      <w:r w:rsidRPr="00EB6B84">
        <w:t xml:space="preserve"> between the different sub-steps to guide your decision-making as information and processes are completed and feed into each sub-step.</w:t>
      </w:r>
    </w:p>
    <w:p w14:paraId="376C5487" w14:textId="778C5017" w:rsidR="00EE263E" w:rsidRPr="00447B77" w:rsidRDefault="00EE263E" w:rsidP="004C3287">
      <w:r w:rsidRPr="00EB6B84">
        <w:t>If you need more detailed guidance on</w:t>
      </w:r>
      <w:r w:rsidR="006E73ED">
        <w:t xml:space="preserve"> monitoring and evaluation</w:t>
      </w:r>
      <w:r w:rsidR="002E0557">
        <w:t xml:space="preserve"> planning</w:t>
      </w:r>
      <w:r w:rsidRPr="00EB6B84">
        <w:t xml:space="preserve">, consult the </w:t>
      </w:r>
      <w:r w:rsidRPr="00447B77">
        <w:t xml:space="preserve">reference documents suggested at the end of this </w:t>
      </w:r>
      <w:r w:rsidR="00EA6307">
        <w:t>roadmap</w:t>
      </w:r>
      <w:r w:rsidRPr="00447B77">
        <w:t xml:space="preserve">.  </w:t>
      </w:r>
    </w:p>
    <w:p w14:paraId="4F7A5FFD" w14:textId="77777777" w:rsidR="00E66A9A" w:rsidRPr="007E00C6" w:rsidRDefault="00E66A9A" w:rsidP="009A0962">
      <w:pPr>
        <w:pStyle w:val="Heading2"/>
      </w:pPr>
      <w:r w:rsidRPr="007E00C6">
        <w:t>MINIMUM STANDARDS</w:t>
      </w:r>
    </w:p>
    <w:p w14:paraId="016583C1" w14:textId="02636FFA" w:rsidR="00A22FB8" w:rsidRPr="002B1145" w:rsidRDefault="00A22FB8" w:rsidP="00447B77">
      <w:pPr>
        <w:pStyle w:val="Bullet1"/>
      </w:pPr>
      <w:r w:rsidRPr="002B1145">
        <w:t>M&amp;E planning should happen at the design phase of the programme</w:t>
      </w:r>
    </w:p>
    <w:p w14:paraId="3BCB6B9D" w14:textId="0DA14B91" w:rsidR="00A22FB8" w:rsidRDefault="00A22FB8" w:rsidP="00447B77">
      <w:pPr>
        <w:pStyle w:val="Bullet1"/>
      </w:pPr>
      <w:r w:rsidRPr="002B1145">
        <w:t>M&amp;E should be based on programme indicators and sources of verification established in the logical framework</w:t>
      </w:r>
    </w:p>
    <w:p w14:paraId="1BC1F9C0" w14:textId="49A22AB4" w:rsidR="00ED59E7" w:rsidRDefault="00ED59E7" w:rsidP="00447B77">
      <w:pPr>
        <w:pStyle w:val="Bullet1"/>
      </w:pPr>
      <w:r>
        <w:rPr>
          <w:rFonts w:cs="Arial"/>
        </w:rPr>
        <w:t xml:space="preserve">Indicators should be limited in number and </w:t>
      </w:r>
      <w:r w:rsidRPr="00466ED9">
        <w:rPr>
          <w:rFonts w:cs="Arial"/>
        </w:rPr>
        <w:t>look at processes</w:t>
      </w:r>
      <w:r>
        <w:rPr>
          <w:rFonts w:cs="Arial"/>
        </w:rPr>
        <w:t xml:space="preserve"> (whether entitlements have been timely received)</w:t>
      </w:r>
      <w:r w:rsidRPr="00466ED9">
        <w:rPr>
          <w:rFonts w:cs="Arial"/>
        </w:rPr>
        <w:t>, outputs</w:t>
      </w:r>
      <w:r>
        <w:rPr>
          <w:rFonts w:cs="Arial"/>
        </w:rPr>
        <w:t xml:space="preserve"> (how entitlements have been used), outcomes</w:t>
      </w:r>
      <w:r w:rsidRPr="00466ED9">
        <w:rPr>
          <w:rFonts w:cs="Arial"/>
        </w:rPr>
        <w:t xml:space="preserve"> </w:t>
      </w:r>
      <w:r>
        <w:rPr>
          <w:rFonts w:cs="Arial"/>
        </w:rPr>
        <w:t xml:space="preserve">(if and how the programme has affected beneficiaries and non-beneficiaries) </w:t>
      </w:r>
      <w:r w:rsidRPr="00466ED9">
        <w:rPr>
          <w:rFonts w:cs="Arial"/>
        </w:rPr>
        <w:t>and markets</w:t>
      </w:r>
      <w:r>
        <w:rPr>
          <w:rFonts w:cs="Arial"/>
        </w:rPr>
        <w:t xml:space="preserve"> (effects on prices and traders)</w:t>
      </w:r>
      <w:r w:rsidRPr="00466ED9">
        <w:rPr>
          <w:rFonts w:cs="Arial"/>
        </w:rPr>
        <w:t>.</w:t>
      </w:r>
    </w:p>
    <w:p w14:paraId="298B6494" w14:textId="77777777" w:rsidR="00FA01BD" w:rsidRPr="002B1145" w:rsidRDefault="00FA01BD" w:rsidP="00FA01BD">
      <w:pPr>
        <w:pStyle w:val="Bullet1"/>
      </w:pPr>
      <w:r>
        <w:rPr>
          <w:rFonts w:cs="Arial"/>
        </w:rPr>
        <w:t>In the case of multipurpose cash grants (MPG), indicators should be broad enough to allow for capturing secondary impacts.</w:t>
      </w:r>
    </w:p>
    <w:p w14:paraId="542D64AA" w14:textId="00639D08" w:rsidR="00E66A9A" w:rsidRPr="002B1145" w:rsidRDefault="00A22FB8" w:rsidP="00447B77">
      <w:pPr>
        <w:pStyle w:val="Bullet1"/>
      </w:pPr>
      <w:r w:rsidRPr="002B1145">
        <w:t>Monitoring team must be trained and tools must be tested beforehand.</w:t>
      </w:r>
    </w:p>
    <w:p w14:paraId="17555BE7" w14:textId="77777777" w:rsidR="00A22FB8" w:rsidRPr="007E00C6" w:rsidRDefault="00A22FB8" w:rsidP="009A0962">
      <w:pPr>
        <w:pStyle w:val="Heading2"/>
      </w:pPr>
      <w:r w:rsidRPr="007E00C6">
        <w:lastRenderedPageBreak/>
        <w:t>SUB-STEPS AND TOOLS</w:t>
      </w:r>
    </w:p>
    <w:p w14:paraId="6E9E871A" w14:textId="77777777" w:rsidR="00E66A9A" w:rsidRPr="00AE1D59" w:rsidRDefault="00B43B9E" w:rsidP="002A5262">
      <w:pPr>
        <w:pStyle w:val="Heading3"/>
      </w:pPr>
      <w:r w:rsidRPr="00AE1D59">
        <w:t>Develop an M&amp;E strategy</w:t>
      </w:r>
    </w:p>
    <w:p w14:paraId="475C92D1" w14:textId="010B4F70" w:rsidR="00A942B0" w:rsidRDefault="00A942B0" w:rsidP="004C3287">
      <w:pPr>
        <w:rPr>
          <w:szCs w:val="22"/>
        </w:rPr>
      </w:pPr>
      <w:r>
        <w:t>R</w:t>
      </w:r>
      <w:r w:rsidRPr="00AE1D59">
        <w:t>esponse-specific indicators (outcome indicators, output indicators, process indicators)</w:t>
      </w:r>
      <w:r>
        <w:t xml:space="preserve"> will have been </w:t>
      </w:r>
      <w:r w:rsidRPr="00AE1D59">
        <w:t>developed during the programme set-up phase</w:t>
      </w:r>
      <w:r>
        <w:t xml:space="preserve"> for the logical framework. In the </w:t>
      </w:r>
      <w:r w:rsidRPr="00447B77">
        <w:t>sub-step tools, you will find a logical framework and a checklist of key elements to be considere</w:t>
      </w:r>
      <w:r>
        <w:rPr>
          <w:szCs w:val="22"/>
        </w:rPr>
        <w:t xml:space="preserve">d when monitoring the process and impact of </w:t>
      </w:r>
      <w:r w:rsidRPr="000E3FD4">
        <w:rPr>
          <w:szCs w:val="22"/>
        </w:rPr>
        <w:t xml:space="preserve">a </w:t>
      </w:r>
      <w:r w:rsidR="003A799A" w:rsidRPr="000E3FD4">
        <w:rPr>
          <w:szCs w:val="22"/>
        </w:rPr>
        <w:t>programme</w:t>
      </w:r>
      <w:r w:rsidRPr="000E3FD4">
        <w:rPr>
          <w:szCs w:val="22"/>
        </w:rPr>
        <w:t>.</w:t>
      </w:r>
      <w:r>
        <w:rPr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48"/>
      </w:tblGrid>
      <w:tr w:rsidR="00FA01BD" w:rsidRPr="00FA01BD" w14:paraId="67FBCD66" w14:textId="77777777" w:rsidTr="00ED59E7">
        <w:tc>
          <w:tcPr>
            <w:tcW w:w="9848" w:type="dxa"/>
            <w:shd w:val="clear" w:color="auto" w:fill="D9D9D9" w:themeFill="background1" w:themeFillShade="D9"/>
          </w:tcPr>
          <w:p w14:paraId="799BC5AF" w14:textId="3A3150E6" w:rsidR="00FA01BD" w:rsidRPr="00FA01BD" w:rsidRDefault="00FA01BD" w:rsidP="00FA01BD">
            <w:pPr>
              <w:spacing w:before="120"/>
            </w:pPr>
            <w:r w:rsidRPr="00FA01BD">
              <w:t xml:space="preserve">In the case of multipurpose cash grants (MPG), which increase flexibility on the use of cash by beneficiaries, it is important to set a broad monitoring system that can also capture secondary impacts (e.g. changes in access to education, health, etc.). </w:t>
            </w:r>
          </w:p>
        </w:tc>
      </w:tr>
    </w:tbl>
    <w:p w14:paraId="641709EC" w14:textId="77777777" w:rsidR="00FA01BD" w:rsidRPr="00865F32" w:rsidRDefault="00FA01BD" w:rsidP="004C3287"/>
    <w:p w14:paraId="46535E26" w14:textId="77777777" w:rsidR="00865F32" w:rsidRDefault="00865F32" w:rsidP="004C3287">
      <w:r>
        <w:t>Based on the logical framework, you should develop:</w:t>
      </w:r>
    </w:p>
    <w:p w14:paraId="52B1DF30" w14:textId="58F6168F" w:rsidR="00E66A9A" w:rsidRPr="00901BDF" w:rsidRDefault="00A9221E" w:rsidP="00447B77">
      <w:pPr>
        <w:pStyle w:val="Bullet2"/>
      </w:pPr>
      <w:r>
        <w:t xml:space="preserve">An </w:t>
      </w:r>
      <w:r w:rsidR="00B43B9E" w:rsidRPr="00901BDF">
        <w:t>M&amp;E work plan</w:t>
      </w:r>
      <w:r w:rsidR="00865F32" w:rsidRPr="00901BDF">
        <w:t xml:space="preserve">, </w:t>
      </w:r>
      <w:r w:rsidR="00B43B9E" w:rsidRPr="00901BDF">
        <w:t>detail</w:t>
      </w:r>
      <w:r w:rsidR="00865F32" w:rsidRPr="00901BDF">
        <w:t>ing</w:t>
      </w:r>
      <w:r w:rsidR="00B43B9E" w:rsidRPr="00901BDF">
        <w:t xml:space="preserve"> all the activities needed to ensure a smooth monitoring and</w:t>
      </w:r>
      <w:r w:rsidR="00865F32" w:rsidRPr="00901BDF">
        <w:t xml:space="preserve"> evaluation process, and providing</w:t>
      </w:r>
      <w:r w:rsidR="00B43B9E" w:rsidRPr="00901BDF">
        <w:t xml:space="preserve"> clear indication of who is responsible for each activity,</w:t>
      </w:r>
      <w:r>
        <w:t xml:space="preserve"> with</w:t>
      </w:r>
      <w:r w:rsidR="00B43B9E" w:rsidRPr="00901BDF">
        <w:t xml:space="preserve"> whom the responsible person should coordinate, and when each activity should be conducted. </w:t>
      </w:r>
    </w:p>
    <w:p w14:paraId="74927360" w14:textId="29F338AE" w:rsidR="00E66A9A" w:rsidRDefault="00A9221E" w:rsidP="00447B77">
      <w:pPr>
        <w:pStyle w:val="Bullet2"/>
      </w:pPr>
      <w:r>
        <w:t xml:space="preserve">An </w:t>
      </w:r>
      <w:r w:rsidR="00B43B9E" w:rsidRPr="00901BDF">
        <w:t>M&amp;E matrix</w:t>
      </w:r>
      <w:r>
        <w:t>, which</w:t>
      </w:r>
      <w:r w:rsidR="00B43B9E" w:rsidRPr="00865F32">
        <w:t xml:space="preserve"> </w:t>
      </w:r>
      <w:r>
        <w:t>includes all indicators to be monitored.</w:t>
      </w:r>
      <w:r w:rsidR="00B43B9E" w:rsidRPr="00865F32">
        <w:t xml:space="preserve"> </w:t>
      </w:r>
      <w:r>
        <w:t>F</w:t>
      </w:r>
      <w:r w:rsidR="00B43B9E" w:rsidRPr="00865F32">
        <w:t>or each indicator</w:t>
      </w:r>
      <w:r>
        <w:t>, the matrix should list</w:t>
      </w:r>
      <w:r w:rsidR="00B43B9E" w:rsidRPr="00865F32">
        <w:t>: which data sources and collection methods should be used, how frequently data should be collected and by whom, and how the monitoring data will be used.</w:t>
      </w:r>
      <w:r w:rsidR="00865F32">
        <w:t xml:space="preserve"> </w:t>
      </w:r>
      <w:r w:rsidR="00B43B9E" w:rsidRPr="00865F32">
        <w:t>Focus group discussions, key inf</w:t>
      </w:r>
      <w:r>
        <w:t>ormant interviews and household</w:t>
      </w:r>
      <w:r w:rsidR="00B43B9E" w:rsidRPr="00865F32">
        <w:t xml:space="preserve"> surveys are the methods most commonly used. As a rule of thumb, include quantitative and qualitative components, and take triangulation concerns into account. Consider that using a range of methods and a range of respondents (e.g. beneficiaries and non-beneficiaries, men and women, etc.) will allow you to crosscheck and have greater confidence in the results.</w:t>
      </w:r>
    </w:p>
    <w:p w14:paraId="00266359" w14:textId="40D2FF8F" w:rsidR="00865F32" w:rsidRPr="00865F32" w:rsidRDefault="00865F32" w:rsidP="004C3287">
      <w:r>
        <w:t xml:space="preserve">In the </w:t>
      </w:r>
      <w:r w:rsidRPr="00447B77">
        <w:t>sub-step tools you</w:t>
      </w:r>
      <w:r>
        <w:t xml:space="preserve"> will find </w:t>
      </w:r>
      <w:r w:rsidR="00A9221E">
        <w:t xml:space="preserve">an </w:t>
      </w:r>
      <w:r>
        <w:t>M&amp;E work plan and matrix templates.</w:t>
      </w:r>
    </w:p>
    <w:p w14:paraId="543E4ACF" w14:textId="79A2E9BC" w:rsidR="00273676" w:rsidRDefault="00B43B9E" w:rsidP="004C3287">
      <w:r w:rsidRPr="00C6084E">
        <w:t>Sampling</w:t>
      </w:r>
      <w:r w:rsidRPr="00AE1D59">
        <w:t xml:space="preserve"> is a key piece of information that is not included in the M&amp;E matrix but should be defined before collecting data. Sampling refers to the number of people, shops, traders, service provider agents, etc. </w:t>
      </w:r>
      <w:r w:rsidR="00A9221E">
        <w:t xml:space="preserve">that are </w:t>
      </w:r>
      <w:r w:rsidRPr="00AE1D59">
        <w:t xml:space="preserve">to be monitored per month, and/or the number of distribution/encashment sites to be visited for monitoring each month. </w:t>
      </w:r>
      <w:r w:rsidR="00273676">
        <w:t xml:space="preserve">In the </w:t>
      </w:r>
      <w:r w:rsidR="00273676" w:rsidRPr="00447B77">
        <w:t>sub-step tools you</w:t>
      </w:r>
      <w:r w:rsidR="00273676">
        <w:t xml:space="preserve"> will find a survey sample calculator and a brief sampling guidance. These tools can help you </w:t>
      </w:r>
      <w:r w:rsidRPr="00AE1D59">
        <w:t>establish physical verification targets.</w:t>
      </w:r>
      <w:r w:rsidR="00273676">
        <w:t xml:space="preserve"> </w:t>
      </w:r>
    </w:p>
    <w:p w14:paraId="404D1F84" w14:textId="77777777" w:rsidR="00E66A9A" w:rsidRPr="00AE1D59" w:rsidRDefault="00B43B9E" w:rsidP="002A5262">
      <w:pPr>
        <w:pStyle w:val="Heading3"/>
      </w:pPr>
      <w:r w:rsidRPr="00AE1D59">
        <w:t>Build staff capacity</w:t>
      </w:r>
    </w:p>
    <w:p w14:paraId="69BEEA56" w14:textId="2F9567E5" w:rsidR="00E66A9A" w:rsidRDefault="00B43B9E" w:rsidP="00254669">
      <w:pPr>
        <w:spacing w:after="360"/>
      </w:pPr>
      <w:r w:rsidRPr="00AE1D59">
        <w:t>The quality and reliability of the monitoring results and recomm</w:t>
      </w:r>
      <w:r>
        <w:t>endations will to a great extent</w:t>
      </w:r>
      <w:r w:rsidRPr="00AE1D59">
        <w:t xml:space="preserve"> depend on the capacity of the M&amp;E team. Therefore volunteers and staff who will be involved in collecting and analysing data must be trained. In the </w:t>
      </w:r>
      <w:r w:rsidR="00C6084E" w:rsidRPr="00447B77">
        <w:t>sub-step tools</w:t>
      </w:r>
      <w:r w:rsidRPr="00447B77">
        <w:t xml:space="preserve"> you will</w:t>
      </w:r>
      <w:r w:rsidRPr="00AE1D59">
        <w:t xml:space="preserve"> find a</w:t>
      </w:r>
      <w:r w:rsidR="009E4609">
        <w:t>n introductory</w:t>
      </w:r>
      <w:r w:rsidRPr="00AE1D59">
        <w:t xml:space="preserve"> PowerPoint presentation </w:t>
      </w:r>
      <w:r w:rsidR="00C6084E" w:rsidRPr="00AE1D59">
        <w:t xml:space="preserve">accompanied by </w:t>
      </w:r>
      <w:r w:rsidR="00C6084E" w:rsidRPr="00C6084E">
        <w:t>facilitator notes</w:t>
      </w:r>
      <w:r w:rsidR="00C6084E" w:rsidRPr="00AE1D59">
        <w:t xml:space="preserve"> </w:t>
      </w:r>
      <w:r w:rsidR="009E4609">
        <w:t>targeted</w:t>
      </w:r>
      <w:r w:rsidRPr="00AE1D59">
        <w:t xml:space="preserve"> at </w:t>
      </w:r>
      <w:r w:rsidR="009E4609">
        <w:t>technical and middle</w:t>
      </w:r>
      <w:r w:rsidR="00C6084E" w:rsidRPr="00C6084E">
        <w:t xml:space="preserve"> management</w:t>
      </w:r>
      <w:r w:rsidRPr="00C6084E">
        <w:t xml:space="preserve"> staff. </w:t>
      </w:r>
      <w:r w:rsidR="00A9221E">
        <w:t>Also, y</w:t>
      </w:r>
      <w:r w:rsidRPr="00C6084E">
        <w:t xml:space="preserve">ou will find </w:t>
      </w:r>
      <w:r w:rsidR="009E4609">
        <w:t xml:space="preserve">brief </w:t>
      </w:r>
      <w:r w:rsidRPr="00C6084E">
        <w:t>guidance on how to conduct focus group discussions and interviews.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447B77" w:rsidRPr="00156089" w14:paraId="50D9E4AD" w14:textId="77777777" w:rsidTr="00447B77">
        <w:tc>
          <w:tcPr>
            <w:tcW w:w="9848" w:type="dxa"/>
          </w:tcPr>
          <w:p w14:paraId="643895F0" w14:textId="77777777" w:rsidR="00447B77" w:rsidRDefault="00447B77" w:rsidP="002A5262">
            <w:pPr>
              <w:pStyle w:val="RefTitre"/>
            </w:pPr>
            <w:r w:rsidRPr="00B23B74">
              <w:t>REFERENCE TOOLS</w:t>
            </w:r>
          </w:p>
          <w:p w14:paraId="50FD63E9" w14:textId="69366B9D" w:rsidR="00447B77" w:rsidRPr="00B23B74" w:rsidRDefault="00447B77" w:rsidP="002A5262">
            <w:pPr>
              <w:pStyle w:val="RefItem1"/>
            </w:pPr>
            <w:r w:rsidRPr="00B23B74">
              <w:t>ICRC measuring</w:t>
            </w:r>
            <w:r>
              <w:t xml:space="preserve"> </w:t>
            </w:r>
            <w:r w:rsidRPr="00B23B74">
              <w:t>results 2009.</w:t>
            </w:r>
            <w:r>
              <w:br/>
            </w:r>
            <w:hyperlink r:id="rId8" w:history="1">
              <w:r w:rsidRPr="00447B77">
                <w:rPr>
                  <w:rStyle w:val="Hyperlink"/>
                  <w:rFonts w:ascii="Calibri" w:eastAsia="Times New Roman" w:hAnsi="Calibri"/>
                  <w:sz w:val="22"/>
                  <w:szCs w:val="22"/>
                </w:rPr>
                <w:t>http://www.icrc.org/eng/resources/documents/publication/p0995.htm</w:t>
              </w:r>
            </w:hyperlink>
          </w:p>
          <w:p w14:paraId="5921E638" w14:textId="77777777" w:rsidR="00447B77" w:rsidRDefault="00447B77" w:rsidP="002A5262">
            <w:pPr>
              <w:pStyle w:val="RefItem1"/>
              <w:rPr>
                <w:rStyle w:val="Hyperlink"/>
                <w:rFonts w:ascii="Calibri" w:eastAsia="Times New Roman" w:hAnsi="Calibri"/>
                <w:sz w:val="22"/>
                <w:szCs w:val="22"/>
                <w:lang w:val="fr-CA"/>
              </w:rPr>
            </w:pPr>
            <w:r w:rsidRPr="00B23B74">
              <w:t xml:space="preserve">Non-food items and emergency shelter cluster guidelines on post-distribution monitoring. </w:t>
            </w:r>
            <w:r w:rsidRPr="00F067F8">
              <w:rPr>
                <w:lang w:val="fr-CA"/>
              </w:rPr>
              <w:t xml:space="preserve">IOM 2012. </w:t>
            </w:r>
            <w:hyperlink r:id="rId9" w:history="1">
              <w:r w:rsidRPr="00F067F8">
                <w:rPr>
                  <w:rStyle w:val="Hyperlink"/>
                  <w:rFonts w:ascii="Calibri" w:eastAsia="Times New Roman" w:hAnsi="Calibri"/>
                  <w:sz w:val="22"/>
                  <w:szCs w:val="22"/>
                  <w:lang w:val="fr-CA"/>
                </w:rPr>
                <w:t>http://www.foodsecurity.nrc-handbooks.org/assets/NFI_ES_cluster_PDM_guidelines_July_2012-copy.pdf</w:t>
              </w:r>
            </w:hyperlink>
          </w:p>
          <w:p w14:paraId="4B1A73D1" w14:textId="12DC3DC0" w:rsidR="003A799A" w:rsidRPr="00A668E9" w:rsidRDefault="003A799A" w:rsidP="002A5262">
            <w:pPr>
              <w:pStyle w:val="RefItem1"/>
              <w:rPr>
                <w:lang w:val="en-GB"/>
              </w:rPr>
            </w:pPr>
            <w:r w:rsidRPr="000E3FD4">
              <w:rPr>
                <w:rFonts w:cs="Arial"/>
                <w:lang w:val="it-IT"/>
              </w:rPr>
              <w:t xml:space="preserve">IFRC (2011) </w:t>
            </w:r>
            <w:r w:rsidRPr="000E3FD4">
              <w:rPr>
                <w:rFonts w:eastAsia="Times New Roman" w:cs="Arial"/>
              </w:rPr>
              <w:t>Project/programme monitoring and evaluation (M&amp;E) guide.</w:t>
            </w:r>
          </w:p>
        </w:tc>
      </w:tr>
    </w:tbl>
    <w:p w14:paraId="090F8191" w14:textId="77777777" w:rsidR="00B23B74" w:rsidRPr="00A668E9" w:rsidRDefault="00B23B74" w:rsidP="004C3287">
      <w:pPr>
        <w:rPr>
          <w:lang w:val="en-GB"/>
        </w:rPr>
      </w:pPr>
    </w:p>
    <w:sectPr w:rsidR="00B23B74" w:rsidRPr="00A668E9" w:rsidSect="001C6B1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69362" w14:textId="77777777" w:rsidR="00587F53" w:rsidRDefault="00587F53">
      <w:r>
        <w:separator/>
      </w:r>
    </w:p>
  </w:endnote>
  <w:endnote w:type="continuationSeparator" w:id="0">
    <w:p w14:paraId="6897C00A" w14:textId="77777777" w:rsidR="00587F53" w:rsidRDefault="0058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1C977" w14:textId="6323B8A4" w:rsidR="00ED59E7" w:rsidRPr="00B45C74" w:rsidRDefault="00ED59E7" w:rsidP="00ED59E7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668E9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ACAD9FB" w14:textId="070E45C9" w:rsidR="00ED59E7" w:rsidRPr="003A3500" w:rsidRDefault="00ED59E7" w:rsidP="00ED59E7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A668E9" w:rsidRPr="00A668E9">
      <w:rPr>
        <w:bCs/>
        <w:noProof/>
      </w:rPr>
      <w:t>Roadmap for monitoring and evaluation (M&amp;E) planning</w:t>
    </w:r>
    <w:r w:rsidRPr="00107E15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6381B" w14:textId="693EFF42" w:rsidR="00ED59E7" w:rsidRPr="00B45C74" w:rsidRDefault="00ED59E7" w:rsidP="00ED59E7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668E9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CC3631D" w14:textId="3D494925" w:rsidR="00ED59E7" w:rsidRPr="001C6B1C" w:rsidRDefault="00ED59E7" w:rsidP="00ED59E7">
    <w:pPr>
      <w:pStyle w:val="Footer"/>
      <w:rPr>
        <w:b/>
      </w:rPr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</w:t>
    </w:r>
    <w:r w:rsidR="00587F53">
      <w:fldChar w:fldCharType="begin"/>
    </w:r>
    <w:r w:rsidR="00587F53">
      <w:instrText xml:space="preserve"> STYLEREF  H1 \t  \* MERGEFORMAT </w:instrText>
    </w:r>
    <w:r w:rsidR="00587F53">
      <w:fldChar w:fldCharType="separate"/>
    </w:r>
    <w:r w:rsidR="00A668E9" w:rsidRPr="00A668E9">
      <w:rPr>
        <w:bCs/>
        <w:noProof/>
      </w:rPr>
      <w:t>Roadmap for monitoring and evaluation (M&amp;E) planning</w:t>
    </w:r>
    <w:r w:rsidR="00587F53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C9C5A" w14:textId="77777777" w:rsidR="00587F53" w:rsidRDefault="00587F53">
      <w:r>
        <w:separator/>
      </w:r>
    </w:p>
  </w:footnote>
  <w:footnote w:type="continuationSeparator" w:id="0">
    <w:p w14:paraId="2549DA9D" w14:textId="77777777" w:rsidR="00587F53" w:rsidRDefault="0058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07F3D" w14:textId="77777777" w:rsidR="00ED59E7" w:rsidRPr="00074036" w:rsidRDefault="00ED59E7" w:rsidP="00ED59E7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972D" w14:textId="77777777" w:rsidR="00ED59E7" w:rsidRDefault="00ED59E7" w:rsidP="00ED59E7">
    <w:pPr>
      <w:pStyle w:val="Header1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2478905" wp14:editId="6D606579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D5A9B" w14:textId="77777777" w:rsidR="00ED59E7" w:rsidRDefault="00ED59E7" w:rsidP="00ED59E7">
    <w:pPr>
      <w:pStyle w:val="Header1"/>
    </w:pPr>
  </w:p>
  <w:p w14:paraId="6D59F487" w14:textId="77777777" w:rsidR="00ED59E7" w:rsidRDefault="00ED59E7" w:rsidP="00ED59E7">
    <w:pPr>
      <w:pStyle w:val="Header"/>
      <w:rPr>
        <w:color w:val="DC281E"/>
        <w:sz w:val="24"/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621B8F0" wp14:editId="76C08AE7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6C16D" w14:textId="77777777" w:rsidR="00ED59E7" w:rsidRDefault="00ED59E7" w:rsidP="00ED59E7">
    <w:pPr>
      <w:pStyle w:val="Header"/>
      <w:spacing w:line="240" w:lineRule="auto"/>
      <w:rPr>
        <w:b/>
        <w:color w:val="DC281E"/>
        <w:sz w:val="24"/>
        <w:szCs w:val="24"/>
      </w:rPr>
    </w:pPr>
  </w:p>
  <w:p w14:paraId="3137391B" w14:textId="77777777" w:rsidR="00ED59E7" w:rsidRDefault="00ED59E7" w:rsidP="00ED59E7">
    <w:pPr>
      <w:pStyle w:val="Header"/>
      <w:spacing w:line="240" w:lineRule="auto"/>
      <w:rPr>
        <w:b/>
        <w:color w:val="DC281E"/>
        <w:sz w:val="24"/>
        <w:szCs w:val="24"/>
      </w:rPr>
    </w:pPr>
  </w:p>
  <w:p w14:paraId="2E9697BA" w14:textId="77777777" w:rsidR="00ED59E7" w:rsidRPr="00CE53D1" w:rsidRDefault="00ED59E7" w:rsidP="00ED59E7">
    <w:pPr>
      <w:pStyle w:val="Header1"/>
      <w:rPr>
        <w:color w:val="DC281E"/>
      </w:rPr>
    </w:pPr>
    <w:r w:rsidRPr="00CE53D1">
      <w:rPr>
        <w:color w:val="DC281E"/>
      </w:rPr>
      <w:t>Cash in Emergencies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EC4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A61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43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52A4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923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C8F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5277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65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167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6A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C61D7"/>
    <w:multiLevelType w:val="hybridMultilevel"/>
    <w:tmpl w:val="7A78EDE6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1751EC"/>
    <w:multiLevelType w:val="hybridMultilevel"/>
    <w:tmpl w:val="D4A2DDAC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656F75"/>
    <w:multiLevelType w:val="hybridMultilevel"/>
    <w:tmpl w:val="5FEC3BEE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53F03"/>
    <w:multiLevelType w:val="hybridMultilevel"/>
    <w:tmpl w:val="2B62B312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735E8"/>
    <w:multiLevelType w:val="hybridMultilevel"/>
    <w:tmpl w:val="A8A435C2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32A81"/>
    <w:multiLevelType w:val="hybridMultilevel"/>
    <w:tmpl w:val="8C70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952B4"/>
    <w:multiLevelType w:val="hybridMultilevel"/>
    <w:tmpl w:val="22E0685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71477B"/>
    <w:multiLevelType w:val="hybridMultilevel"/>
    <w:tmpl w:val="7D688CB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817A36"/>
    <w:multiLevelType w:val="hybridMultilevel"/>
    <w:tmpl w:val="9B32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5B14FD"/>
    <w:multiLevelType w:val="hybridMultilevel"/>
    <w:tmpl w:val="A06CDB8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226C8E"/>
    <w:multiLevelType w:val="hybridMultilevel"/>
    <w:tmpl w:val="B6D8F0D4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4C36C6"/>
    <w:multiLevelType w:val="hybridMultilevel"/>
    <w:tmpl w:val="8D5C82F2"/>
    <w:lvl w:ilvl="0" w:tplc="AF5CCA70"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0A0B08"/>
    <w:multiLevelType w:val="hybridMultilevel"/>
    <w:tmpl w:val="CA3E531A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46E76"/>
    <w:multiLevelType w:val="hybridMultilevel"/>
    <w:tmpl w:val="F796D27A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2D1CE0"/>
    <w:multiLevelType w:val="hybridMultilevel"/>
    <w:tmpl w:val="CAD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B6393"/>
    <w:multiLevelType w:val="hybridMultilevel"/>
    <w:tmpl w:val="A8A435C2"/>
    <w:lvl w:ilvl="0" w:tplc="AF5CCA7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A2DD8"/>
    <w:multiLevelType w:val="hybridMultilevel"/>
    <w:tmpl w:val="5FEC3BEE"/>
    <w:lvl w:ilvl="0" w:tplc="AF5CCA70"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F10D53"/>
    <w:multiLevelType w:val="hybridMultilevel"/>
    <w:tmpl w:val="A8A435C2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F4509"/>
    <w:multiLevelType w:val="hybridMultilevel"/>
    <w:tmpl w:val="C050411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74F19"/>
    <w:multiLevelType w:val="hybridMultilevel"/>
    <w:tmpl w:val="8D5C82F2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7442C"/>
    <w:multiLevelType w:val="hybridMultilevel"/>
    <w:tmpl w:val="3E18AA5C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04900"/>
    <w:multiLevelType w:val="hybridMultilevel"/>
    <w:tmpl w:val="B6D8F0D4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02CD1"/>
    <w:multiLevelType w:val="hybridMultilevel"/>
    <w:tmpl w:val="CA3E531A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D54C4F"/>
    <w:multiLevelType w:val="hybridMultilevel"/>
    <w:tmpl w:val="7D688CB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A3B98"/>
    <w:multiLevelType w:val="hybridMultilevel"/>
    <w:tmpl w:val="D4A2DDAC"/>
    <w:lvl w:ilvl="0" w:tplc="E5429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D1867"/>
    <w:multiLevelType w:val="hybridMultilevel"/>
    <w:tmpl w:val="C050411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3A580E"/>
    <w:multiLevelType w:val="hybridMultilevel"/>
    <w:tmpl w:val="A06CDB8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74815"/>
    <w:multiLevelType w:val="hybridMultilevel"/>
    <w:tmpl w:val="1FCC5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17F87"/>
    <w:multiLevelType w:val="hybridMultilevel"/>
    <w:tmpl w:val="3E18AA5C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B4014"/>
    <w:multiLevelType w:val="hybridMultilevel"/>
    <w:tmpl w:val="F796D27A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50707"/>
    <w:multiLevelType w:val="hybridMultilevel"/>
    <w:tmpl w:val="7A78EDE6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3"/>
  </w:num>
  <w:num w:numId="3">
    <w:abstractNumId w:val="35"/>
  </w:num>
  <w:num w:numId="4">
    <w:abstractNumId w:val="31"/>
  </w:num>
  <w:num w:numId="5">
    <w:abstractNumId w:val="40"/>
  </w:num>
  <w:num w:numId="6">
    <w:abstractNumId w:val="11"/>
  </w:num>
  <w:num w:numId="7">
    <w:abstractNumId w:val="32"/>
  </w:num>
  <w:num w:numId="8">
    <w:abstractNumId w:val="24"/>
  </w:num>
  <w:num w:numId="9">
    <w:abstractNumId w:val="15"/>
  </w:num>
  <w:num w:numId="10">
    <w:abstractNumId w:val="28"/>
  </w:num>
  <w:num w:numId="11">
    <w:abstractNumId w:val="30"/>
  </w:num>
  <w:num w:numId="12">
    <w:abstractNumId w:val="13"/>
  </w:num>
  <w:num w:numId="13">
    <w:abstractNumId w:val="29"/>
  </w:num>
  <w:num w:numId="14">
    <w:abstractNumId w:val="10"/>
  </w:num>
  <w:num w:numId="15">
    <w:abstractNumId w:val="47"/>
  </w:num>
  <w:num w:numId="16">
    <w:abstractNumId w:val="34"/>
  </w:num>
  <w:num w:numId="17">
    <w:abstractNumId w:val="45"/>
  </w:num>
  <w:num w:numId="18">
    <w:abstractNumId w:val="25"/>
  </w:num>
  <w:num w:numId="19">
    <w:abstractNumId w:val="36"/>
  </w:num>
  <w:num w:numId="20">
    <w:abstractNumId w:val="21"/>
  </w:num>
  <w:num w:numId="21">
    <w:abstractNumId w:val="46"/>
  </w:num>
  <w:num w:numId="22">
    <w:abstractNumId w:val="26"/>
  </w:num>
  <w:num w:numId="23">
    <w:abstractNumId w:val="43"/>
  </w:num>
  <w:num w:numId="24">
    <w:abstractNumId w:val="22"/>
  </w:num>
  <w:num w:numId="25">
    <w:abstractNumId w:val="39"/>
  </w:num>
  <w:num w:numId="26">
    <w:abstractNumId w:val="20"/>
  </w:num>
  <w:num w:numId="27">
    <w:abstractNumId w:val="14"/>
  </w:num>
  <w:num w:numId="28">
    <w:abstractNumId w:val="19"/>
  </w:num>
  <w:num w:numId="29">
    <w:abstractNumId w:val="16"/>
  </w:num>
  <w:num w:numId="30">
    <w:abstractNumId w:val="17"/>
  </w:num>
  <w:num w:numId="31">
    <w:abstractNumId w:val="27"/>
  </w:num>
  <w:num w:numId="32">
    <w:abstractNumId w:val="12"/>
  </w:num>
  <w:num w:numId="33">
    <w:abstractNumId w:val="33"/>
  </w:num>
  <w:num w:numId="34">
    <w:abstractNumId w:val="18"/>
  </w:num>
  <w:num w:numId="35">
    <w:abstractNumId w:val="37"/>
  </w:num>
  <w:num w:numId="36">
    <w:abstractNumId w:val="41"/>
  </w:num>
  <w:num w:numId="37">
    <w:abstractNumId w:val="38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7F"/>
    <w:rsid w:val="00022FBE"/>
    <w:rsid w:val="000E3FD4"/>
    <w:rsid w:val="00136C29"/>
    <w:rsid w:val="00156089"/>
    <w:rsid w:val="001603B0"/>
    <w:rsid w:val="00197804"/>
    <w:rsid w:val="001C6B1C"/>
    <w:rsid w:val="00254669"/>
    <w:rsid w:val="00273676"/>
    <w:rsid w:val="002A5262"/>
    <w:rsid w:val="002B1145"/>
    <w:rsid w:val="002C223B"/>
    <w:rsid w:val="002E0557"/>
    <w:rsid w:val="00310F7F"/>
    <w:rsid w:val="0037391C"/>
    <w:rsid w:val="00375E03"/>
    <w:rsid w:val="003A799A"/>
    <w:rsid w:val="00447B77"/>
    <w:rsid w:val="004652A5"/>
    <w:rsid w:val="004C3287"/>
    <w:rsid w:val="004F2AC8"/>
    <w:rsid w:val="004F5983"/>
    <w:rsid w:val="00587F53"/>
    <w:rsid w:val="00592EE1"/>
    <w:rsid w:val="005D40B5"/>
    <w:rsid w:val="00684255"/>
    <w:rsid w:val="006E099E"/>
    <w:rsid w:val="006E73ED"/>
    <w:rsid w:val="00756A6A"/>
    <w:rsid w:val="007E0454"/>
    <w:rsid w:val="00856E0A"/>
    <w:rsid w:val="00865F32"/>
    <w:rsid w:val="00901BDF"/>
    <w:rsid w:val="009A0962"/>
    <w:rsid w:val="009D600D"/>
    <w:rsid w:val="009E4609"/>
    <w:rsid w:val="00A22FB8"/>
    <w:rsid w:val="00A668E9"/>
    <w:rsid w:val="00A9221E"/>
    <w:rsid w:val="00A942B0"/>
    <w:rsid w:val="00B23B74"/>
    <w:rsid w:val="00B30398"/>
    <w:rsid w:val="00B43B9E"/>
    <w:rsid w:val="00C6084E"/>
    <w:rsid w:val="00C9455F"/>
    <w:rsid w:val="00CC1211"/>
    <w:rsid w:val="00CE53D1"/>
    <w:rsid w:val="00D90668"/>
    <w:rsid w:val="00DA6754"/>
    <w:rsid w:val="00E66A9A"/>
    <w:rsid w:val="00EA6307"/>
    <w:rsid w:val="00ED59E7"/>
    <w:rsid w:val="00EE263E"/>
    <w:rsid w:val="00F067F8"/>
    <w:rsid w:val="00F23838"/>
    <w:rsid w:val="00F7028E"/>
    <w:rsid w:val="00FA01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8508A"/>
  <w15:docId w15:val="{A2E7FFCF-80C2-47C5-B849-19C4660C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56089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1560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08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08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6089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156089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5608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6089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156089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6089"/>
    <w:rPr>
      <w:rFonts w:ascii="Arial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15608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6089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608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56089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15608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56089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1560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56089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56089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6089"/>
    <w:rPr>
      <w:rFonts w:ascii="Arial" w:eastAsiaTheme="minorEastAsia" w:hAnsi="Arial" w:cs="Times New Roman"/>
      <w:b/>
      <w:sz w:val="22"/>
    </w:rPr>
  </w:style>
  <w:style w:type="character" w:styleId="CommentReference">
    <w:name w:val="annotation reference"/>
    <w:basedOn w:val="DefaultParagraphFont"/>
    <w:uiPriority w:val="99"/>
    <w:unhideWhenUsed/>
    <w:rsid w:val="00156089"/>
    <w:rPr>
      <w:sz w:val="18"/>
      <w:szCs w:val="18"/>
    </w:rPr>
  </w:style>
  <w:style w:type="paragraph" w:styleId="CommentText">
    <w:name w:val="annotation text"/>
    <w:basedOn w:val="Normal"/>
    <w:link w:val="CommentTextChar"/>
    <w:rsid w:val="001C6B1C"/>
  </w:style>
  <w:style w:type="character" w:customStyle="1" w:styleId="CommentTextChar">
    <w:name w:val="Comment Text Char"/>
    <w:basedOn w:val="DefaultParagraphFont"/>
    <w:link w:val="CommentText"/>
    <w:rsid w:val="001C6B1C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unhideWhenUsed/>
    <w:rsid w:val="0015608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156089"/>
    <w:rPr>
      <w:rFonts w:ascii="Arial" w:eastAsiaTheme="minorEastAsia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156089"/>
    <w:rPr>
      <w:b/>
    </w:rPr>
  </w:style>
  <w:style w:type="character" w:styleId="Hyperlink">
    <w:name w:val="Hyperlink"/>
    <w:basedOn w:val="DefaultParagraphFont"/>
    <w:uiPriority w:val="99"/>
    <w:unhideWhenUsed/>
    <w:rsid w:val="001560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56089"/>
    <w:rPr>
      <w:color w:val="800080" w:themeColor="followedHyperlink"/>
      <w:u w:val="single"/>
    </w:rPr>
  </w:style>
  <w:style w:type="paragraph" w:styleId="Revision">
    <w:name w:val="Revision"/>
    <w:hidden/>
    <w:uiPriority w:val="99"/>
    <w:rsid w:val="00156089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5608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5608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56089"/>
    <w:pPr>
      <w:numPr>
        <w:numId w:val="3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5608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5608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56089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56089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56089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156089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56089"/>
    <w:pPr>
      <w:numPr>
        <w:numId w:val="3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156089"/>
    <w:pPr>
      <w:numPr>
        <w:ilvl w:val="1"/>
        <w:numId w:val="3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56089"/>
    <w:pPr>
      <w:numPr>
        <w:numId w:val="3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56089"/>
    <w:pPr>
      <w:numPr>
        <w:numId w:val="3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5608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5608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56089"/>
    <w:pPr>
      <w:keepNext/>
      <w:keepLines/>
      <w:framePr w:hSpace="141" w:wrap="around" w:vAnchor="text" w:hAnchor="margin" w:y="402"/>
      <w:numPr>
        <w:numId w:val="3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c.org/eng/resources/documents/publication/p0995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odsecurity.nrc-handbooks.org/assets/NFI_ES_cluster_PDM_guidelines_July_2012-copy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Claire HOLMAN</cp:lastModifiedBy>
  <cp:revision>5</cp:revision>
  <cp:lastPrinted>2015-10-13T14:57:00Z</cp:lastPrinted>
  <dcterms:created xsi:type="dcterms:W3CDTF">2016-08-03T13:07:00Z</dcterms:created>
  <dcterms:modified xsi:type="dcterms:W3CDTF">2017-02-23T14:42:00Z</dcterms:modified>
</cp:coreProperties>
</file>