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75D51" w14:textId="78FF3C3F" w:rsidR="00277EA1" w:rsidRPr="009446FA" w:rsidRDefault="00E670E7" w:rsidP="00A5369B">
      <w:pPr>
        <w:pStyle w:val="H1"/>
      </w:pPr>
      <w:bookmarkStart w:id="0" w:name="_GoBack"/>
      <w:bookmarkEnd w:id="0"/>
      <w:r w:rsidRPr="009446FA">
        <w:t>Ro</w:t>
      </w:r>
      <w:r w:rsidR="00DA029B" w:rsidRPr="009446FA">
        <w:t>admap fo</w:t>
      </w:r>
      <w:r w:rsidR="00277EA1" w:rsidRPr="009446FA">
        <w:t>r</w:t>
      </w:r>
      <w:r w:rsidR="009715D5" w:rsidRPr="009446FA">
        <w:t xml:space="preserve"> </w:t>
      </w:r>
      <w:r w:rsidR="00277EA1" w:rsidRPr="009446FA">
        <w:t>market monitoring</w:t>
      </w:r>
      <w:r w:rsidR="00277EA1" w:rsidRPr="009446FA">
        <w:rPr>
          <w:rStyle w:val="FootnoteReference"/>
          <w:szCs w:val="40"/>
        </w:rPr>
        <w:footnoteReference w:id="1"/>
      </w:r>
    </w:p>
    <w:p w14:paraId="1459A3B9" w14:textId="745C52B1" w:rsidR="00720AA4" w:rsidRPr="009446FA" w:rsidRDefault="001C5198" w:rsidP="00720AA4">
      <w:pPr>
        <w:pStyle w:val="H1"/>
        <w:ind w:left="-170"/>
      </w:pPr>
      <w:r w:rsidRPr="0038126B">
        <w:pict w14:anchorId="461B0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20pt">
            <v:imagedata r:id="rId7" o:title="05-Monitoring_Evaluation-rodmap-EN3"/>
          </v:shape>
        </w:pict>
      </w:r>
    </w:p>
    <w:p w14:paraId="12125897" w14:textId="77777777" w:rsidR="0004497F" w:rsidRPr="009446FA" w:rsidRDefault="0004497F" w:rsidP="008B1BD6">
      <w:pPr>
        <w:pStyle w:val="Heading2"/>
        <w:spacing w:before="480"/>
      </w:pPr>
      <w:r w:rsidRPr="009446FA">
        <w:t>INTRODUCTION</w:t>
      </w:r>
    </w:p>
    <w:p w14:paraId="51AB5ED0" w14:textId="6C17E52F" w:rsidR="0004497F" w:rsidRPr="009446FA" w:rsidRDefault="0004497F" w:rsidP="00720AA4">
      <w:r w:rsidRPr="009446FA">
        <w:t>This road</w:t>
      </w:r>
      <w:r w:rsidR="00D24FBA" w:rsidRPr="009446FA">
        <w:t>m</w:t>
      </w:r>
      <w:r w:rsidRPr="009446FA">
        <w:t>ap will guide you through the process of monitoring the market, particularly prices. The focus on prices is justified by the fact that prices are the most relevant market-related indicators to understand whether the project is reaching the expected objectives without causing harm.</w:t>
      </w:r>
      <w:r w:rsidR="00764F35" w:rsidRPr="009446FA">
        <w:t xml:space="preserve"> Price changes impact the ability of beneficiaries to access what they need</w:t>
      </w:r>
      <w:r w:rsidR="00271EAE" w:rsidRPr="009446FA">
        <w:t xml:space="preserve"> in the local market</w:t>
      </w:r>
      <w:r w:rsidR="00764F35" w:rsidRPr="009446FA">
        <w:t xml:space="preserve">. </w:t>
      </w:r>
    </w:p>
    <w:p w14:paraId="0F107407" w14:textId="632FA4C6" w:rsidR="00D66506" w:rsidRPr="009446FA" w:rsidRDefault="00271EAE" w:rsidP="00720AA4">
      <w:r w:rsidRPr="009446FA">
        <w:t>T</w:t>
      </w:r>
      <w:r w:rsidR="00D66506" w:rsidRPr="009446FA">
        <w:t xml:space="preserve">he </w:t>
      </w:r>
      <w:r w:rsidR="00D24FBA" w:rsidRPr="009446FA">
        <w:t>roadmap</w:t>
      </w:r>
      <w:r w:rsidR="00D66506" w:rsidRPr="009446FA">
        <w:t xml:space="preserve"> provides suggestions on which CiE tools are most useful for this step and sub-steps. The tools will need to be adapted to your need and context.  </w:t>
      </w:r>
    </w:p>
    <w:p w14:paraId="053FEAEB" w14:textId="35D12336" w:rsidR="00D66506" w:rsidRPr="009446FA" w:rsidRDefault="00D66506" w:rsidP="00720AA4">
      <w:r w:rsidRPr="009446FA">
        <w:t xml:space="preserve">You should always aim to comply with the minimum standards listed under this step, as this will contribute to the quality of your response. </w:t>
      </w:r>
    </w:p>
    <w:p w14:paraId="0023D998" w14:textId="77777777" w:rsidR="00D66506" w:rsidRPr="009446FA" w:rsidRDefault="00D66506" w:rsidP="00720AA4">
      <w:r w:rsidRPr="009446FA">
        <w:t xml:space="preserve">It is likely that you will need to move </w:t>
      </w:r>
      <w:r w:rsidRPr="009446FA">
        <w:rPr>
          <w:b/>
        </w:rPr>
        <w:t>back and forth</w:t>
      </w:r>
      <w:r w:rsidRPr="009446FA">
        <w:t xml:space="preserve"> between the different sub-steps to guide your decision-making as information and processes are completed and feed into each sub-step.</w:t>
      </w:r>
    </w:p>
    <w:p w14:paraId="7A5F53BD" w14:textId="33409BF2" w:rsidR="00D66506" w:rsidRPr="009446FA" w:rsidRDefault="00D66506" w:rsidP="00720AA4">
      <w:r w:rsidRPr="009446FA">
        <w:t xml:space="preserve">If you need more detailed guidance on market monitoring, consult the reference documents suggested at the end of this </w:t>
      </w:r>
      <w:r w:rsidR="00D24FBA" w:rsidRPr="009446FA">
        <w:t>roadmap</w:t>
      </w:r>
      <w:r w:rsidRPr="009446FA">
        <w:t>.</w:t>
      </w:r>
    </w:p>
    <w:p w14:paraId="7F840EB2" w14:textId="77777777" w:rsidR="0004497F" w:rsidRPr="009446FA" w:rsidRDefault="0004497F" w:rsidP="00D17283">
      <w:pPr>
        <w:pStyle w:val="Heading2"/>
      </w:pPr>
      <w:r w:rsidRPr="009446FA">
        <w:t>MINIMUM STANDARDS</w:t>
      </w:r>
    </w:p>
    <w:p w14:paraId="66589D4F" w14:textId="2222D4A9" w:rsidR="0004497F" w:rsidRPr="009446FA" w:rsidRDefault="0004497F" w:rsidP="00D17283">
      <w:pPr>
        <w:pStyle w:val="Bullet1"/>
      </w:pPr>
      <w:r w:rsidRPr="009446FA">
        <w:t xml:space="preserve">Prices should be monitored throughout the programme cycle </w:t>
      </w:r>
    </w:p>
    <w:p w14:paraId="7097C3F3" w14:textId="759A2226" w:rsidR="0004497F" w:rsidRPr="009446FA" w:rsidRDefault="001F5709" w:rsidP="00D17283">
      <w:pPr>
        <w:pStyle w:val="Bullet1"/>
      </w:pPr>
      <w:r w:rsidRPr="009446FA">
        <w:t>Finance and L</w:t>
      </w:r>
      <w:r w:rsidR="0004497F" w:rsidRPr="009446FA">
        <w:t>ogistics should be involved in price monitoring</w:t>
      </w:r>
    </w:p>
    <w:p w14:paraId="094542D5" w14:textId="77777777" w:rsidR="0004497F" w:rsidRPr="009446FA" w:rsidRDefault="0004497F" w:rsidP="00D17283">
      <w:pPr>
        <w:pStyle w:val="Bullet1"/>
      </w:pPr>
      <w:r w:rsidRPr="009446FA">
        <w:t>Cut-off price levels for programme adjustments should be set</w:t>
      </w:r>
    </w:p>
    <w:p w14:paraId="41219B1A" w14:textId="3AC76539" w:rsidR="0004497F" w:rsidRPr="009446FA" w:rsidRDefault="0004497F" w:rsidP="00D17283">
      <w:pPr>
        <w:pStyle w:val="Bullet1"/>
      </w:pPr>
      <w:r w:rsidRPr="009446FA">
        <w:t>Contingency plans should be in place to allow decisions on programme adjustments due to price changes</w:t>
      </w:r>
    </w:p>
    <w:p w14:paraId="0834BBE7" w14:textId="3B1A23CF" w:rsidR="0004497F" w:rsidRPr="009446FA" w:rsidRDefault="00764F35" w:rsidP="00B40D6A">
      <w:pPr>
        <w:pStyle w:val="Heading2"/>
        <w:keepLines/>
      </w:pPr>
      <w:r w:rsidRPr="009446FA">
        <w:lastRenderedPageBreak/>
        <w:t>SUB-STEPS AND TOOLS</w:t>
      </w:r>
    </w:p>
    <w:p w14:paraId="2E3A14F2" w14:textId="77777777" w:rsidR="00B550A1" w:rsidRPr="009446FA" w:rsidRDefault="00B550A1" w:rsidP="00B40D6A">
      <w:pPr>
        <w:pStyle w:val="Heading3"/>
        <w:keepLines/>
      </w:pPr>
      <w:r w:rsidRPr="009446FA">
        <w:t>Monitor traders</w:t>
      </w:r>
    </w:p>
    <w:p w14:paraId="05425279" w14:textId="09287B31" w:rsidR="00645AF0" w:rsidRPr="009446FA" w:rsidRDefault="00B550A1" w:rsidP="00B40D6A">
      <w:pPr>
        <w:keepNext/>
        <w:keepLines/>
      </w:pPr>
      <w:r w:rsidRPr="009446FA">
        <w:t xml:space="preserve">Depending on the type of project being conducted, the objectives of the intervention and contextual factors that need closer attention, you may decide to monitor </w:t>
      </w:r>
      <w:r w:rsidR="00277EA1" w:rsidRPr="009446FA">
        <w:t>market-related factors</w:t>
      </w:r>
      <w:r w:rsidRPr="009446FA">
        <w:t xml:space="preserve"> such as commodity availability, quantity and quality, and traders. </w:t>
      </w:r>
      <w:r w:rsidR="00DB4D96" w:rsidRPr="009446FA">
        <w:rPr>
          <w:szCs w:val="22"/>
        </w:rPr>
        <w:t xml:space="preserve">Monitoring traders allows you to detect any problem on the supply side, as well as </w:t>
      </w:r>
      <w:r w:rsidR="001F5709" w:rsidRPr="009446FA">
        <w:rPr>
          <w:szCs w:val="22"/>
        </w:rPr>
        <w:t xml:space="preserve">the </w:t>
      </w:r>
      <w:r w:rsidR="00DC5240" w:rsidRPr="009446FA">
        <w:rPr>
          <w:szCs w:val="22"/>
        </w:rPr>
        <w:t xml:space="preserve">potential </w:t>
      </w:r>
      <w:r w:rsidR="00DB4D96" w:rsidRPr="009446FA">
        <w:rPr>
          <w:szCs w:val="22"/>
        </w:rPr>
        <w:t>effects</w:t>
      </w:r>
      <w:r w:rsidR="00DC5240" w:rsidRPr="009446FA">
        <w:rPr>
          <w:szCs w:val="22"/>
        </w:rPr>
        <w:t xml:space="preserve"> of the programme on the market</w:t>
      </w:r>
      <w:r w:rsidR="00DB4D96" w:rsidRPr="009446FA">
        <w:rPr>
          <w:szCs w:val="22"/>
        </w:rPr>
        <w:t>.</w:t>
      </w:r>
      <w:r w:rsidR="00DB4D96" w:rsidRPr="009446FA">
        <w:t xml:space="preserve"> </w:t>
      </w:r>
      <w:r w:rsidR="00DC5240" w:rsidRPr="009446FA">
        <w:t>Among the sub-step tools you will find a</w:t>
      </w:r>
      <w:r w:rsidRPr="009446FA">
        <w:t xml:space="preserve"> trader</w:t>
      </w:r>
      <w:r w:rsidR="00645AF0" w:rsidRPr="009446FA">
        <w:t xml:space="preserve"> questionnaire</w:t>
      </w:r>
      <w:r w:rsidR="00DC5240" w:rsidRPr="009446FA">
        <w:t xml:space="preserve"> covering</w:t>
      </w:r>
      <w:r w:rsidRPr="009446FA">
        <w:t xml:space="preserve"> the issues of supply, demand, prices, and payment through mobiles.</w:t>
      </w:r>
    </w:p>
    <w:p w14:paraId="5C62952B" w14:textId="1F555E75" w:rsidR="00645AF0" w:rsidRPr="009446FA" w:rsidRDefault="00B550A1" w:rsidP="00D17283">
      <w:pPr>
        <w:pStyle w:val="Heading3"/>
      </w:pPr>
      <w:r w:rsidRPr="009446FA">
        <w:t>Monitor</w:t>
      </w:r>
      <w:r w:rsidR="00E20DC6" w:rsidRPr="009446FA">
        <w:t xml:space="preserve"> </w:t>
      </w:r>
      <w:r w:rsidRPr="009446FA">
        <w:t>price data</w:t>
      </w:r>
    </w:p>
    <w:p w14:paraId="1F774496" w14:textId="24961C1D" w:rsidR="00645AF0" w:rsidRPr="009446FA" w:rsidRDefault="00B550A1" w:rsidP="00720AA4">
      <w:r w:rsidRPr="009446FA">
        <w:t>P</w:t>
      </w:r>
      <w:r w:rsidR="001F5709" w:rsidRPr="009446FA">
        <w:t>rice monitoring should involve Logistics and F</w:t>
      </w:r>
      <w:r w:rsidRPr="009446FA">
        <w:t>inance</w:t>
      </w:r>
      <w:r w:rsidR="001F5709" w:rsidRPr="009446FA">
        <w:t xml:space="preserve"> departments</w:t>
      </w:r>
      <w:r w:rsidRPr="009446FA">
        <w:t>, as they usually have price monitoring systems in place. It can be based on secondary and/or primary data.</w:t>
      </w:r>
      <w:r w:rsidR="00A42C87" w:rsidRPr="009446FA">
        <w:t xml:space="preserve"> In the sub-step tools you will find a checklist of issues</w:t>
      </w:r>
      <w:r w:rsidR="00CC7EFC" w:rsidRPr="009446FA">
        <w:t xml:space="preserve"> </w:t>
      </w:r>
      <w:r w:rsidR="00A42C87" w:rsidRPr="009446FA">
        <w:t>to be considered when deciding whether or not to use secondary data.</w:t>
      </w:r>
      <w:r w:rsidR="001F5709" w:rsidRPr="009446FA">
        <w:t xml:space="preserve"> Also, y</w:t>
      </w:r>
      <w:r w:rsidR="00A42C87" w:rsidRPr="009446FA">
        <w:t xml:space="preserve">ou </w:t>
      </w:r>
      <w:r w:rsidR="001F5709" w:rsidRPr="009446FA">
        <w:t xml:space="preserve">there are </w:t>
      </w:r>
      <w:r w:rsidR="00645AF0" w:rsidRPr="009446FA">
        <w:t>c</w:t>
      </w:r>
      <w:r w:rsidRPr="009446FA">
        <w:t xml:space="preserve">hecklists </w:t>
      </w:r>
      <w:r w:rsidR="00A42C87" w:rsidRPr="009446FA">
        <w:t>to help</w:t>
      </w:r>
      <w:r w:rsidRPr="009446FA">
        <w:t xml:space="preserve"> field monitors conduct a regular and consistent primary price data collection, and tool</w:t>
      </w:r>
      <w:r w:rsidR="00A42C87" w:rsidRPr="009446FA">
        <w:t>s</w:t>
      </w:r>
      <w:r w:rsidRPr="009446FA">
        <w:t xml:space="preserve"> </w:t>
      </w:r>
      <w:r w:rsidR="00A42C87" w:rsidRPr="009446FA">
        <w:t xml:space="preserve">that can </w:t>
      </w:r>
      <w:r w:rsidRPr="009446FA">
        <w:t xml:space="preserve">help you </w:t>
      </w:r>
      <w:r w:rsidR="00A42C87" w:rsidRPr="009446FA">
        <w:t xml:space="preserve">organize </w:t>
      </w:r>
      <w:r w:rsidR="00E20DC6" w:rsidRPr="009446FA">
        <w:t xml:space="preserve">price </w:t>
      </w:r>
      <w:r w:rsidR="00B214C7" w:rsidRPr="009446FA">
        <w:t xml:space="preserve">data in </w:t>
      </w:r>
      <w:r w:rsidRPr="009446FA">
        <w:t>Excel spreadsheet</w:t>
      </w:r>
      <w:r w:rsidR="00E20DC6" w:rsidRPr="009446FA">
        <w:t xml:space="preserve">s, identify significant </w:t>
      </w:r>
      <w:r w:rsidR="00015C72" w:rsidRPr="009446FA">
        <w:t>price changes</w:t>
      </w:r>
      <w:r w:rsidR="00E20DC6" w:rsidRPr="009446FA">
        <w:t xml:space="preserve">, and understand </w:t>
      </w:r>
      <w:r w:rsidRPr="009446FA">
        <w:t>whether</w:t>
      </w:r>
      <w:r w:rsidR="001F5709" w:rsidRPr="009446FA">
        <w:t xml:space="preserve"> the</w:t>
      </w:r>
      <w:r w:rsidRPr="009446FA">
        <w:t xml:space="preserve"> price changes identified </w:t>
      </w:r>
      <w:r w:rsidR="001F5709" w:rsidRPr="009446FA">
        <w:t xml:space="preserve">are </w:t>
      </w:r>
      <w:r w:rsidRPr="009446FA">
        <w:t xml:space="preserve">related </w:t>
      </w:r>
      <w:r w:rsidR="001F5709" w:rsidRPr="009446FA">
        <w:t xml:space="preserve">directly </w:t>
      </w:r>
      <w:r w:rsidRPr="009446FA">
        <w:t xml:space="preserve">to your project or </w:t>
      </w:r>
      <w:r w:rsidR="001F5709" w:rsidRPr="009446FA">
        <w:t xml:space="preserve">are </w:t>
      </w:r>
      <w:r w:rsidRPr="009446FA">
        <w:t xml:space="preserve">linked to general issues. </w:t>
      </w:r>
    </w:p>
    <w:p w14:paraId="3D8EF4ED" w14:textId="77777777" w:rsidR="00645AF0" w:rsidRPr="009446FA" w:rsidRDefault="00B550A1" w:rsidP="00D17283">
      <w:pPr>
        <w:pStyle w:val="Heading3"/>
      </w:pPr>
      <w:r w:rsidRPr="009446FA">
        <w:t>Respond to price changes</w:t>
      </w:r>
    </w:p>
    <w:p w14:paraId="3056F80C" w14:textId="50AB57C6" w:rsidR="00645AF0" w:rsidRPr="009446FA" w:rsidRDefault="00271EAE" w:rsidP="00720AA4">
      <w:r w:rsidRPr="009446FA">
        <w:t xml:space="preserve">When implementing cash transfer programmes, price increases can affect the purchasing power of the transfer. </w:t>
      </w:r>
      <w:r w:rsidR="00B550A1" w:rsidRPr="009446FA">
        <w:t xml:space="preserve">The decision on whether </w:t>
      </w:r>
      <w:r w:rsidRPr="009446FA">
        <w:t xml:space="preserve">or not </w:t>
      </w:r>
      <w:r w:rsidR="00B550A1" w:rsidRPr="009446FA">
        <w:t xml:space="preserve">to respond </w:t>
      </w:r>
      <w:r w:rsidRPr="009446FA">
        <w:t xml:space="preserve">to that </w:t>
      </w:r>
      <w:r w:rsidR="00B550A1" w:rsidRPr="009446FA">
        <w:t>will be based on your capacity to adjust the project accordingly. Independently of what has caused price changes, having contingency plans and budget will influence your capacity to respond. In general terms, you can respond to significant price changes by:</w:t>
      </w:r>
    </w:p>
    <w:p w14:paraId="1376B6EF" w14:textId="5EB27DF6" w:rsidR="00645AF0" w:rsidRPr="009446FA" w:rsidRDefault="00B550A1" w:rsidP="00D17283">
      <w:pPr>
        <w:pStyle w:val="Bullet2"/>
      </w:pPr>
      <w:r w:rsidRPr="009446FA">
        <w:t>adjusting the value of the transfer</w:t>
      </w:r>
      <w:r w:rsidR="001F5709" w:rsidRPr="009446FA">
        <w:t xml:space="preserve"> regularly</w:t>
      </w:r>
    </w:p>
    <w:p w14:paraId="4C54A8BE" w14:textId="44E01334" w:rsidR="00645AF0" w:rsidRPr="009446FA" w:rsidRDefault="001F5709" w:rsidP="00D17283">
      <w:pPr>
        <w:pStyle w:val="Bullet2"/>
      </w:pPr>
      <w:r w:rsidRPr="009446FA">
        <w:t>s</w:t>
      </w:r>
      <w:r w:rsidR="00B550A1" w:rsidRPr="009446FA">
        <w:t xml:space="preserve">hifting the transfer modality </w:t>
      </w:r>
    </w:p>
    <w:p w14:paraId="66DA6A85" w14:textId="32F8EAEC" w:rsidR="00645AF0" w:rsidRPr="009446FA" w:rsidRDefault="001F5709" w:rsidP="00D17283">
      <w:pPr>
        <w:pStyle w:val="Bullet2"/>
      </w:pPr>
      <w:r w:rsidRPr="009446FA">
        <w:t>e</w:t>
      </w:r>
      <w:r w:rsidR="00B550A1" w:rsidRPr="009446FA">
        <w:t>stablishing agreements with traders</w:t>
      </w:r>
    </w:p>
    <w:p w14:paraId="643566ED" w14:textId="016D6BD3" w:rsidR="00645AF0" w:rsidRPr="009446FA" w:rsidRDefault="001F5709" w:rsidP="00D17283">
      <w:pPr>
        <w:pStyle w:val="Bullet2"/>
      </w:pPr>
      <w:r w:rsidRPr="009446FA">
        <w:t>s</w:t>
      </w:r>
      <w:r w:rsidR="00B550A1" w:rsidRPr="009446FA">
        <w:t>upporting the market, services and infrastructure</w:t>
      </w:r>
    </w:p>
    <w:p w14:paraId="6FBA808A" w14:textId="7009FE35" w:rsidR="00277EA1" w:rsidRPr="009446FA" w:rsidRDefault="00E20DC6" w:rsidP="00B40D6A">
      <w:pPr>
        <w:spacing w:after="360"/>
      </w:pPr>
      <w:r w:rsidRPr="009446FA">
        <w:t xml:space="preserve">In the sub-step tools you will find brief guidance </w:t>
      </w:r>
      <w:r w:rsidR="00B550A1" w:rsidRPr="009446FA">
        <w:t>on the suitability of each of these responses and how they should be planned and implemented.</w:t>
      </w:r>
    </w:p>
    <w:tbl>
      <w:tblPr>
        <w:tblStyle w:val="TableGray"/>
        <w:tblW w:w="0" w:type="auto"/>
        <w:tblInd w:w="142" w:type="dxa"/>
        <w:tblLook w:val="04A0" w:firstRow="1" w:lastRow="0" w:firstColumn="1" w:lastColumn="0" w:noHBand="0" w:noVBand="1"/>
      </w:tblPr>
      <w:tblGrid>
        <w:gridCol w:w="9639"/>
      </w:tblGrid>
      <w:tr w:rsidR="00D17283" w14:paraId="350139AB" w14:textId="77777777" w:rsidTr="00B40D6A">
        <w:tc>
          <w:tcPr>
            <w:tcW w:w="9639" w:type="dxa"/>
          </w:tcPr>
          <w:p w14:paraId="4AE8CFEB" w14:textId="58432CC4" w:rsidR="00D17283" w:rsidRPr="009446FA" w:rsidRDefault="00D17283" w:rsidP="00D17283">
            <w:pPr>
              <w:pStyle w:val="RefTitre"/>
            </w:pPr>
            <w:r w:rsidRPr="009446FA">
              <w:t>REFERENCE TOOLS</w:t>
            </w:r>
          </w:p>
          <w:p w14:paraId="26FF8E42" w14:textId="3EC8D325" w:rsidR="00D17283" w:rsidRDefault="00D17283" w:rsidP="00D17283">
            <w:pPr>
              <w:pStyle w:val="RefItem1"/>
            </w:pPr>
            <w:r w:rsidRPr="009446FA">
              <w:t>Rapid Assessment for Markets (RAM) International Red Cross and Red Crescent Movement</w:t>
            </w:r>
          </w:p>
        </w:tc>
      </w:tr>
    </w:tbl>
    <w:p w14:paraId="0C28053F" w14:textId="77777777" w:rsidR="00E67A1A" w:rsidRDefault="00E67A1A" w:rsidP="00720AA4"/>
    <w:sectPr w:rsidR="00E67A1A" w:rsidSect="00A5369B">
      <w:headerReference w:type="default" r:id="rId8"/>
      <w:footerReference w:type="default" r:id="rId9"/>
      <w:headerReference w:type="first" r:id="rId10"/>
      <w:footerReference w:type="first" r:id="rId11"/>
      <w:pgSz w:w="11900" w:h="16840"/>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57DB0" w14:textId="77777777" w:rsidR="001C5198" w:rsidRDefault="001C5198">
      <w:r>
        <w:separator/>
      </w:r>
    </w:p>
  </w:endnote>
  <w:endnote w:type="continuationSeparator" w:id="0">
    <w:p w14:paraId="7067FD55" w14:textId="77777777" w:rsidR="001C5198" w:rsidRDefault="001C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w:charset w:val="00"/>
    <w:family w:val="auto"/>
    <w:pitch w:val="variable"/>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2C81" w14:textId="46B25734" w:rsidR="009A41EB" w:rsidRPr="00B45C74" w:rsidRDefault="009A41EB"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38126B">
      <w:rPr>
        <w:b/>
        <w:noProof/>
        <w:color w:val="808080" w:themeColor="background1" w:themeShade="80"/>
        <w:sz w:val="18"/>
        <w:szCs w:val="18"/>
      </w:rPr>
      <w:t>2</w:t>
    </w:r>
    <w:r w:rsidRPr="00B45C74">
      <w:rPr>
        <w:b/>
        <w:color w:val="808080" w:themeColor="background1" w:themeShade="80"/>
        <w:sz w:val="18"/>
        <w:szCs w:val="18"/>
      </w:rPr>
      <w:fldChar w:fldCharType="end"/>
    </w:r>
  </w:p>
  <w:p w14:paraId="29E9F235" w14:textId="148A19E8" w:rsidR="009A41EB" w:rsidRPr="003A3500" w:rsidRDefault="009A41EB" w:rsidP="00ED1B2B">
    <w:pPr>
      <w:pStyle w:val="Footer"/>
    </w:pPr>
    <w:r w:rsidRPr="00107E15">
      <w:rPr>
        <w:b/>
      </w:rPr>
      <w:t xml:space="preserve">Module </w:t>
    </w:r>
    <w:r>
      <w:rPr>
        <w:b/>
      </w:rPr>
      <w:t>5</w:t>
    </w:r>
    <w:r w:rsidRPr="00107E15">
      <w:rPr>
        <w:b/>
      </w:rPr>
      <w:t>.</w:t>
    </w:r>
    <w:r w:rsidRPr="00107E15">
      <w:t xml:space="preserve"> </w:t>
    </w:r>
    <w:r w:rsidR="00CA7B37">
      <w:t xml:space="preserve">Step 3. </w:t>
    </w:r>
    <w:r>
      <w:t>Roadmap for CTP market monitoring</w:t>
    </w:r>
    <w:r w:rsidRPr="00107E15">
      <w:rPr>
        <w:i/>
      </w:rPr>
      <w:fldChar w:fldCharType="begin"/>
    </w:r>
    <w:r w:rsidRPr="00107E15">
      <w:rPr>
        <w:i/>
      </w:rPr>
      <w:instrText xml:space="preserve"> STYLEREF  H1 \t  \* MERGEFORMAT </w:instrText>
    </w:r>
    <w:r w:rsidRPr="00107E15">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8011" w14:textId="11E12583" w:rsidR="00A5369B" w:rsidRPr="00B45C74" w:rsidRDefault="00A5369B"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38126B">
      <w:rPr>
        <w:b/>
        <w:noProof/>
        <w:color w:val="808080" w:themeColor="background1" w:themeShade="80"/>
        <w:sz w:val="18"/>
        <w:szCs w:val="18"/>
      </w:rPr>
      <w:t>1</w:t>
    </w:r>
    <w:r w:rsidRPr="00B45C74">
      <w:rPr>
        <w:b/>
        <w:color w:val="808080" w:themeColor="background1" w:themeShade="80"/>
        <w:sz w:val="18"/>
        <w:szCs w:val="18"/>
      </w:rPr>
      <w:fldChar w:fldCharType="end"/>
    </w:r>
  </w:p>
  <w:p w14:paraId="7B0FFBE4" w14:textId="22494BE8" w:rsidR="00A5369B" w:rsidRPr="003A3500" w:rsidRDefault="00A5369B" w:rsidP="00ED1B2B">
    <w:pPr>
      <w:pStyle w:val="Footer"/>
    </w:pPr>
    <w:r w:rsidRPr="00107E15">
      <w:rPr>
        <w:b/>
      </w:rPr>
      <w:t xml:space="preserve">Module </w:t>
    </w:r>
    <w:r>
      <w:rPr>
        <w:b/>
      </w:rPr>
      <w:t>5</w:t>
    </w:r>
    <w:r w:rsidRPr="00107E15">
      <w:rPr>
        <w:b/>
      </w:rPr>
      <w:t>.</w:t>
    </w:r>
    <w:r w:rsidRPr="00107E15">
      <w:t xml:space="preserve"> Step </w:t>
    </w:r>
    <w:r>
      <w:t>3</w:t>
    </w:r>
    <w:r w:rsidRPr="00107E15">
      <w:t>.</w:t>
    </w:r>
    <w:r>
      <w:t xml:space="preserve"> </w:t>
    </w:r>
    <w:r w:rsidRPr="00107E15">
      <w:rPr>
        <w:i/>
      </w:rPr>
      <w:fldChar w:fldCharType="begin"/>
    </w:r>
    <w:r w:rsidRPr="00107E15">
      <w:rPr>
        <w:i/>
      </w:rPr>
      <w:instrText xml:space="preserve"> STYLEREF  H1 \t  \* MERGEFORMAT </w:instrText>
    </w:r>
    <w:r w:rsidRPr="00107E15">
      <w:rPr>
        <w:i/>
      </w:rPr>
      <w:fldChar w:fldCharType="separate"/>
    </w:r>
    <w:r w:rsidR="0038126B" w:rsidRPr="0038126B">
      <w:rPr>
        <w:bCs/>
        <w:noProof/>
      </w:rPr>
      <w:t>Roadmap for market monitoring</w:t>
    </w:r>
    <w:r w:rsidRPr="00107E15">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6107C" w14:textId="77777777" w:rsidR="001C5198" w:rsidRDefault="001C5198" w:rsidP="00B40D6A">
      <w:pPr>
        <w:spacing w:after="0"/>
      </w:pPr>
      <w:r>
        <w:separator/>
      </w:r>
    </w:p>
  </w:footnote>
  <w:footnote w:type="continuationSeparator" w:id="0">
    <w:p w14:paraId="0124CE01" w14:textId="77777777" w:rsidR="001C5198" w:rsidRDefault="001C5198">
      <w:r>
        <w:continuationSeparator/>
      </w:r>
    </w:p>
  </w:footnote>
  <w:footnote w:id="1">
    <w:p w14:paraId="47FA25AB" w14:textId="319E36A1" w:rsidR="00E20DC6" w:rsidRPr="00B40D6A" w:rsidRDefault="00E20DC6" w:rsidP="00B40D6A">
      <w:pPr>
        <w:pStyle w:val="FootnoteText"/>
      </w:pPr>
      <w:r w:rsidRPr="00B40D6A">
        <w:rPr>
          <w:rStyle w:val="FootnoteReference"/>
        </w:rPr>
        <w:footnoteRef/>
      </w:r>
      <w:r w:rsidRPr="00B40D6A">
        <w:t xml:space="preserve"> This roadmap is based on the Price monitoring chapter of the Market Assessment Guidance (MAG).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A0A86" w14:textId="77777777" w:rsidR="00A5369B" w:rsidRPr="00074036" w:rsidRDefault="00A5369B"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40BF" w14:textId="77777777" w:rsidR="00A5369B" w:rsidRDefault="00A5369B" w:rsidP="00050617">
    <w:pPr>
      <w:pStyle w:val="Header1"/>
    </w:pPr>
    <w:r>
      <w:rPr>
        <w:noProof/>
        <w:lang w:val="en-GB" w:eastAsia="en-GB"/>
      </w:rPr>
      <w:drawing>
        <wp:anchor distT="0" distB="0" distL="114300" distR="114300" simplePos="0" relativeHeight="251660288" behindDoc="0" locked="0" layoutInCell="1" allowOverlap="1" wp14:anchorId="09FD8E86" wp14:editId="5F5168B8">
          <wp:simplePos x="0" y="0"/>
          <wp:positionH relativeFrom="page">
            <wp:posOffset>1080135</wp:posOffset>
          </wp:positionH>
          <wp:positionV relativeFrom="page">
            <wp:posOffset>377825</wp:posOffset>
          </wp:positionV>
          <wp:extent cx="633730" cy="71951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4A3F9F00" w14:textId="77777777" w:rsidR="00A5369B" w:rsidRDefault="00A5369B" w:rsidP="00050617">
    <w:pPr>
      <w:pStyle w:val="Header1"/>
    </w:pPr>
  </w:p>
  <w:p w14:paraId="05C3A503" w14:textId="77777777" w:rsidR="00A5369B" w:rsidRDefault="00A5369B" w:rsidP="00CB38F7">
    <w:pPr>
      <w:pStyle w:val="Header"/>
      <w:rPr>
        <w:color w:val="DC281E"/>
        <w:sz w:val="24"/>
        <w:szCs w:val="24"/>
      </w:rPr>
    </w:pPr>
    <w:r>
      <w:rPr>
        <w:noProof/>
        <w:lang w:val="en-GB" w:eastAsia="en-GB"/>
      </w:rPr>
      <w:drawing>
        <wp:anchor distT="0" distB="0" distL="114300" distR="114300" simplePos="0" relativeHeight="251659264" behindDoc="0" locked="0" layoutInCell="1" allowOverlap="1" wp14:anchorId="512B43F8" wp14:editId="03DB54DE">
          <wp:simplePos x="0" y="0"/>
          <wp:positionH relativeFrom="page">
            <wp:posOffset>3366135</wp:posOffset>
          </wp:positionH>
          <wp:positionV relativeFrom="page">
            <wp:posOffset>784225</wp:posOffset>
          </wp:positionV>
          <wp:extent cx="3200400" cy="29986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3D9E07AE" w14:textId="77777777" w:rsidR="00A5369B" w:rsidRDefault="00A5369B" w:rsidP="00C16D71">
    <w:pPr>
      <w:pStyle w:val="Header"/>
      <w:spacing w:line="240" w:lineRule="auto"/>
      <w:rPr>
        <w:b/>
        <w:color w:val="DC281E"/>
        <w:sz w:val="24"/>
        <w:szCs w:val="24"/>
      </w:rPr>
    </w:pPr>
  </w:p>
  <w:p w14:paraId="729982C3" w14:textId="77777777" w:rsidR="00A5369B" w:rsidRDefault="00A5369B" w:rsidP="00C16D71">
    <w:pPr>
      <w:pStyle w:val="Header"/>
      <w:spacing w:line="240" w:lineRule="auto"/>
      <w:rPr>
        <w:b/>
        <w:color w:val="DC281E"/>
        <w:sz w:val="24"/>
        <w:szCs w:val="24"/>
      </w:rPr>
    </w:pPr>
  </w:p>
  <w:p w14:paraId="063A69E8" w14:textId="77777777" w:rsidR="00A5369B" w:rsidRPr="00A5369B" w:rsidRDefault="00A5369B" w:rsidP="00050617">
    <w:pPr>
      <w:pStyle w:val="Header1"/>
      <w:rPr>
        <w:color w:val="DC281E"/>
      </w:rPr>
    </w:pPr>
    <w:r w:rsidRPr="00A5369B">
      <w:rPr>
        <w:color w:val="DC281E"/>
      </w:rPr>
      <w:t>Cash in Emergencies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22894"/>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8DD21A0E"/>
    <w:lvl w:ilvl="0">
      <w:start w:val="1"/>
      <w:numFmt w:val="decimal"/>
      <w:lvlText w:val="%1."/>
      <w:lvlJc w:val="left"/>
      <w:pPr>
        <w:tabs>
          <w:tab w:val="num" w:pos="643"/>
        </w:tabs>
        <w:ind w:left="643" w:hanging="360"/>
      </w:pPr>
    </w:lvl>
  </w:abstractNum>
  <w:abstractNum w:abstractNumId="2"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1477B"/>
    <w:multiLevelType w:val="hybridMultilevel"/>
    <w:tmpl w:val="7D688CB0"/>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4705B4"/>
    <w:multiLevelType w:val="hybridMultilevel"/>
    <w:tmpl w:val="FD6251F6"/>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ED30E95"/>
    <w:multiLevelType w:val="hybridMultilevel"/>
    <w:tmpl w:val="5A862DD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45898"/>
    <w:multiLevelType w:val="hybridMultilevel"/>
    <w:tmpl w:val="EEC0CA5A"/>
    <w:lvl w:ilvl="0" w:tplc="E54290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5"/>
  </w:num>
  <w:num w:numId="5">
    <w:abstractNumId w:val="2"/>
  </w:num>
  <w:num w:numId="6">
    <w:abstractNumId w:val="6"/>
  </w:num>
  <w:num w:numId="7">
    <w:abstractNumId w:val="3"/>
  </w:num>
  <w:num w:numId="8">
    <w:abstractNumId w:val="7"/>
  </w:num>
  <w:num w:numId="9">
    <w:abstractNumId w:val="10"/>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A1"/>
    <w:rsid w:val="00015C72"/>
    <w:rsid w:val="0004497F"/>
    <w:rsid w:val="001229FC"/>
    <w:rsid w:val="001C5198"/>
    <w:rsid w:val="001E6E63"/>
    <w:rsid w:val="001F5709"/>
    <w:rsid w:val="00271EAE"/>
    <w:rsid w:val="00277EA1"/>
    <w:rsid w:val="002C723F"/>
    <w:rsid w:val="00336821"/>
    <w:rsid w:val="00337B3C"/>
    <w:rsid w:val="00370E04"/>
    <w:rsid w:val="0038126B"/>
    <w:rsid w:val="005116D4"/>
    <w:rsid w:val="00517870"/>
    <w:rsid w:val="00541DD2"/>
    <w:rsid w:val="00582255"/>
    <w:rsid w:val="005F19D7"/>
    <w:rsid w:val="00645AF0"/>
    <w:rsid w:val="006628DF"/>
    <w:rsid w:val="00695046"/>
    <w:rsid w:val="006B7885"/>
    <w:rsid w:val="00720AA4"/>
    <w:rsid w:val="00764F35"/>
    <w:rsid w:val="0078750D"/>
    <w:rsid w:val="00874023"/>
    <w:rsid w:val="008A5CD3"/>
    <w:rsid w:val="008B1BD6"/>
    <w:rsid w:val="008D60E7"/>
    <w:rsid w:val="009446FA"/>
    <w:rsid w:val="009715D5"/>
    <w:rsid w:val="009A41EB"/>
    <w:rsid w:val="009C0512"/>
    <w:rsid w:val="009C1A10"/>
    <w:rsid w:val="00A42C87"/>
    <w:rsid w:val="00A5369B"/>
    <w:rsid w:val="00B214C7"/>
    <w:rsid w:val="00B243FB"/>
    <w:rsid w:val="00B40D6A"/>
    <w:rsid w:val="00B550A1"/>
    <w:rsid w:val="00BB699E"/>
    <w:rsid w:val="00BF1E7C"/>
    <w:rsid w:val="00CA7B37"/>
    <w:rsid w:val="00CC7EFC"/>
    <w:rsid w:val="00D17283"/>
    <w:rsid w:val="00D24FBA"/>
    <w:rsid w:val="00D66506"/>
    <w:rsid w:val="00DA029B"/>
    <w:rsid w:val="00DB4D96"/>
    <w:rsid w:val="00DC5240"/>
    <w:rsid w:val="00DE3459"/>
    <w:rsid w:val="00E20DC6"/>
    <w:rsid w:val="00E670E7"/>
    <w:rsid w:val="00E67A1A"/>
    <w:rsid w:val="00F2738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EC44D"/>
  <w15:docId w15:val="{F1D49900-5CE1-479D-BBD2-7D706CDA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2">
    <w:lsdException w:name="Normal" w:qFormat="1"/>
    <w:lsdException w:name="heading 1" w:uiPriority="9"/>
    <w:lsdException w:name="heading 2" w:uiPriority="9" w:qFormat="1"/>
    <w:lsdException w:name="heading 3" w:uiPriority="9" w:qFormat="1"/>
    <w:lsdException w:name="heading 9" w:unhideWhenUsed="1"/>
    <w:lsdException w:name="index 1" w:semiHidden="1"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670E7"/>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E670E7"/>
  </w:style>
  <w:style w:type="paragraph" w:styleId="Heading2">
    <w:name w:val="heading 2"/>
    <w:basedOn w:val="Normal"/>
    <w:next w:val="Normal"/>
    <w:link w:val="Heading2Char"/>
    <w:uiPriority w:val="9"/>
    <w:unhideWhenUsed/>
    <w:qFormat/>
    <w:rsid w:val="00E670E7"/>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670E7"/>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70E7"/>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E670E7"/>
    <w:rPr>
      <w:rFonts w:ascii="Arial" w:hAnsi="Arial"/>
      <w:sz w:val="20"/>
      <w:szCs w:val="22"/>
    </w:rPr>
  </w:style>
  <w:style w:type="paragraph" w:styleId="FootnoteText">
    <w:name w:val="footnote text"/>
    <w:basedOn w:val="Normal"/>
    <w:link w:val="FootnoteTextChar"/>
    <w:uiPriority w:val="99"/>
    <w:unhideWhenUsed/>
    <w:rsid w:val="00E670E7"/>
    <w:pPr>
      <w:spacing w:after="0"/>
    </w:pPr>
    <w:rPr>
      <w:sz w:val="16"/>
      <w:szCs w:val="22"/>
    </w:rPr>
  </w:style>
  <w:style w:type="character" w:customStyle="1" w:styleId="FootnoteTextChar">
    <w:name w:val="Footnote Text Char"/>
    <w:basedOn w:val="DefaultParagraphFont"/>
    <w:link w:val="FootnoteText"/>
    <w:uiPriority w:val="99"/>
    <w:rsid w:val="00E670E7"/>
    <w:rPr>
      <w:rFonts w:ascii="Arial" w:eastAsiaTheme="minorEastAsia" w:hAnsi="Arial" w:cs="Times New Roman"/>
      <w:sz w:val="16"/>
      <w:szCs w:val="22"/>
    </w:rPr>
  </w:style>
  <w:style w:type="character" w:styleId="FootnoteReference">
    <w:name w:val="footnote reference"/>
    <w:basedOn w:val="DefaultParagraphFont"/>
    <w:uiPriority w:val="99"/>
    <w:unhideWhenUsed/>
    <w:rsid w:val="00E670E7"/>
    <w:rPr>
      <w:vertAlign w:val="superscript"/>
    </w:rPr>
  </w:style>
  <w:style w:type="character" w:customStyle="1" w:styleId="TestonotaapidipaginaCarattere1">
    <w:name w:val="Testo nota a piè di pagina Carattere1"/>
    <w:aliases w:val="Testo nota a piè di pagina Carattere Carattere"/>
    <w:basedOn w:val="DefaultParagraphFont"/>
    <w:uiPriority w:val="99"/>
    <w:rsid w:val="00F40040"/>
    <w:rPr>
      <w:rFonts w:ascii="Calibri" w:eastAsia="Times New Roman" w:hAnsi="Calibri" w:cs="Times New Roman"/>
      <w:sz w:val="18"/>
      <w:szCs w:val="18"/>
      <w:lang w:val="en-GB" w:eastAsia="en-US"/>
    </w:rPr>
  </w:style>
  <w:style w:type="character" w:styleId="CommentReference">
    <w:name w:val="annotation reference"/>
    <w:basedOn w:val="DefaultParagraphFont"/>
    <w:uiPriority w:val="99"/>
    <w:semiHidden/>
    <w:unhideWhenUsed/>
    <w:rsid w:val="00E670E7"/>
    <w:rPr>
      <w:sz w:val="18"/>
      <w:szCs w:val="18"/>
    </w:rPr>
  </w:style>
  <w:style w:type="paragraph" w:styleId="CommentText">
    <w:name w:val="annotation text"/>
    <w:basedOn w:val="Normal"/>
    <w:link w:val="CommentTextChar"/>
    <w:semiHidden/>
    <w:unhideWhenUsed/>
    <w:rsid w:val="009C1A10"/>
  </w:style>
  <w:style w:type="character" w:customStyle="1" w:styleId="CommentTextChar">
    <w:name w:val="Comment Text Char"/>
    <w:basedOn w:val="DefaultParagraphFont"/>
    <w:link w:val="CommentText"/>
    <w:semiHidden/>
    <w:rsid w:val="009C1A10"/>
    <w:rPr>
      <w:rFonts w:asciiTheme="majorHAnsi" w:hAnsiTheme="majorHAnsi"/>
      <w:sz w:val="20"/>
      <w:szCs w:val="20"/>
      <w:lang w:val="en-GB"/>
    </w:rPr>
  </w:style>
  <w:style w:type="paragraph" w:styleId="CommentSubject">
    <w:name w:val="annotation subject"/>
    <w:basedOn w:val="Normal"/>
    <w:link w:val="CommentSubjectChar"/>
    <w:uiPriority w:val="99"/>
    <w:semiHidden/>
    <w:unhideWhenUsed/>
    <w:rsid w:val="00E670E7"/>
    <w:rPr>
      <w:b/>
      <w:bCs/>
    </w:rPr>
  </w:style>
  <w:style w:type="character" w:customStyle="1" w:styleId="CommentSubjectChar">
    <w:name w:val="Comment Subject Char"/>
    <w:basedOn w:val="DefaultParagraphFont"/>
    <w:link w:val="CommentSubject"/>
    <w:uiPriority w:val="99"/>
    <w:semiHidden/>
    <w:rsid w:val="00E670E7"/>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E670E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0E7"/>
    <w:rPr>
      <w:rFonts w:ascii="Lucida Grande" w:eastAsiaTheme="minorEastAsia" w:hAnsi="Lucida Grande" w:cs="Lucida Grande"/>
      <w:sz w:val="18"/>
      <w:szCs w:val="18"/>
    </w:rPr>
  </w:style>
  <w:style w:type="paragraph" w:styleId="Header">
    <w:name w:val="header"/>
    <w:basedOn w:val="Normal"/>
    <w:link w:val="HeaderChar"/>
    <w:uiPriority w:val="99"/>
    <w:unhideWhenUsed/>
    <w:rsid w:val="00E670E7"/>
    <w:pPr>
      <w:spacing w:after="0" w:line="288" w:lineRule="auto"/>
      <w:jc w:val="left"/>
    </w:pPr>
    <w:rPr>
      <w:sz w:val="16"/>
    </w:rPr>
  </w:style>
  <w:style w:type="character" w:customStyle="1" w:styleId="HeaderChar">
    <w:name w:val="Header Char"/>
    <w:basedOn w:val="DefaultParagraphFont"/>
    <w:link w:val="Header"/>
    <w:uiPriority w:val="99"/>
    <w:rsid w:val="00E670E7"/>
    <w:rPr>
      <w:rFonts w:ascii="Arial" w:eastAsiaTheme="minorEastAsia" w:hAnsi="Arial" w:cs="Times New Roman"/>
      <w:sz w:val="16"/>
      <w:szCs w:val="20"/>
    </w:rPr>
  </w:style>
  <w:style w:type="paragraph" w:styleId="Footer">
    <w:name w:val="footer"/>
    <w:basedOn w:val="Normal"/>
    <w:link w:val="FooterChar"/>
    <w:uiPriority w:val="99"/>
    <w:unhideWhenUsed/>
    <w:rsid w:val="00E670E7"/>
    <w:pPr>
      <w:spacing w:after="0"/>
      <w:jc w:val="left"/>
    </w:pPr>
    <w:rPr>
      <w:sz w:val="16"/>
      <w:szCs w:val="18"/>
    </w:rPr>
  </w:style>
  <w:style w:type="character" w:customStyle="1" w:styleId="FooterChar">
    <w:name w:val="Footer Char"/>
    <w:basedOn w:val="DefaultParagraphFont"/>
    <w:link w:val="Footer"/>
    <w:uiPriority w:val="99"/>
    <w:rsid w:val="00E670E7"/>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E670E7"/>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E670E7"/>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E670E7"/>
    <w:rPr>
      <w:rFonts w:ascii="Arial" w:eastAsiaTheme="minorEastAsia" w:hAnsi="Arial" w:cs="Times New Roman"/>
      <w:b/>
      <w:sz w:val="22"/>
    </w:rPr>
  </w:style>
  <w:style w:type="table" w:styleId="TableGrid">
    <w:name w:val="Table Grid"/>
    <w:basedOn w:val="TableNormal"/>
    <w:uiPriority w:val="59"/>
    <w:rsid w:val="00E670E7"/>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0E7"/>
    <w:pPr>
      <w:widowControl w:val="0"/>
      <w:autoSpaceDE w:val="0"/>
      <w:autoSpaceDN w:val="0"/>
      <w:adjustRightInd w:val="0"/>
    </w:pPr>
    <w:rPr>
      <w:rFonts w:ascii="Arial" w:eastAsiaTheme="minorEastAsia" w:hAnsi="Arial" w:cs="Arial"/>
      <w:color w:val="000000"/>
    </w:rPr>
  </w:style>
  <w:style w:type="character" w:styleId="PageNumber">
    <w:name w:val="page number"/>
    <w:basedOn w:val="DefaultParagraphFont"/>
    <w:uiPriority w:val="99"/>
    <w:unhideWhenUsed/>
    <w:rsid w:val="00E670E7"/>
    <w:rPr>
      <w:b/>
    </w:rPr>
  </w:style>
  <w:style w:type="character" w:styleId="Hyperlink">
    <w:name w:val="Hyperlink"/>
    <w:basedOn w:val="DefaultParagraphFont"/>
    <w:uiPriority w:val="99"/>
    <w:unhideWhenUsed/>
    <w:rsid w:val="00E670E7"/>
    <w:rPr>
      <w:color w:val="0000FF" w:themeColor="hyperlink"/>
      <w:u w:val="single"/>
    </w:rPr>
  </w:style>
  <w:style w:type="character" w:styleId="FollowedHyperlink">
    <w:name w:val="FollowedHyperlink"/>
    <w:basedOn w:val="DefaultParagraphFont"/>
    <w:uiPriority w:val="99"/>
    <w:unhideWhenUsed/>
    <w:rsid w:val="00E670E7"/>
    <w:rPr>
      <w:color w:val="800080" w:themeColor="followedHyperlink"/>
      <w:u w:val="single"/>
    </w:rPr>
  </w:style>
  <w:style w:type="paragraph" w:styleId="Revision">
    <w:name w:val="Revision"/>
    <w:hidden/>
    <w:uiPriority w:val="99"/>
    <w:semiHidden/>
    <w:rsid w:val="00E670E7"/>
    <w:rPr>
      <w:rFonts w:ascii="Arial" w:eastAsiaTheme="minorEastAsia" w:hAnsi="Arial" w:cs="Arial"/>
      <w:sz w:val="21"/>
      <w:szCs w:val="21"/>
    </w:rPr>
  </w:style>
  <w:style w:type="paragraph" w:customStyle="1" w:styleId="BasicParagraph">
    <w:name w:val="[Basic Paragraph]"/>
    <w:basedOn w:val="Normal"/>
    <w:uiPriority w:val="99"/>
    <w:rsid w:val="00E670E7"/>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670E7"/>
    <w:pPr>
      <w:spacing w:before="360" w:after="240"/>
      <w:jc w:val="left"/>
      <w:outlineLvl w:val="0"/>
    </w:pPr>
    <w:rPr>
      <w:b/>
      <w:sz w:val="40"/>
      <w:szCs w:val="52"/>
    </w:rPr>
  </w:style>
  <w:style w:type="paragraph" w:customStyle="1" w:styleId="Bullet1">
    <w:name w:val="Bullet 1"/>
    <w:basedOn w:val="Normal"/>
    <w:rsid w:val="00E670E7"/>
    <w:pPr>
      <w:numPr>
        <w:numId w:val="7"/>
      </w:numPr>
      <w:spacing w:before="60"/>
    </w:pPr>
    <w:rPr>
      <w:rFonts w:eastAsia="Times New Roman"/>
      <w:color w:val="000000"/>
    </w:rPr>
  </w:style>
  <w:style w:type="paragraph" w:customStyle="1" w:styleId="RefItem1">
    <w:name w:val="Ref Item 1"/>
    <w:basedOn w:val="Normal"/>
    <w:rsid w:val="00E670E7"/>
    <w:pPr>
      <w:jc w:val="left"/>
    </w:pPr>
    <w:rPr>
      <w:color w:val="000000"/>
      <w:szCs w:val="24"/>
      <w:lang w:eastAsia="it-IT"/>
    </w:rPr>
  </w:style>
  <w:style w:type="paragraph" w:customStyle="1" w:styleId="RefTitre">
    <w:name w:val="Ref Titre"/>
    <w:basedOn w:val="Normal"/>
    <w:rsid w:val="00E670E7"/>
    <w:pPr>
      <w:jc w:val="left"/>
    </w:pPr>
    <w:rPr>
      <w:rFonts w:eastAsia="Times New Roman"/>
      <w:b/>
      <w:bCs/>
      <w:sz w:val="26"/>
      <w:szCs w:val="26"/>
    </w:rPr>
  </w:style>
  <w:style w:type="paragraph" w:customStyle="1" w:styleId="Header1">
    <w:name w:val="Header 1"/>
    <w:basedOn w:val="Header"/>
    <w:rsid w:val="00E670E7"/>
    <w:rPr>
      <w:b/>
      <w:sz w:val="24"/>
      <w:szCs w:val="24"/>
    </w:rPr>
  </w:style>
  <w:style w:type="character" w:customStyle="1" w:styleId="Pantone485">
    <w:name w:val="Pantone 485"/>
    <w:basedOn w:val="DefaultParagraphFont"/>
    <w:uiPriority w:val="1"/>
    <w:qFormat/>
    <w:rsid w:val="00E670E7"/>
    <w:rPr>
      <w:rFonts w:cs="Caecilia-Light"/>
      <w:color w:val="DC281E"/>
      <w:szCs w:val="16"/>
    </w:rPr>
  </w:style>
  <w:style w:type="character" w:customStyle="1" w:styleId="H1Char">
    <w:name w:val="H1 Char"/>
    <w:basedOn w:val="DefaultParagraphFont"/>
    <w:link w:val="H1"/>
    <w:rsid w:val="00E670E7"/>
    <w:rPr>
      <w:rFonts w:ascii="Arial" w:eastAsiaTheme="minorEastAsia" w:hAnsi="Arial" w:cs="Times New Roman"/>
      <w:b/>
      <w:sz w:val="40"/>
      <w:szCs w:val="52"/>
    </w:rPr>
  </w:style>
  <w:style w:type="table" w:customStyle="1" w:styleId="TableGray">
    <w:name w:val="Table Gray"/>
    <w:basedOn w:val="TableNormal"/>
    <w:uiPriority w:val="99"/>
    <w:rsid w:val="00E670E7"/>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670E7"/>
    <w:pPr>
      <w:numPr>
        <w:numId w:val="8"/>
      </w:numPr>
      <w:spacing w:before="120" w:after="120"/>
      <w:contextualSpacing w:val="0"/>
    </w:pPr>
    <w:rPr>
      <w:rFonts w:eastAsia="Cambria" w:cs="Arial"/>
    </w:rPr>
  </w:style>
  <w:style w:type="paragraph" w:customStyle="1" w:styleId="ListNumber1">
    <w:name w:val="List Number 1"/>
    <w:basedOn w:val="Normal"/>
    <w:rsid w:val="00E670E7"/>
    <w:pPr>
      <w:numPr>
        <w:ilvl w:val="1"/>
        <w:numId w:val="5"/>
      </w:numPr>
      <w:contextualSpacing/>
    </w:pPr>
    <w:rPr>
      <w:rFonts w:eastAsiaTheme="minorHAnsi" w:cstheme="minorHAnsi"/>
      <w:szCs w:val="22"/>
    </w:rPr>
  </w:style>
  <w:style w:type="paragraph" w:customStyle="1" w:styleId="NormalNo">
    <w:name w:val="Normal + No"/>
    <w:basedOn w:val="Normal"/>
    <w:qFormat/>
    <w:rsid w:val="00E670E7"/>
    <w:pPr>
      <w:numPr>
        <w:numId w:val="6"/>
      </w:numPr>
    </w:pPr>
    <w:rPr>
      <w:rFonts w:eastAsia="MS Mincho"/>
      <w:b/>
      <w:sz w:val="22"/>
    </w:rPr>
  </w:style>
  <w:style w:type="paragraph" w:customStyle="1" w:styleId="Bullet3">
    <w:name w:val="Bullet 3"/>
    <w:basedOn w:val="ListParagraph"/>
    <w:qFormat/>
    <w:rsid w:val="00E670E7"/>
    <w:pPr>
      <w:numPr>
        <w:numId w:val="9"/>
      </w:numPr>
      <w:spacing w:before="120" w:after="120"/>
      <w:ind w:right="425"/>
    </w:pPr>
    <w:rPr>
      <w:rFonts w:cs="Arial"/>
      <w:i/>
      <w:iCs/>
    </w:rPr>
  </w:style>
  <w:style w:type="paragraph" w:customStyle="1" w:styleId="Indent">
    <w:name w:val="Indent"/>
    <w:basedOn w:val="Normal"/>
    <w:qFormat/>
    <w:rsid w:val="00E670E7"/>
    <w:pPr>
      <w:ind w:left="567"/>
    </w:pPr>
    <w:rPr>
      <w:rFonts w:cs="Arial"/>
      <w:b/>
    </w:rPr>
  </w:style>
  <w:style w:type="paragraph" w:customStyle="1" w:styleId="TitreTableau">
    <w:name w:val="Titre Tableau"/>
    <w:basedOn w:val="Normal"/>
    <w:qFormat/>
    <w:rsid w:val="00E670E7"/>
    <w:pPr>
      <w:spacing w:before="120"/>
      <w:jc w:val="center"/>
    </w:pPr>
    <w:rPr>
      <w:rFonts w:cs="Arial"/>
      <w:b/>
      <w:bCs/>
      <w:color w:val="FFFFFF" w:themeColor="background1"/>
      <w:lang w:val="en-CA"/>
    </w:rPr>
  </w:style>
  <w:style w:type="paragraph" w:customStyle="1" w:styleId="BulletTableau">
    <w:name w:val="Bullet Tableau"/>
    <w:basedOn w:val="Bullet2"/>
    <w:qFormat/>
    <w:rsid w:val="00E670E7"/>
    <w:pPr>
      <w:keepNext/>
      <w:keepLines/>
      <w:framePr w:hSpace="141" w:wrap="around" w:vAnchor="text" w:hAnchor="margin" w:y="402"/>
      <w:numPr>
        <w:numId w:val="1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49378">
      <w:bodyDiv w:val="1"/>
      <w:marLeft w:val="0"/>
      <w:marRight w:val="0"/>
      <w:marTop w:val="0"/>
      <w:marBottom w:val="0"/>
      <w:divBdr>
        <w:top w:val="none" w:sz="0" w:space="0" w:color="auto"/>
        <w:left w:val="none" w:sz="0" w:space="0" w:color="auto"/>
        <w:bottom w:val="none" w:sz="0" w:space="0" w:color="auto"/>
        <w:right w:val="none" w:sz="0" w:space="0" w:color="auto"/>
      </w:divBdr>
    </w:div>
    <w:div w:id="1720787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7</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Claire HOLMAN</cp:lastModifiedBy>
  <cp:revision>5</cp:revision>
  <cp:lastPrinted>2015-10-08T09:00:00Z</cp:lastPrinted>
  <dcterms:created xsi:type="dcterms:W3CDTF">2016-08-03T14:11:00Z</dcterms:created>
  <dcterms:modified xsi:type="dcterms:W3CDTF">2017-02-23T14:44:00Z</dcterms:modified>
</cp:coreProperties>
</file>