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BD" w:rsidRPr="009C3D35" w:rsidRDefault="00EB6BC3" w:rsidP="00001BB0">
      <w:pPr>
        <w:pStyle w:val="H1"/>
        <w:rPr>
          <w:lang w:val="fr-FR"/>
        </w:rPr>
      </w:pPr>
      <w:r w:rsidRPr="009C3D35">
        <w:rPr>
          <w:lang w:val="fr-FR"/>
        </w:rPr>
        <w:t>Feuille de route pour l’évaluation de la faisabilité des transferts monétaires et la sélection des modalités et des mécanismes de distribution</w:t>
      </w:r>
    </w:p>
    <w:p w:rsidR="00964484" w:rsidRPr="009C3D35" w:rsidRDefault="00894DF7" w:rsidP="00964484">
      <w:pPr>
        <w:spacing w:before="240" w:after="240"/>
        <w:ind w:left="-170"/>
        <w:rPr>
          <w:b/>
          <w:szCs w:val="22"/>
          <w:lang w:val="fr-FR"/>
        </w:rPr>
      </w:pPr>
      <w:r>
        <w:rPr>
          <w:b/>
          <w:szCs w:val="22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55pt;height:149.45pt">
            <v:imagedata r:id="rId8" o:title="03B-Response Analysis-rodmap-EN"/>
          </v:shape>
        </w:pict>
      </w:r>
    </w:p>
    <w:p w:rsidR="007D1A58" w:rsidRPr="009C3D35" w:rsidRDefault="007D1A58" w:rsidP="00964484">
      <w:pPr>
        <w:pStyle w:val="Heading2"/>
        <w:rPr>
          <w:lang w:val="fr-FR"/>
        </w:rPr>
      </w:pPr>
      <w:r w:rsidRPr="009C3D35">
        <w:rPr>
          <w:lang w:val="fr-FR"/>
        </w:rPr>
        <w:t>INTRODUCTION</w:t>
      </w:r>
    </w:p>
    <w:p w:rsidR="00056D1C" w:rsidRPr="009C3D35" w:rsidRDefault="00517E88" w:rsidP="00964484">
      <w:pPr>
        <w:rPr>
          <w:lang w:val="fr-FR"/>
        </w:rPr>
      </w:pPr>
      <w:r w:rsidRPr="009C3D35">
        <w:rPr>
          <w:lang w:val="fr-FR"/>
        </w:rPr>
        <w:t>Cette</w:t>
      </w:r>
      <w:r w:rsidR="00056D1C" w:rsidRPr="009C3D35">
        <w:rPr>
          <w:lang w:val="fr-FR"/>
        </w:rPr>
        <w:t xml:space="preserve"> feuille de route vous guidera tout au long du processus consistant à évaluer la faisabilité des transferts monétaires et à sélectionner les modalités et les mécanismes de transfert les plus appropriés pour atteindre les objectifs de l’intervention d’urgence.</w:t>
      </w:r>
    </w:p>
    <w:p w:rsidR="00056D1C" w:rsidRPr="009C3D35" w:rsidRDefault="005377B7" w:rsidP="005377B7">
      <w:pPr>
        <w:rPr>
          <w:lang w:val="fr-FR"/>
        </w:rPr>
      </w:pPr>
      <w:r w:rsidRPr="009C3D35">
        <w:rPr>
          <w:lang w:val="fr-FR"/>
        </w:rPr>
        <w:t>Elle</w:t>
      </w:r>
      <w:r w:rsidR="00056D1C" w:rsidRPr="009C3D35">
        <w:rPr>
          <w:lang w:val="fr-FR"/>
        </w:rPr>
        <w:t xml:space="preserve"> vous indiquera également quel</w:t>
      </w:r>
      <w:r w:rsidR="00894DF7">
        <w:rPr>
          <w:lang w:val="fr-FR"/>
        </w:rPr>
        <w:t>le</w:t>
      </w:r>
      <w:bookmarkStart w:id="0" w:name="_GoBack"/>
      <w:bookmarkEnd w:id="0"/>
      <w:r w:rsidR="00056D1C" w:rsidRPr="009C3D35">
        <w:rPr>
          <w:lang w:val="fr-FR"/>
        </w:rPr>
        <w:t xml:space="preserve">s sont les </w:t>
      </w:r>
      <w:r w:rsidRPr="009C3D35">
        <w:rPr>
          <w:lang w:val="fr-FR"/>
        </w:rPr>
        <w:t>ressources</w:t>
      </w:r>
      <w:r w:rsidR="00056D1C" w:rsidRPr="009C3D35">
        <w:rPr>
          <w:lang w:val="fr-FR"/>
        </w:rPr>
        <w:t xml:space="preserve"> de la Boîte à outils qui sont les plus utiles pour cette première étape et ses étapes subsidiaires. Ces outils devront être adaptés à vos besoins et à votre contexte.</w:t>
      </w:r>
    </w:p>
    <w:p w:rsidR="00056D1C" w:rsidRPr="009C3D35" w:rsidRDefault="00056D1C" w:rsidP="005377B7">
      <w:pPr>
        <w:rPr>
          <w:lang w:val="fr-FR"/>
        </w:rPr>
      </w:pPr>
      <w:r w:rsidRPr="009C3D35">
        <w:rPr>
          <w:lang w:val="fr-FR"/>
        </w:rPr>
        <w:t>Il est important de respecter les normes minimales définies pour cette étape</w:t>
      </w:r>
      <w:r w:rsidR="005377B7" w:rsidRPr="009C3D35">
        <w:rPr>
          <w:lang w:val="fr-FR"/>
        </w:rPr>
        <w:t xml:space="preserve"> aux fins de garantir la qualité des programmes de transferts monétaires (PTM)</w:t>
      </w:r>
      <w:r w:rsidRPr="009C3D35">
        <w:rPr>
          <w:lang w:val="fr-FR"/>
        </w:rPr>
        <w:t>.</w:t>
      </w:r>
    </w:p>
    <w:p w:rsidR="00056D1C" w:rsidRPr="009C3D35" w:rsidRDefault="00056D1C" w:rsidP="005377B7">
      <w:pPr>
        <w:rPr>
          <w:lang w:val="fr-FR"/>
        </w:rPr>
      </w:pPr>
      <w:r w:rsidRPr="009C3D35">
        <w:rPr>
          <w:lang w:val="fr-FR"/>
        </w:rPr>
        <w:t xml:space="preserve">Il est probable que vous deviez </w:t>
      </w:r>
      <w:r w:rsidRPr="009C3D35">
        <w:rPr>
          <w:b/>
          <w:lang w:val="fr-FR"/>
        </w:rPr>
        <w:t>aller et venir</w:t>
      </w:r>
      <w:r w:rsidRPr="009C3D35">
        <w:rPr>
          <w:lang w:val="fr-FR"/>
        </w:rPr>
        <w:t xml:space="preserve"> entre les différentes étapes subsidiaires </w:t>
      </w:r>
      <w:r w:rsidR="005377B7" w:rsidRPr="009C3D35">
        <w:rPr>
          <w:lang w:val="fr-FR"/>
        </w:rPr>
        <w:t>pour orienter la prise de décisions à mesure que des informations deviennent disponibles et que la mise en œuvre du processus progresse</w:t>
      </w:r>
      <w:r w:rsidRPr="009C3D35">
        <w:rPr>
          <w:lang w:val="fr-FR"/>
        </w:rPr>
        <w:t xml:space="preserve">. </w:t>
      </w:r>
    </w:p>
    <w:p w:rsidR="00056D1C" w:rsidRPr="009C3D35" w:rsidRDefault="00056D1C" w:rsidP="005377B7">
      <w:pPr>
        <w:rPr>
          <w:lang w:val="fr-FR"/>
        </w:rPr>
      </w:pPr>
      <w:r w:rsidRPr="009C3D35">
        <w:rPr>
          <w:lang w:val="fr-FR"/>
        </w:rPr>
        <w:t xml:space="preserve">Pour obtenir des </w:t>
      </w:r>
      <w:r w:rsidR="005377B7" w:rsidRPr="009C3D35">
        <w:rPr>
          <w:lang w:val="fr-FR"/>
        </w:rPr>
        <w:t>orientations</w:t>
      </w:r>
      <w:r w:rsidRPr="009C3D35">
        <w:rPr>
          <w:lang w:val="fr-FR"/>
        </w:rPr>
        <w:t xml:space="preserve"> plus détaillées sur l’évaluation de la faisabilité des transferts monétaires et la sélection des modalités et des mécanismes de distribution, veuillez consulter les documents de référence </w:t>
      </w:r>
      <w:r w:rsidR="005377B7" w:rsidRPr="009C3D35">
        <w:rPr>
          <w:lang w:val="fr-FR"/>
        </w:rPr>
        <w:t>mentionnés</w:t>
      </w:r>
      <w:r w:rsidRPr="009C3D35">
        <w:rPr>
          <w:lang w:val="fr-FR"/>
        </w:rPr>
        <w:t xml:space="preserve"> à la fin du document.</w:t>
      </w:r>
    </w:p>
    <w:p w:rsidR="007D1A58" w:rsidRPr="009C3D35" w:rsidRDefault="00EB6BC3" w:rsidP="00964484">
      <w:pPr>
        <w:pStyle w:val="Heading2"/>
        <w:rPr>
          <w:lang w:val="fr-FR"/>
        </w:rPr>
      </w:pPr>
      <w:r w:rsidRPr="009C3D35">
        <w:rPr>
          <w:lang w:val="fr-FR"/>
        </w:rPr>
        <w:t>Normes minimales</w:t>
      </w:r>
    </w:p>
    <w:p w:rsidR="00056D1C" w:rsidRPr="009C3D35" w:rsidRDefault="00056D1C" w:rsidP="007D1A58">
      <w:pPr>
        <w:pStyle w:val="ListParagraph"/>
        <w:numPr>
          <w:ilvl w:val="0"/>
          <w:numId w:val="14"/>
        </w:numPr>
        <w:spacing w:after="60"/>
        <w:contextualSpacing w:val="0"/>
        <w:jc w:val="left"/>
        <w:rPr>
          <w:rFonts w:eastAsia="Times New Roman" w:cs="Arial"/>
          <w:color w:val="000000"/>
          <w:szCs w:val="24"/>
          <w:lang w:val="fr-FR"/>
        </w:rPr>
      </w:pPr>
      <w:r w:rsidRPr="009C3D35">
        <w:rPr>
          <w:rFonts w:eastAsia="Times New Roman" w:cs="Arial"/>
          <w:color w:val="000000"/>
          <w:szCs w:val="24"/>
          <w:lang w:val="fr-FR"/>
        </w:rPr>
        <w:t>La sélection des modalités et des mécanismes de transfert doit se fonder sur une analyse comparative.</w:t>
      </w:r>
    </w:p>
    <w:p w:rsidR="007D1A58" w:rsidRPr="009C3D35" w:rsidRDefault="00056D1C" w:rsidP="000A6C17">
      <w:pPr>
        <w:pStyle w:val="ListParagraph"/>
        <w:numPr>
          <w:ilvl w:val="0"/>
          <w:numId w:val="14"/>
        </w:numPr>
        <w:spacing w:after="60"/>
        <w:contextualSpacing w:val="0"/>
        <w:jc w:val="left"/>
        <w:rPr>
          <w:rFonts w:eastAsia="Times New Roman" w:cs="Arial"/>
          <w:color w:val="000000"/>
          <w:szCs w:val="24"/>
          <w:lang w:val="fr-FR"/>
        </w:rPr>
      </w:pPr>
      <w:r w:rsidRPr="009C3D35">
        <w:rPr>
          <w:rFonts w:eastAsia="Times New Roman" w:cs="Arial"/>
          <w:color w:val="000000"/>
          <w:szCs w:val="24"/>
          <w:lang w:val="fr-FR"/>
        </w:rPr>
        <w:t>Les critères de comparaison doivent être pondérés e</w:t>
      </w:r>
      <w:r w:rsidR="00BB3DF4" w:rsidRPr="009C3D35">
        <w:rPr>
          <w:rFonts w:eastAsia="Times New Roman" w:cs="Arial"/>
          <w:color w:val="000000"/>
          <w:szCs w:val="24"/>
          <w:lang w:val="fr-FR"/>
        </w:rPr>
        <w:t xml:space="preserve">n fonction de leur adéquation </w:t>
      </w:r>
      <w:r w:rsidR="00185A9F" w:rsidRPr="009C3D35">
        <w:rPr>
          <w:rFonts w:eastAsia="Times New Roman" w:cs="Arial"/>
          <w:color w:val="000000"/>
          <w:szCs w:val="24"/>
          <w:lang w:val="fr-FR"/>
        </w:rPr>
        <w:t>avec le</w:t>
      </w:r>
      <w:r w:rsidRPr="009C3D35">
        <w:rPr>
          <w:rFonts w:eastAsia="Times New Roman" w:cs="Arial"/>
          <w:color w:val="000000"/>
          <w:szCs w:val="24"/>
          <w:lang w:val="fr-FR"/>
        </w:rPr>
        <w:t xml:space="preserve"> contexte et </w:t>
      </w:r>
      <w:r w:rsidR="000A6C17" w:rsidRPr="009C3D35">
        <w:rPr>
          <w:rFonts w:eastAsia="Times New Roman" w:cs="Arial"/>
          <w:color w:val="000000"/>
          <w:szCs w:val="24"/>
          <w:lang w:val="fr-FR"/>
        </w:rPr>
        <w:t>d</w:t>
      </w:r>
      <w:r w:rsidRPr="009C3D35">
        <w:rPr>
          <w:rFonts w:eastAsia="Times New Roman" w:cs="Arial"/>
          <w:color w:val="000000"/>
          <w:szCs w:val="24"/>
          <w:lang w:val="fr-FR"/>
        </w:rPr>
        <w:t>es objectifs de l’intervention.</w:t>
      </w:r>
    </w:p>
    <w:p w:rsidR="007D1A58" w:rsidRPr="009C3D35" w:rsidRDefault="00BB3DF4" w:rsidP="00011F48">
      <w:pPr>
        <w:pStyle w:val="ListParagraph"/>
        <w:numPr>
          <w:ilvl w:val="0"/>
          <w:numId w:val="14"/>
        </w:numPr>
        <w:spacing w:after="60"/>
        <w:contextualSpacing w:val="0"/>
        <w:jc w:val="left"/>
        <w:rPr>
          <w:rFonts w:eastAsia="Times New Roman" w:cs="Arial"/>
          <w:szCs w:val="24"/>
          <w:lang w:val="fr-FR"/>
        </w:rPr>
      </w:pPr>
      <w:r w:rsidRPr="009C3D35">
        <w:rPr>
          <w:rFonts w:eastAsia="Times New Roman" w:cs="Arial"/>
          <w:szCs w:val="24"/>
          <w:lang w:val="fr-FR"/>
        </w:rPr>
        <w:t xml:space="preserve">Les </w:t>
      </w:r>
      <w:r w:rsidRPr="009C3D35">
        <w:rPr>
          <w:rFonts w:eastAsia="Times New Roman" w:cs="Arial"/>
          <w:color w:val="000000"/>
          <w:szCs w:val="24"/>
          <w:lang w:val="fr-FR"/>
        </w:rPr>
        <w:t xml:space="preserve">solutions d’intervention doivent être </w:t>
      </w:r>
      <w:r w:rsidR="00011F48" w:rsidRPr="009C3D35">
        <w:rPr>
          <w:rFonts w:eastAsia="Times New Roman" w:cs="Arial"/>
          <w:color w:val="000000"/>
          <w:szCs w:val="24"/>
          <w:lang w:val="fr-FR"/>
        </w:rPr>
        <w:t xml:space="preserve">alignées sur les </w:t>
      </w:r>
      <w:r w:rsidRPr="009C3D35">
        <w:rPr>
          <w:rFonts w:eastAsia="Times New Roman" w:cs="Arial"/>
          <w:color w:val="000000"/>
          <w:szCs w:val="24"/>
          <w:lang w:val="fr-FR"/>
        </w:rPr>
        <w:t xml:space="preserve">politiques et </w:t>
      </w:r>
      <w:r w:rsidR="00011F48" w:rsidRPr="009C3D35">
        <w:rPr>
          <w:rFonts w:eastAsia="Times New Roman" w:cs="Arial"/>
          <w:color w:val="000000"/>
          <w:szCs w:val="24"/>
          <w:lang w:val="fr-FR"/>
        </w:rPr>
        <w:t>les</w:t>
      </w:r>
      <w:r w:rsidRPr="009C3D35">
        <w:rPr>
          <w:rFonts w:eastAsia="Times New Roman" w:cs="Arial"/>
          <w:color w:val="000000"/>
          <w:szCs w:val="24"/>
          <w:lang w:val="fr-FR"/>
        </w:rPr>
        <w:t xml:space="preserve"> pratiques </w:t>
      </w:r>
      <w:r w:rsidR="00011F48" w:rsidRPr="009C3D35">
        <w:rPr>
          <w:rFonts w:eastAsia="Times New Roman" w:cs="Arial"/>
          <w:color w:val="000000"/>
          <w:szCs w:val="24"/>
          <w:lang w:val="fr-FR"/>
        </w:rPr>
        <w:t>des autorités locales</w:t>
      </w:r>
      <w:r w:rsidRPr="009C3D35">
        <w:rPr>
          <w:rFonts w:eastAsia="Times New Roman" w:cs="Arial"/>
          <w:color w:val="000000"/>
          <w:szCs w:val="24"/>
          <w:lang w:val="fr-FR"/>
        </w:rPr>
        <w:t xml:space="preserve"> et d’autres acteurs humanitaires.</w:t>
      </w:r>
    </w:p>
    <w:p w:rsidR="00BB3DF4" w:rsidRPr="009C3D35" w:rsidRDefault="00BB3DF4" w:rsidP="00011F48">
      <w:pPr>
        <w:pStyle w:val="ListParagraph"/>
        <w:numPr>
          <w:ilvl w:val="0"/>
          <w:numId w:val="14"/>
        </w:numPr>
        <w:spacing w:after="60"/>
        <w:contextualSpacing w:val="0"/>
        <w:jc w:val="left"/>
        <w:rPr>
          <w:rFonts w:eastAsia="Times New Roman" w:cs="Arial"/>
          <w:color w:val="000000"/>
          <w:szCs w:val="24"/>
          <w:lang w:val="fr-FR"/>
        </w:rPr>
      </w:pPr>
      <w:r w:rsidRPr="009C3D35">
        <w:rPr>
          <w:rFonts w:eastAsia="Times New Roman" w:cs="Arial"/>
          <w:color w:val="000000"/>
          <w:szCs w:val="24"/>
          <w:lang w:val="fr-FR"/>
        </w:rPr>
        <w:t xml:space="preserve">La capacité de </w:t>
      </w:r>
      <w:r w:rsidR="00011F48" w:rsidRPr="009C3D35">
        <w:rPr>
          <w:rFonts w:eastAsia="Times New Roman" w:cs="Arial"/>
          <w:color w:val="000000"/>
          <w:szCs w:val="24"/>
          <w:lang w:val="fr-FR"/>
        </w:rPr>
        <w:t>l’organisation</w:t>
      </w:r>
      <w:r w:rsidRPr="009C3D35">
        <w:rPr>
          <w:rFonts w:eastAsia="Times New Roman" w:cs="Arial"/>
          <w:color w:val="000000"/>
          <w:szCs w:val="24"/>
          <w:lang w:val="fr-FR"/>
        </w:rPr>
        <w:t xml:space="preserve">/des partenaires </w:t>
      </w:r>
      <w:r w:rsidR="00011F48" w:rsidRPr="009C3D35">
        <w:rPr>
          <w:rFonts w:eastAsia="Times New Roman" w:cs="Arial"/>
          <w:color w:val="000000"/>
          <w:szCs w:val="24"/>
          <w:lang w:val="fr-FR"/>
        </w:rPr>
        <w:t>de</w:t>
      </w:r>
      <w:r w:rsidRPr="009C3D35">
        <w:rPr>
          <w:rFonts w:eastAsia="Times New Roman" w:cs="Arial"/>
          <w:color w:val="000000"/>
          <w:szCs w:val="24"/>
          <w:lang w:val="fr-FR"/>
        </w:rPr>
        <w:t xml:space="preserve"> distribuer des espèces par le biais des modalités/mécanismes sélectionnés doit être prise en compte.</w:t>
      </w:r>
    </w:p>
    <w:p w:rsidR="00BB3DF4" w:rsidRPr="009C3D35" w:rsidRDefault="00BB3DF4" w:rsidP="00011F48">
      <w:pPr>
        <w:pStyle w:val="ListParagraph"/>
        <w:numPr>
          <w:ilvl w:val="0"/>
          <w:numId w:val="14"/>
        </w:numPr>
        <w:spacing w:after="60"/>
        <w:contextualSpacing w:val="0"/>
        <w:jc w:val="left"/>
        <w:rPr>
          <w:rFonts w:eastAsia="Times New Roman" w:cs="Arial"/>
          <w:color w:val="000000"/>
          <w:szCs w:val="24"/>
          <w:lang w:val="fr-FR"/>
        </w:rPr>
      </w:pPr>
      <w:r w:rsidRPr="009C3D35">
        <w:rPr>
          <w:rFonts w:eastAsia="Times New Roman" w:cs="Arial"/>
          <w:color w:val="000000"/>
          <w:szCs w:val="24"/>
          <w:lang w:val="fr-FR"/>
        </w:rPr>
        <w:lastRenderedPageBreak/>
        <w:t>Les préférences des béné</w:t>
      </w:r>
      <w:r w:rsidR="00011F48" w:rsidRPr="009C3D35">
        <w:rPr>
          <w:rFonts w:eastAsia="Times New Roman" w:cs="Arial"/>
          <w:color w:val="000000"/>
          <w:szCs w:val="24"/>
          <w:lang w:val="fr-FR"/>
        </w:rPr>
        <w:t xml:space="preserve">ficiaires et leurs capacités (par </w:t>
      </w:r>
      <w:r w:rsidRPr="009C3D35">
        <w:rPr>
          <w:rFonts w:eastAsia="Times New Roman" w:cs="Arial"/>
          <w:color w:val="000000"/>
          <w:szCs w:val="24"/>
          <w:lang w:val="fr-FR"/>
        </w:rPr>
        <w:t xml:space="preserve">ex. leur </w:t>
      </w:r>
      <w:r w:rsidR="00011F48" w:rsidRPr="009C3D35">
        <w:rPr>
          <w:rFonts w:eastAsia="Times New Roman" w:cs="Arial"/>
          <w:color w:val="000000"/>
          <w:szCs w:val="24"/>
          <w:lang w:val="fr-FR"/>
        </w:rPr>
        <w:t>connaissances des technologies et l’</w:t>
      </w:r>
      <w:r w:rsidRPr="009C3D35">
        <w:rPr>
          <w:rFonts w:eastAsia="Times New Roman" w:cs="Arial"/>
          <w:color w:val="000000"/>
          <w:szCs w:val="24"/>
          <w:lang w:val="fr-FR"/>
        </w:rPr>
        <w:t>utilisation</w:t>
      </w:r>
      <w:r w:rsidR="00011F48" w:rsidRPr="009C3D35">
        <w:rPr>
          <w:rFonts w:eastAsia="Times New Roman" w:cs="Arial"/>
          <w:color w:val="000000"/>
          <w:szCs w:val="24"/>
          <w:lang w:val="fr-FR"/>
        </w:rPr>
        <w:t xml:space="preserve"> qu’ils en font</w:t>
      </w:r>
      <w:r w:rsidRPr="009C3D35">
        <w:rPr>
          <w:rFonts w:eastAsia="Times New Roman" w:cs="Arial"/>
          <w:color w:val="000000"/>
          <w:szCs w:val="24"/>
          <w:lang w:val="fr-FR"/>
        </w:rPr>
        <w:t xml:space="preserve">) doivent être prises en compte. </w:t>
      </w:r>
    </w:p>
    <w:p w:rsidR="00BB3DF4" w:rsidRPr="009C3D35" w:rsidRDefault="00011F48" w:rsidP="00011F48">
      <w:pPr>
        <w:pStyle w:val="ListParagraph"/>
        <w:numPr>
          <w:ilvl w:val="0"/>
          <w:numId w:val="14"/>
        </w:numPr>
        <w:spacing w:after="60"/>
        <w:contextualSpacing w:val="0"/>
        <w:jc w:val="left"/>
        <w:rPr>
          <w:rFonts w:eastAsia="Times New Roman" w:cs="Arial"/>
          <w:szCs w:val="24"/>
          <w:lang w:val="fr-FR"/>
        </w:rPr>
      </w:pPr>
      <w:r w:rsidRPr="009C3D35">
        <w:rPr>
          <w:rFonts w:eastAsia="Times New Roman" w:cs="Arial"/>
          <w:szCs w:val="24"/>
          <w:lang w:val="fr-FR"/>
        </w:rPr>
        <w:t>La comparaison des différents mécanismes et modalités doit inclure u</w:t>
      </w:r>
      <w:r w:rsidR="00BB3DF4" w:rsidRPr="009C3D35">
        <w:rPr>
          <w:rFonts w:eastAsia="Times New Roman" w:cs="Arial"/>
          <w:szCs w:val="24"/>
          <w:lang w:val="fr-FR"/>
        </w:rPr>
        <w:t xml:space="preserve">ne </w:t>
      </w:r>
      <w:r w:rsidRPr="009C3D35">
        <w:rPr>
          <w:rFonts w:eastAsia="Times New Roman" w:cs="Arial"/>
          <w:szCs w:val="24"/>
          <w:lang w:val="fr-FR"/>
        </w:rPr>
        <w:t>forme d’</w:t>
      </w:r>
      <w:r w:rsidR="00BB3DF4" w:rsidRPr="009C3D35">
        <w:rPr>
          <w:rFonts w:eastAsia="Times New Roman" w:cs="Arial"/>
          <w:szCs w:val="24"/>
          <w:lang w:val="fr-FR"/>
        </w:rPr>
        <w:t xml:space="preserve">analyse des coûts (au </w:t>
      </w:r>
      <w:r w:rsidRPr="009C3D35">
        <w:rPr>
          <w:rFonts w:eastAsia="Times New Roman" w:cs="Arial"/>
          <w:szCs w:val="24"/>
          <w:lang w:val="fr-FR"/>
        </w:rPr>
        <w:t>moins</w:t>
      </w:r>
      <w:r w:rsidR="00BB3DF4" w:rsidRPr="009C3D35">
        <w:rPr>
          <w:rFonts w:eastAsia="Times New Roman" w:cs="Arial"/>
          <w:szCs w:val="24"/>
          <w:lang w:val="fr-FR"/>
        </w:rPr>
        <w:t xml:space="preserve"> une comparaison des coûts liés à la distribution).</w:t>
      </w:r>
    </w:p>
    <w:p w:rsidR="007D1A58" w:rsidRPr="009C3D35" w:rsidRDefault="00BB3DF4" w:rsidP="00011F48">
      <w:pPr>
        <w:pStyle w:val="ListParagraph"/>
        <w:numPr>
          <w:ilvl w:val="0"/>
          <w:numId w:val="14"/>
        </w:numPr>
        <w:spacing w:after="60"/>
        <w:contextualSpacing w:val="0"/>
        <w:jc w:val="left"/>
        <w:rPr>
          <w:rFonts w:eastAsia="Times New Roman" w:cs="Arial"/>
          <w:szCs w:val="24"/>
          <w:lang w:val="fr-FR"/>
        </w:rPr>
      </w:pPr>
      <w:r w:rsidRPr="009C3D35">
        <w:rPr>
          <w:rFonts w:eastAsia="Times New Roman" w:cs="Arial"/>
          <w:szCs w:val="24"/>
          <w:lang w:val="fr-FR"/>
        </w:rPr>
        <w:t xml:space="preserve">Les risques liés aux modalités et aux mécanismes sélectionnés doivent être analysés et </w:t>
      </w:r>
      <w:r w:rsidR="00185A9F" w:rsidRPr="009C3D35">
        <w:rPr>
          <w:rFonts w:eastAsia="Times New Roman" w:cs="Arial"/>
          <w:szCs w:val="24"/>
          <w:lang w:val="fr-FR"/>
        </w:rPr>
        <w:t>pri</w:t>
      </w:r>
      <w:r w:rsidRPr="009C3D35">
        <w:rPr>
          <w:rFonts w:eastAsia="Times New Roman" w:cs="Arial"/>
          <w:szCs w:val="24"/>
          <w:lang w:val="fr-FR"/>
        </w:rPr>
        <w:t>s</w:t>
      </w:r>
      <w:r w:rsidR="00185A9F" w:rsidRPr="009C3D35">
        <w:rPr>
          <w:rFonts w:eastAsia="Times New Roman" w:cs="Arial"/>
          <w:szCs w:val="24"/>
          <w:lang w:val="fr-FR"/>
        </w:rPr>
        <w:t xml:space="preserve"> en compte</w:t>
      </w:r>
      <w:r w:rsidRPr="009C3D35">
        <w:rPr>
          <w:rFonts w:eastAsia="Times New Roman" w:cs="Arial"/>
          <w:szCs w:val="24"/>
          <w:lang w:val="fr-FR"/>
        </w:rPr>
        <w:t xml:space="preserve">. La solution choisie ne doit </w:t>
      </w:r>
      <w:r w:rsidR="00011F48" w:rsidRPr="009C3D35">
        <w:rPr>
          <w:rFonts w:eastAsia="Times New Roman" w:cs="Arial"/>
          <w:szCs w:val="24"/>
          <w:lang w:val="fr-FR"/>
        </w:rPr>
        <w:t>présenter</w:t>
      </w:r>
      <w:r w:rsidRPr="009C3D35">
        <w:rPr>
          <w:rFonts w:eastAsia="Times New Roman" w:cs="Arial"/>
          <w:szCs w:val="24"/>
          <w:lang w:val="fr-FR"/>
        </w:rPr>
        <w:t xml:space="preserve"> aucun risque inacceptable.</w:t>
      </w:r>
      <w:r w:rsidR="00185A9F" w:rsidRPr="009C3D35">
        <w:rPr>
          <w:rFonts w:eastAsia="Times New Roman" w:cs="Arial"/>
          <w:szCs w:val="24"/>
          <w:lang w:val="fr-FR"/>
        </w:rPr>
        <w:t xml:space="preserve"> </w:t>
      </w:r>
    </w:p>
    <w:p w:rsidR="007D1A58" w:rsidRPr="009C3D35" w:rsidRDefault="00BB3DF4" w:rsidP="00011F48">
      <w:pPr>
        <w:pStyle w:val="ListParagraph"/>
        <w:keepNext/>
        <w:numPr>
          <w:ilvl w:val="0"/>
          <w:numId w:val="14"/>
        </w:numPr>
        <w:spacing w:after="60"/>
        <w:ind w:left="714" w:hanging="357"/>
        <w:contextualSpacing w:val="0"/>
        <w:jc w:val="left"/>
        <w:rPr>
          <w:rFonts w:eastAsia="Times New Roman" w:cs="Arial"/>
          <w:szCs w:val="24"/>
          <w:lang w:val="fr-FR"/>
        </w:rPr>
      </w:pPr>
      <w:r w:rsidRPr="009C3D35">
        <w:rPr>
          <w:rFonts w:eastAsia="Times New Roman" w:cs="Arial"/>
          <w:szCs w:val="24"/>
          <w:lang w:val="fr-FR"/>
        </w:rPr>
        <w:t>Le</w:t>
      </w:r>
      <w:r w:rsidR="00011F48" w:rsidRPr="009C3D35">
        <w:rPr>
          <w:rFonts w:eastAsia="Times New Roman" w:cs="Arial"/>
          <w:szCs w:val="24"/>
          <w:lang w:val="fr-FR"/>
        </w:rPr>
        <w:t xml:space="preserve"> facteur </w:t>
      </w:r>
      <w:r w:rsidR="00640F7F" w:rsidRPr="009C3D35">
        <w:rPr>
          <w:rFonts w:eastAsia="Times New Roman" w:cs="Arial"/>
          <w:szCs w:val="24"/>
          <w:lang w:val="fr-FR"/>
        </w:rPr>
        <w:t>temps</w:t>
      </w:r>
      <w:r w:rsidR="00011F48" w:rsidRPr="009C3D35">
        <w:rPr>
          <w:rFonts w:eastAsia="Times New Roman" w:cs="Arial"/>
          <w:szCs w:val="24"/>
          <w:lang w:val="fr-FR"/>
        </w:rPr>
        <w:t xml:space="preserve"> (par </w:t>
      </w:r>
      <w:r w:rsidR="00640F7F" w:rsidRPr="009C3D35">
        <w:rPr>
          <w:rFonts w:eastAsia="Times New Roman" w:cs="Arial"/>
          <w:szCs w:val="24"/>
          <w:lang w:val="fr-FR"/>
        </w:rPr>
        <w:t>ex. variations saisonnières ou</w:t>
      </w:r>
      <w:r w:rsidRPr="009C3D35">
        <w:rPr>
          <w:rFonts w:eastAsia="Times New Roman" w:cs="Arial"/>
          <w:szCs w:val="24"/>
          <w:lang w:val="fr-FR"/>
        </w:rPr>
        <w:t xml:space="preserve"> temps nécessaire pour mettre en place un mécanisme de transfert</w:t>
      </w:r>
      <w:r w:rsidR="00640F7F" w:rsidRPr="009C3D35">
        <w:rPr>
          <w:rFonts w:eastAsia="Times New Roman" w:cs="Arial"/>
          <w:szCs w:val="24"/>
          <w:lang w:val="fr-FR"/>
        </w:rPr>
        <w:t xml:space="preserve"> </w:t>
      </w:r>
      <w:r w:rsidRPr="009C3D35">
        <w:rPr>
          <w:rFonts w:eastAsia="Times New Roman" w:cs="Arial"/>
          <w:szCs w:val="24"/>
          <w:lang w:val="fr-FR"/>
        </w:rPr>
        <w:t xml:space="preserve">mobile) </w:t>
      </w:r>
      <w:r w:rsidR="00011F48" w:rsidRPr="009C3D35">
        <w:rPr>
          <w:rFonts w:eastAsia="Times New Roman" w:cs="Arial"/>
          <w:szCs w:val="24"/>
          <w:lang w:val="fr-FR"/>
        </w:rPr>
        <w:t>doi</w:t>
      </w:r>
      <w:r w:rsidR="00640F7F" w:rsidRPr="009C3D35">
        <w:rPr>
          <w:rFonts w:eastAsia="Times New Roman" w:cs="Arial"/>
          <w:szCs w:val="24"/>
          <w:lang w:val="fr-FR"/>
        </w:rPr>
        <w:t>t être pris en compte.</w:t>
      </w:r>
    </w:p>
    <w:p w:rsidR="00BB3DF4" w:rsidRPr="009C3D35" w:rsidRDefault="00BB3DF4" w:rsidP="00011F48">
      <w:pPr>
        <w:pStyle w:val="ListParagraph"/>
        <w:numPr>
          <w:ilvl w:val="0"/>
          <w:numId w:val="14"/>
        </w:numPr>
        <w:spacing w:after="60"/>
        <w:contextualSpacing w:val="0"/>
        <w:jc w:val="left"/>
        <w:rPr>
          <w:rFonts w:cs="Arial"/>
          <w:lang w:val="fr-FR"/>
        </w:rPr>
      </w:pPr>
      <w:r w:rsidRPr="009C3D35">
        <w:rPr>
          <w:rFonts w:cs="Arial"/>
          <w:lang w:val="fr-FR"/>
        </w:rPr>
        <w:t xml:space="preserve">Les raisons </w:t>
      </w:r>
      <w:r w:rsidR="00011F48" w:rsidRPr="009C3D35">
        <w:rPr>
          <w:rFonts w:cs="Arial"/>
          <w:lang w:val="fr-FR"/>
        </w:rPr>
        <w:t>ayant motivé le</w:t>
      </w:r>
      <w:r w:rsidRPr="009C3D35">
        <w:rPr>
          <w:rFonts w:cs="Arial"/>
          <w:lang w:val="fr-FR"/>
        </w:rPr>
        <w:t xml:space="preserve"> choix final doivent être communiquées aux responsables et aux parties prenantes clés.</w:t>
      </w:r>
    </w:p>
    <w:p w:rsidR="007D1A58" w:rsidRPr="009C3D35" w:rsidRDefault="00EB6BC3" w:rsidP="00964484">
      <w:pPr>
        <w:pStyle w:val="Heading2"/>
        <w:rPr>
          <w:lang w:val="fr-FR"/>
        </w:rPr>
      </w:pPr>
      <w:r w:rsidRPr="009C3D35">
        <w:rPr>
          <w:lang w:val="fr-FR"/>
        </w:rPr>
        <w:t>Étapes subsidiaires et outils</w:t>
      </w:r>
    </w:p>
    <w:p w:rsidR="00276222" w:rsidRPr="009C3D35" w:rsidRDefault="00276222" w:rsidP="00964484">
      <w:pPr>
        <w:rPr>
          <w:lang w:val="fr-FR"/>
        </w:rPr>
      </w:pPr>
      <w:r w:rsidRPr="009C3D35">
        <w:rPr>
          <w:lang w:val="fr-FR"/>
        </w:rPr>
        <w:t xml:space="preserve">Avant de commencer, vous devez déterminer </w:t>
      </w:r>
      <w:r w:rsidR="00185A9F" w:rsidRPr="009C3D35">
        <w:rPr>
          <w:lang w:val="fr-FR"/>
        </w:rPr>
        <w:t xml:space="preserve">quels sont </w:t>
      </w:r>
      <w:r w:rsidRPr="009C3D35">
        <w:rPr>
          <w:lang w:val="fr-FR"/>
        </w:rPr>
        <w:t>les besoins (liés à la sécurité alimentaire, aux moyens de subsistance, au logement, à la santé, à l’eau et à l’assainissement, ou</w:t>
      </w:r>
      <w:r w:rsidR="00185A9F" w:rsidRPr="009C3D35">
        <w:rPr>
          <w:lang w:val="fr-FR"/>
        </w:rPr>
        <w:t xml:space="preserve"> les besoins </w:t>
      </w:r>
      <w:r w:rsidRPr="009C3D35">
        <w:rPr>
          <w:lang w:val="fr-FR"/>
        </w:rPr>
        <w:t>multisectoriels) qui doivent être satisfaits et définir les objectifs de l’intervention.</w:t>
      </w:r>
    </w:p>
    <w:p w:rsidR="006C34BD" w:rsidRPr="009C3D35" w:rsidRDefault="00276222" w:rsidP="00964484">
      <w:pPr>
        <w:rPr>
          <w:lang w:val="fr-FR"/>
        </w:rPr>
      </w:pPr>
      <w:r w:rsidRPr="009C3D35">
        <w:rPr>
          <w:lang w:val="fr-FR"/>
        </w:rPr>
        <w:t>Les étapes subsidiaires suivantes correspondent à l’évaluation de la faisabilité des transferts monétaires et à la sélection des modalités et des mécanismes de distribution.</w:t>
      </w:r>
    </w:p>
    <w:p w:rsidR="006C34BD" w:rsidRPr="009C3D35" w:rsidRDefault="00EB6BC3" w:rsidP="00964484">
      <w:pPr>
        <w:pStyle w:val="Heading3"/>
        <w:rPr>
          <w:lang w:val="fr-FR"/>
        </w:rPr>
      </w:pPr>
      <w:r w:rsidRPr="009C3D35">
        <w:rPr>
          <w:lang w:val="fr-FR"/>
        </w:rPr>
        <w:t>Analyser les solutions d’intervention potentielles</w:t>
      </w:r>
    </w:p>
    <w:p w:rsidR="00276222" w:rsidRPr="009C3D35" w:rsidRDefault="00170ADA" w:rsidP="00C820ED">
      <w:pPr>
        <w:rPr>
          <w:lang w:val="fr-FR"/>
        </w:rPr>
      </w:pPr>
      <w:r w:rsidRPr="009C3D35">
        <w:rPr>
          <w:lang w:val="fr-FR"/>
        </w:rPr>
        <w:t>Pour dresser une liste des solutions d’intervention</w:t>
      </w:r>
      <w:r w:rsidR="00C820ED" w:rsidRPr="009C3D35">
        <w:rPr>
          <w:lang w:val="fr-FR"/>
        </w:rPr>
        <w:t xml:space="preserve"> potentielles</w:t>
      </w:r>
      <w:r w:rsidRPr="009C3D35">
        <w:rPr>
          <w:lang w:val="fr-FR"/>
        </w:rPr>
        <w:t xml:space="preserve">, vous pouvez organiser une séance de réflexion avec les parties prenantes clés, en les encourageant à </w:t>
      </w:r>
      <w:r w:rsidR="00C820ED" w:rsidRPr="009C3D35">
        <w:rPr>
          <w:lang w:val="fr-FR"/>
        </w:rPr>
        <w:t>envisager librement toutes les</w:t>
      </w:r>
      <w:r w:rsidRPr="009C3D35">
        <w:rPr>
          <w:lang w:val="fr-FR"/>
        </w:rPr>
        <w:t xml:space="preserve"> solutions possibles. À ce stade, aucune solution ne doit être exclue</w:t>
      </w:r>
      <w:r w:rsidR="0081485B" w:rsidRPr="009C3D35">
        <w:rPr>
          <w:lang w:val="fr-FR"/>
        </w:rPr>
        <w:t xml:space="preserve">, </w:t>
      </w:r>
      <w:r w:rsidR="00C820ED" w:rsidRPr="009C3D35">
        <w:rPr>
          <w:lang w:val="fr-FR"/>
        </w:rPr>
        <w:t>l’objectif étant</w:t>
      </w:r>
      <w:r w:rsidR="0081485B" w:rsidRPr="009C3D35">
        <w:rPr>
          <w:lang w:val="fr-FR"/>
        </w:rPr>
        <w:t xml:space="preserve"> favoriser</w:t>
      </w:r>
      <w:r w:rsidR="00C820ED" w:rsidRPr="009C3D35">
        <w:rPr>
          <w:lang w:val="fr-FR"/>
        </w:rPr>
        <w:t xml:space="preserve"> les </w:t>
      </w:r>
      <w:r w:rsidR="0081485B" w:rsidRPr="009C3D35">
        <w:rPr>
          <w:lang w:val="fr-FR"/>
        </w:rPr>
        <w:t>idées novatrices. L</w:t>
      </w:r>
      <w:r w:rsidR="001E3E72" w:rsidRPr="009C3D35">
        <w:rPr>
          <w:lang w:val="fr-FR"/>
        </w:rPr>
        <w:t>’outil intitulé « Solutions d’intervention fondées sur les</w:t>
      </w:r>
      <w:r w:rsidR="0081485B" w:rsidRPr="009C3D35">
        <w:rPr>
          <w:lang w:val="fr-FR"/>
        </w:rPr>
        <w:t xml:space="preserve"> transferts monétaires</w:t>
      </w:r>
      <w:r w:rsidR="001E3E72" w:rsidRPr="009C3D35">
        <w:rPr>
          <w:lang w:val="fr-FR"/>
        </w:rPr>
        <w:t> »</w:t>
      </w:r>
      <w:r w:rsidR="0081485B" w:rsidRPr="009C3D35">
        <w:rPr>
          <w:lang w:val="fr-FR"/>
        </w:rPr>
        <w:t xml:space="preserve"> propose des solutions potentielles de transfert monétaire po</w:t>
      </w:r>
      <w:r w:rsidR="008F2FF2" w:rsidRPr="009C3D35">
        <w:rPr>
          <w:lang w:val="fr-FR"/>
        </w:rPr>
        <w:t>ur chaque phase, en fonction du secteur</w:t>
      </w:r>
      <w:r w:rsidR="0081485B" w:rsidRPr="009C3D35">
        <w:rPr>
          <w:lang w:val="fr-FR"/>
        </w:rPr>
        <w:t xml:space="preserve"> et des objectifs.</w:t>
      </w:r>
    </w:p>
    <w:p w:rsidR="006C34BD" w:rsidRPr="009C3D35" w:rsidRDefault="00EB6BC3" w:rsidP="00964484">
      <w:pPr>
        <w:pStyle w:val="Heading3"/>
        <w:rPr>
          <w:lang w:val="fr-FR"/>
        </w:rPr>
      </w:pPr>
      <w:r w:rsidRPr="009C3D35">
        <w:rPr>
          <w:lang w:val="fr-FR"/>
        </w:rPr>
        <w:t>Déterminer si les transferts monétaires constituent une solution faisable</w:t>
      </w:r>
    </w:p>
    <w:p w:rsidR="0081485B" w:rsidRPr="009C3D35" w:rsidRDefault="0081485B" w:rsidP="00A517A0">
      <w:pPr>
        <w:rPr>
          <w:lang w:val="fr-FR"/>
        </w:rPr>
      </w:pPr>
      <w:r w:rsidRPr="009C3D35">
        <w:rPr>
          <w:lang w:val="fr-FR"/>
        </w:rPr>
        <w:t xml:space="preserve">En général, les critères relatifs à la faisabilité </w:t>
      </w:r>
      <w:r w:rsidR="008F2FF2" w:rsidRPr="009C3D35">
        <w:rPr>
          <w:lang w:val="fr-FR"/>
        </w:rPr>
        <w:t>comprenn</w:t>
      </w:r>
      <w:r w:rsidRPr="009C3D35">
        <w:rPr>
          <w:lang w:val="fr-FR"/>
        </w:rPr>
        <w:t>ent : les capacités et le fonctionnement des marchés ; l’accès humanitaire et physique ; les capacités organisationnelles ; les politiques gouvernementales ; les ressources et les politiques des donateurs ; et les aspects liés au temps. L</w:t>
      </w:r>
      <w:r w:rsidR="001E3E72" w:rsidRPr="009C3D35">
        <w:rPr>
          <w:lang w:val="fr-FR"/>
        </w:rPr>
        <w:t>’outil intitulé « L</w:t>
      </w:r>
      <w:r w:rsidRPr="009C3D35">
        <w:rPr>
          <w:lang w:val="fr-FR"/>
        </w:rPr>
        <w:t>iste de contrôle relative à la faisabilité des transferts monétaires</w:t>
      </w:r>
      <w:r w:rsidR="001E3E72" w:rsidRPr="009C3D35">
        <w:rPr>
          <w:lang w:val="fr-FR"/>
        </w:rPr>
        <w:t> »</w:t>
      </w:r>
      <w:r w:rsidRPr="009C3D35">
        <w:rPr>
          <w:lang w:val="fr-FR"/>
        </w:rPr>
        <w:t xml:space="preserve"> fournit un certain nombre de critères et de questions clés qui vous aideront à déterminer si les transferts monétaires constituent une solution faisable. Rappelez-vous qu’une approche mixte (</w:t>
      </w:r>
      <w:r w:rsidR="00A517A0" w:rsidRPr="009C3D35">
        <w:rPr>
          <w:lang w:val="fr-FR"/>
        </w:rPr>
        <w:t>mêlant</w:t>
      </w:r>
      <w:r w:rsidRPr="009C3D35">
        <w:rPr>
          <w:lang w:val="fr-FR"/>
        </w:rPr>
        <w:t xml:space="preserve"> distribution d’espèces et aide en nature) peut parfois se révéler la meilleure solution.</w:t>
      </w:r>
    </w:p>
    <w:p w:rsidR="00EB6BC3" w:rsidRPr="009C3D35" w:rsidRDefault="00EB6BC3" w:rsidP="00964484">
      <w:pPr>
        <w:pStyle w:val="Heading3"/>
        <w:rPr>
          <w:lang w:val="fr-FR"/>
        </w:rPr>
      </w:pPr>
      <w:r w:rsidRPr="009C3D35">
        <w:rPr>
          <w:lang w:val="fr-FR"/>
        </w:rPr>
        <w:t>Définir</w:t>
      </w:r>
      <w:r w:rsidR="00350197" w:rsidRPr="009C3D35">
        <w:rPr>
          <w:lang w:val="fr-FR"/>
        </w:rPr>
        <w:t xml:space="preserve"> d</w:t>
      </w:r>
      <w:r w:rsidRPr="009C3D35">
        <w:rPr>
          <w:lang w:val="fr-FR"/>
        </w:rPr>
        <w:t xml:space="preserve">es critères de comparaison </w:t>
      </w:r>
      <w:r w:rsidR="00350197" w:rsidRPr="009C3D35">
        <w:rPr>
          <w:lang w:val="fr-FR"/>
        </w:rPr>
        <w:t>pertinents</w:t>
      </w:r>
    </w:p>
    <w:p w:rsidR="0081485B" w:rsidRPr="009C3D35" w:rsidRDefault="0081485B" w:rsidP="004A613E">
      <w:pPr>
        <w:rPr>
          <w:lang w:val="fr-FR"/>
        </w:rPr>
      </w:pPr>
      <w:r w:rsidRPr="009C3D35">
        <w:rPr>
          <w:lang w:val="fr-FR"/>
        </w:rPr>
        <w:t>Pour comparer les différentes solutions d’intervention, vous devez</w:t>
      </w:r>
      <w:r w:rsidR="00350197" w:rsidRPr="009C3D35">
        <w:rPr>
          <w:lang w:val="fr-FR"/>
        </w:rPr>
        <w:t xml:space="preserve"> définir</w:t>
      </w:r>
      <w:r w:rsidRPr="009C3D35">
        <w:rPr>
          <w:lang w:val="fr-FR"/>
        </w:rPr>
        <w:t xml:space="preserve"> </w:t>
      </w:r>
      <w:r w:rsidR="004A613E" w:rsidRPr="009C3D35">
        <w:rPr>
          <w:lang w:val="fr-FR"/>
        </w:rPr>
        <w:t>d</w:t>
      </w:r>
      <w:r w:rsidRPr="009C3D35">
        <w:rPr>
          <w:lang w:val="fr-FR"/>
        </w:rPr>
        <w:t>es critères pertinents pour votre analyse. L’analyse comparative orientera le processus de prise de décisions. L</w:t>
      </w:r>
      <w:r w:rsidR="001E3E72" w:rsidRPr="009C3D35">
        <w:rPr>
          <w:lang w:val="fr-FR"/>
        </w:rPr>
        <w:t>’outil intitulé « Comparaison des modalités et des mécanismes de transfert</w:t>
      </w:r>
      <w:r w:rsidR="004A613E" w:rsidRPr="009C3D35">
        <w:rPr>
          <w:lang w:val="fr-FR"/>
        </w:rPr>
        <w:t>s</w:t>
      </w:r>
      <w:r w:rsidR="001E3E72" w:rsidRPr="009C3D35">
        <w:rPr>
          <w:lang w:val="fr-FR"/>
        </w:rPr>
        <w:t> »</w:t>
      </w:r>
      <w:r w:rsidR="00350197" w:rsidRPr="009C3D35">
        <w:rPr>
          <w:lang w:val="fr-FR"/>
        </w:rPr>
        <w:t xml:space="preserve"> </w:t>
      </w:r>
      <w:r w:rsidR="00551397" w:rsidRPr="009C3D35">
        <w:rPr>
          <w:lang w:val="fr-FR"/>
        </w:rPr>
        <w:t>inclut</w:t>
      </w:r>
      <w:r w:rsidR="00350197" w:rsidRPr="009C3D35">
        <w:rPr>
          <w:lang w:val="fr-FR"/>
        </w:rPr>
        <w:t xml:space="preserve"> </w:t>
      </w:r>
      <w:r w:rsidR="00551397" w:rsidRPr="009C3D35">
        <w:rPr>
          <w:lang w:val="fr-FR"/>
        </w:rPr>
        <w:t>un certain nombre de</w:t>
      </w:r>
      <w:r w:rsidR="001E3E72" w:rsidRPr="009C3D35">
        <w:rPr>
          <w:lang w:val="fr-FR"/>
        </w:rPr>
        <w:t xml:space="preserve"> questions </w:t>
      </w:r>
      <w:r w:rsidR="00350197" w:rsidRPr="009C3D35">
        <w:rPr>
          <w:lang w:val="fr-FR"/>
        </w:rPr>
        <w:t>en lien avec les</w:t>
      </w:r>
      <w:r w:rsidR="001E3E72" w:rsidRPr="009C3D35">
        <w:rPr>
          <w:lang w:val="fr-FR"/>
        </w:rPr>
        <w:t xml:space="preserve"> critères les plus courants afin de vous aider</w:t>
      </w:r>
      <w:r w:rsidR="00350197" w:rsidRPr="009C3D35">
        <w:rPr>
          <w:lang w:val="fr-FR"/>
        </w:rPr>
        <w:t xml:space="preserve"> à</w:t>
      </w:r>
      <w:r w:rsidR="001E3E72" w:rsidRPr="009C3D35">
        <w:rPr>
          <w:lang w:val="fr-FR"/>
        </w:rPr>
        <w:t xml:space="preserve"> déterminer les éléments devant être pris en compte lors de la comparaison des modalités (aide en nature, distribution d’espèces, distribution de bons) et des mécanismes de distribution (distribution directe, </w:t>
      </w:r>
      <w:r w:rsidR="00551397" w:rsidRPr="009C3D35">
        <w:rPr>
          <w:lang w:val="fr-FR"/>
        </w:rPr>
        <w:t xml:space="preserve">distribution </w:t>
      </w:r>
      <w:r w:rsidR="001E3E72" w:rsidRPr="009C3D35">
        <w:rPr>
          <w:lang w:val="fr-FR"/>
        </w:rPr>
        <w:t>par téléphone mobile, transferts de fonds, carte</w:t>
      </w:r>
      <w:r w:rsidR="00551397" w:rsidRPr="009C3D35">
        <w:rPr>
          <w:lang w:val="fr-FR"/>
        </w:rPr>
        <w:t>s</w:t>
      </w:r>
      <w:r w:rsidR="001E3E72" w:rsidRPr="009C3D35">
        <w:rPr>
          <w:lang w:val="fr-FR"/>
        </w:rPr>
        <w:t xml:space="preserve"> prépayée</w:t>
      </w:r>
      <w:r w:rsidR="00551397" w:rsidRPr="009C3D35">
        <w:rPr>
          <w:lang w:val="fr-FR"/>
        </w:rPr>
        <w:t>s</w:t>
      </w:r>
      <w:r w:rsidR="001E3E72" w:rsidRPr="009C3D35">
        <w:rPr>
          <w:lang w:val="fr-FR"/>
        </w:rPr>
        <w:t xml:space="preserve">). Les outils dressant la liste des avantages et des inconvénients des différentes modalités et des différents mécanismes de distribution peuvent vous aider à répondre aux questions posées. </w:t>
      </w:r>
    </w:p>
    <w:p w:rsidR="006C34BD" w:rsidRPr="009C3D35" w:rsidRDefault="001E3E72" w:rsidP="00266B62">
      <w:pPr>
        <w:rPr>
          <w:lang w:val="fr-FR"/>
        </w:rPr>
      </w:pPr>
      <w:r w:rsidRPr="009C3D35">
        <w:rPr>
          <w:lang w:val="fr-FR"/>
        </w:rPr>
        <w:t>Il peut être nécessaire d’effectuer une analyse plus approfondie des risques</w:t>
      </w:r>
      <w:r w:rsidR="00266B62" w:rsidRPr="009C3D35">
        <w:rPr>
          <w:lang w:val="fr-FR"/>
        </w:rPr>
        <w:t xml:space="preserve"> et de l’efficacité par rapport aux coûts </w:t>
      </w:r>
      <w:r w:rsidR="001B5EBD" w:rsidRPr="009C3D35">
        <w:rPr>
          <w:lang w:val="fr-FR"/>
        </w:rPr>
        <w:t>(voir les étapes subsidiaires ci-dessous).</w:t>
      </w:r>
    </w:p>
    <w:p w:rsidR="006C34BD" w:rsidRPr="009C3D35" w:rsidRDefault="00EB6BC3" w:rsidP="00964484">
      <w:pPr>
        <w:pStyle w:val="Heading3"/>
        <w:rPr>
          <w:lang w:val="fr-FR"/>
        </w:rPr>
      </w:pPr>
      <w:r w:rsidRPr="009C3D35">
        <w:rPr>
          <w:lang w:val="fr-FR"/>
        </w:rPr>
        <w:t>Réaliser une analyse approfondie des risques</w:t>
      </w:r>
    </w:p>
    <w:p w:rsidR="001B5EBD" w:rsidRPr="009C3D35" w:rsidRDefault="001B5EBD" w:rsidP="005C1729">
      <w:pPr>
        <w:rPr>
          <w:lang w:val="fr-FR"/>
        </w:rPr>
      </w:pPr>
      <w:r w:rsidRPr="009C3D35">
        <w:rPr>
          <w:lang w:val="fr-FR"/>
        </w:rPr>
        <w:t>L’analyse des risques est transversale et doit être réalisée dans le cadre de l’analyse des solutions d’intervention. Il s’agit d</w:t>
      </w:r>
      <w:r w:rsidR="00185A9F" w:rsidRPr="009C3D35">
        <w:rPr>
          <w:lang w:val="fr-FR"/>
        </w:rPr>
        <w:t>’un</w:t>
      </w:r>
      <w:r w:rsidRPr="009C3D35">
        <w:rPr>
          <w:lang w:val="fr-FR"/>
        </w:rPr>
        <w:t xml:space="preserve"> processus consistant à identifier les risques, à évaluer leur probabilité et leur impact</w:t>
      </w:r>
      <w:r w:rsidR="00185A9F" w:rsidRPr="009C3D35">
        <w:rPr>
          <w:lang w:val="fr-FR"/>
        </w:rPr>
        <w:t>,</w:t>
      </w:r>
      <w:r w:rsidRPr="009C3D35">
        <w:rPr>
          <w:lang w:val="fr-FR"/>
        </w:rPr>
        <w:t xml:space="preserve"> et à déterminer de quelle manière ils doivent être gérés. Les risques liés aux différentes solutions d’intervention doivent orienter la décision finale (voir l’étape subsidiaire ci-dessous). Les outils intitulés « Modèle de matrice des risques liés aux </w:t>
      </w:r>
      <w:r w:rsidR="00EB4D65" w:rsidRPr="009C3D35">
        <w:rPr>
          <w:lang w:val="fr-FR"/>
        </w:rPr>
        <w:t>PTM</w:t>
      </w:r>
      <w:r w:rsidRPr="009C3D35">
        <w:rPr>
          <w:lang w:val="fr-FR"/>
        </w:rPr>
        <w:t xml:space="preserve"> » et « Modèle </w:t>
      </w:r>
      <w:r w:rsidR="00EB4D65" w:rsidRPr="009C3D35">
        <w:rPr>
          <w:lang w:val="fr-FR"/>
        </w:rPr>
        <w:t>de registre</w:t>
      </w:r>
      <w:r w:rsidRPr="009C3D35">
        <w:rPr>
          <w:lang w:val="fr-FR"/>
        </w:rPr>
        <w:t xml:space="preserve"> des risques liés aux </w:t>
      </w:r>
      <w:r w:rsidR="00EB4D65" w:rsidRPr="009C3D35">
        <w:rPr>
          <w:lang w:val="fr-FR"/>
        </w:rPr>
        <w:t>PTM</w:t>
      </w:r>
      <w:r w:rsidRPr="009C3D35">
        <w:rPr>
          <w:lang w:val="fr-FR"/>
        </w:rPr>
        <w:t xml:space="preserve"> » vous aideront à </w:t>
      </w:r>
      <w:r w:rsidR="00185A9F" w:rsidRPr="009C3D35">
        <w:rPr>
          <w:lang w:val="fr-FR"/>
        </w:rPr>
        <w:t xml:space="preserve">identifier et prendre en compte </w:t>
      </w:r>
      <w:r w:rsidRPr="009C3D35">
        <w:rPr>
          <w:lang w:val="fr-FR"/>
        </w:rPr>
        <w:t>les principaux risques ainsi que les me</w:t>
      </w:r>
      <w:r w:rsidR="0050384E" w:rsidRPr="009C3D35">
        <w:rPr>
          <w:lang w:val="fr-FR"/>
        </w:rPr>
        <w:t xml:space="preserve">sures pouvant être prises pour </w:t>
      </w:r>
      <w:r w:rsidR="00EB4D65" w:rsidRPr="009C3D35">
        <w:rPr>
          <w:lang w:val="fr-FR"/>
        </w:rPr>
        <w:t>les atténuer</w:t>
      </w:r>
      <w:r w:rsidRPr="009C3D35">
        <w:rPr>
          <w:lang w:val="fr-FR"/>
        </w:rPr>
        <w:t xml:space="preserve">. </w:t>
      </w:r>
      <w:r w:rsidR="00EB4D65" w:rsidRPr="009C3D35">
        <w:rPr>
          <w:lang w:val="fr-FR"/>
        </w:rPr>
        <w:t>Des explications sur l</w:t>
      </w:r>
      <w:r w:rsidRPr="009C3D35">
        <w:rPr>
          <w:lang w:val="fr-FR"/>
        </w:rPr>
        <w:t xml:space="preserve">e processus d’analyse des risques </w:t>
      </w:r>
      <w:r w:rsidR="00EB4D65" w:rsidRPr="009C3D35">
        <w:rPr>
          <w:lang w:val="fr-FR"/>
        </w:rPr>
        <w:t xml:space="preserve">sont données </w:t>
      </w:r>
      <w:r w:rsidRPr="009C3D35">
        <w:rPr>
          <w:lang w:val="fr-FR"/>
        </w:rPr>
        <w:t>dans l’outil intitulé « Feuille de route pour l’analyse des risques</w:t>
      </w:r>
      <w:r w:rsidR="00EB4D65" w:rsidRPr="009C3D35">
        <w:rPr>
          <w:lang w:val="fr-FR"/>
        </w:rPr>
        <w:t xml:space="preserve"> liés aux PTM</w:t>
      </w:r>
      <w:r w:rsidRPr="009C3D35">
        <w:rPr>
          <w:lang w:val="fr-FR"/>
        </w:rPr>
        <w:t xml:space="preserve"> ». Les procédures opérationnelles normalisées </w:t>
      </w:r>
      <w:r w:rsidR="005C1729" w:rsidRPr="009C3D35">
        <w:rPr>
          <w:lang w:val="fr-FR"/>
        </w:rPr>
        <w:t xml:space="preserve">de </w:t>
      </w:r>
      <w:r w:rsidR="005C1729" w:rsidRPr="009C3D35">
        <w:rPr>
          <w:lang w:val="fr-FR"/>
        </w:rPr>
        <w:lastRenderedPageBreak/>
        <w:t xml:space="preserve">la Fédération internationale </w:t>
      </w:r>
      <w:r w:rsidRPr="009C3D35">
        <w:rPr>
          <w:lang w:val="fr-FR"/>
        </w:rPr>
        <w:t>relatives aux programmes communautaires fournissent une liste de contrôle détaillée pour la gestion des risques.</w:t>
      </w:r>
    </w:p>
    <w:p w:rsidR="006C34BD" w:rsidRPr="009C3D35" w:rsidRDefault="00EB6BC3" w:rsidP="005C1729">
      <w:pPr>
        <w:pStyle w:val="Heading3"/>
        <w:rPr>
          <w:lang w:val="fr-FR"/>
        </w:rPr>
      </w:pPr>
      <w:r w:rsidRPr="009C3D35">
        <w:rPr>
          <w:lang w:val="fr-FR"/>
        </w:rPr>
        <w:t xml:space="preserve">Évaluer </w:t>
      </w:r>
      <w:r w:rsidR="005C1729" w:rsidRPr="009C3D35">
        <w:rPr>
          <w:lang w:val="fr-FR"/>
        </w:rPr>
        <w:t>l’efficacité par rapport aux coûts</w:t>
      </w:r>
    </w:p>
    <w:p w:rsidR="001B5EBD" w:rsidRPr="009C3D35" w:rsidRDefault="005C72CB" w:rsidP="00A264A4">
      <w:pPr>
        <w:rPr>
          <w:lang w:val="fr-FR"/>
        </w:rPr>
      </w:pPr>
      <w:r w:rsidRPr="009C3D35">
        <w:rPr>
          <w:lang w:val="fr-FR"/>
        </w:rPr>
        <w:t>Lors de la sélection des modalités de transfert</w:t>
      </w:r>
      <w:r w:rsidR="00A264A4" w:rsidRPr="009C3D35">
        <w:rPr>
          <w:lang w:val="fr-FR"/>
        </w:rPr>
        <w:t>s</w:t>
      </w:r>
      <w:r w:rsidRPr="009C3D35">
        <w:rPr>
          <w:lang w:val="fr-FR"/>
        </w:rPr>
        <w:t xml:space="preserve">, un simple calcul peut être effectué pour comparer les coûts liés aux différentes modalités (distribution de nourriture, de bons et d’espèces) et, </w:t>
      </w:r>
      <w:r w:rsidR="00EB7E90" w:rsidRPr="009C3D35">
        <w:rPr>
          <w:lang w:val="fr-FR"/>
        </w:rPr>
        <w:t>dans la mesure du possible</w:t>
      </w:r>
      <w:r w:rsidRPr="009C3D35">
        <w:rPr>
          <w:lang w:val="fr-FR"/>
        </w:rPr>
        <w:t xml:space="preserve">, aux différents mécanismes de distribution. </w:t>
      </w:r>
      <w:r w:rsidR="00E95036" w:rsidRPr="009C3D35">
        <w:rPr>
          <w:lang w:val="fr-FR"/>
        </w:rPr>
        <w:t xml:space="preserve">L’outil intitulé « Modèle de calcul de </w:t>
      </w:r>
      <w:r w:rsidR="00A264A4" w:rsidRPr="009C3D35">
        <w:rPr>
          <w:lang w:val="fr-FR"/>
        </w:rPr>
        <w:t>l’efficacité par rapport aux coûts</w:t>
      </w:r>
      <w:r w:rsidR="00E95036" w:rsidRPr="009C3D35">
        <w:rPr>
          <w:lang w:val="fr-FR"/>
        </w:rPr>
        <w:t> » vous permettra d’évaluer la rentabilité des différentes solutions d’intervention en fonction du montant des transferts et des coûts liés à la mise en œuvre de chaque modalité ou mécanisme.</w:t>
      </w:r>
    </w:p>
    <w:p w:rsidR="006C34BD" w:rsidRPr="009C3D35" w:rsidRDefault="00EB6BC3" w:rsidP="00964484">
      <w:pPr>
        <w:pStyle w:val="Heading3"/>
        <w:keepLines/>
        <w:rPr>
          <w:lang w:val="fr-FR"/>
        </w:rPr>
      </w:pPr>
      <w:r w:rsidRPr="009C3D35">
        <w:rPr>
          <w:lang w:val="fr-FR"/>
        </w:rPr>
        <w:t>Comparer les solutions et prendre une décision</w:t>
      </w:r>
    </w:p>
    <w:p w:rsidR="007D1A58" w:rsidRPr="009C3D35" w:rsidRDefault="003610E1" w:rsidP="0091241A">
      <w:pPr>
        <w:keepNext/>
        <w:keepLines/>
        <w:spacing w:after="360"/>
        <w:rPr>
          <w:lang w:val="fr-FR"/>
        </w:rPr>
      </w:pPr>
      <w:r w:rsidRPr="009C3D35">
        <w:rPr>
          <w:lang w:val="fr-FR"/>
        </w:rPr>
        <w:t xml:space="preserve">L’outil relatif à la </w:t>
      </w:r>
      <w:r w:rsidR="005033ED" w:rsidRPr="009C3D35">
        <w:rPr>
          <w:lang w:val="fr-FR"/>
        </w:rPr>
        <w:t>prise de décision</w:t>
      </w:r>
      <w:r w:rsidRPr="009C3D35">
        <w:rPr>
          <w:lang w:val="fr-FR"/>
        </w:rPr>
        <w:t xml:space="preserve"> vous fournira des indications sur la façon de déterminer quels sont les modalités et les mécanismes de transfert</w:t>
      </w:r>
      <w:r w:rsidR="005033ED" w:rsidRPr="009C3D35">
        <w:rPr>
          <w:lang w:val="fr-FR"/>
        </w:rPr>
        <w:t>s</w:t>
      </w:r>
      <w:r w:rsidR="00EB7E90" w:rsidRPr="009C3D35">
        <w:rPr>
          <w:lang w:val="fr-FR"/>
        </w:rPr>
        <w:t xml:space="preserve"> monétaire</w:t>
      </w:r>
      <w:r w:rsidR="005033ED" w:rsidRPr="009C3D35">
        <w:rPr>
          <w:lang w:val="fr-FR"/>
        </w:rPr>
        <w:t>s</w:t>
      </w:r>
      <w:r w:rsidRPr="009C3D35">
        <w:rPr>
          <w:lang w:val="fr-FR"/>
        </w:rPr>
        <w:t xml:space="preserve"> les plus appropriés pour atteindre les objectifs de l’intervention d’urgence. Le modèle de </w:t>
      </w:r>
      <w:r w:rsidR="0091241A" w:rsidRPr="009C3D35">
        <w:rPr>
          <w:lang w:val="fr-FR"/>
        </w:rPr>
        <w:t>tableau de bord</w:t>
      </w:r>
      <w:r w:rsidRPr="009C3D35">
        <w:rPr>
          <w:lang w:val="fr-FR"/>
        </w:rPr>
        <w:t xml:space="preserve"> pour l</w:t>
      </w:r>
      <w:r w:rsidR="0091241A" w:rsidRPr="009C3D35">
        <w:rPr>
          <w:lang w:val="fr-FR"/>
        </w:rPr>
        <w:t>a prise de décision</w:t>
      </w:r>
      <w:r w:rsidRPr="009C3D35">
        <w:rPr>
          <w:lang w:val="fr-FR"/>
        </w:rPr>
        <w:t xml:space="preserve"> vous permettra d’évaluer le</w:t>
      </w:r>
      <w:r w:rsidR="00EB7E90" w:rsidRPr="009C3D35">
        <w:rPr>
          <w:lang w:val="fr-FR"/>
        </w:rPr>
        <w:t>s modalités et les mécanismes d’intervention</w:t>
      </w:r>
      <w:r w:rsidRPr="009C3D35">
        <w:rPr>
          <w:lang w:val="fr-FR"/>
        </w:rPr>
        <w:t xml:space="preserve"> </w:t>
      </w:r>
      <w:r w:rsidR="0091241A" w:rsidRPr="009C3D35">
        <w:rPr>
          <w:lang w:val="fr-FR"/>
        </w:rPr>
        <w:t>au regard de</w:t>
      </w:r>
      <w:r w:rsidRPr="009C3D35">
        <w:rPr>
          <w:lang w:val="fr-FR"/>
        </w:rPr>
        <w:t xml:space="preserve"> l’ensemble des critères </w:t>
      </w:r>
      <w:r w:rsidR="0091241A" w:rsidRPr="009C3D35">
        <w:rPr>
          <w:lang w:val="fr-FR"/>
        </w:rPr>
        <w:t>utilisés pour</w:t>
      </w:r>
      <w:r w:rsidRPr="009C3D35">
        <w:rPr>
          <w:lang w:val="fr-FR"/>
        </w:rPr>
        <w:t xml:space="preserve"> l’analyse. </w:t>
      </w:r>
      <w:r w:rsidR="0091241A" w:rsidRPr="009C3D35">
        <w:rPr>
          <w:lang w:val="fr-FR"/>
        </w:rPr>
        <w:t>Ce tableau de bord</w:t>
      </w:r>
      <w:r w:rsidRPr="009C3D35">
        <w:rPr>
          <w:lang w:val="fr-FR"/>
        </w:rPr>
        <w:t xml:space="preserve"> </w:t>
      </w:r>
      <w:r w:rsidR="0091241A" w:rsidRPr="009C3D35">
        <w:rPr>
          <w:lang w:val="fr-FR"/>
        </w:rPr>
        <w:t>devrait</w:t>
      </w:r>
      <w:r w:rsidRPr="009C3D35">
        <w:rPr>
          <w:lang w:val="fr-FR"/>
        </w:rPr>
        <w:t xml:space="preserve"> être utilisé pour </w:t>
      </w:r>
      <w:r w:rsidR="0091241A" w:rsidRPr="009C3D35">
        <w:rPr>
          <w:lang w:val="fr-FR"/>
        </w:rPr>
        <w:t>sélectionner à la fois les modalités et</w:t>
      </w:r>
      <w:r w:rsidR="00EB7E90" w:rsidRPr="009C3D35">
        <w:rPr>
          <w:lang w:val="fr-FR"/>
        </w:rPr>
        <w:t xml:space="preserve"> les mécanismes</w:t>
      </w:r>
      <w:r w:rsidRPr="009C3D35">
        <w:rPr>
          <w:lang w:val="fr-FR"/>
        </w:rPr>
        <w:t xml:space="preserve">, </w:t>
      </w:r>
      <w:r w:rsidR="0091241A" w:rsidRPr="009C3D35">
        <w:rPr>
          <w:lang w:val="fr-FR"/>
        </w:rPr>
        <w:t>car les mécanismes peuvent</w:t>
      </w:r>
      <w:r w:rsidRPr="009C3D35">
        <w:rPr>
          <w:lang w:val="fr-FR"/>
        </w:rPr>
        <w:t xml:space="preserve"> influencer </w:t>
      </w:r>
      <w:r w:rsidR="0091241A" w:rsidRPr="009C3D35">
        <w:rPr>
          <w:lang w:val="fr-FR"/>
        </w:rPr>
        <w:t>la performance</w:t>
      </w:r>
      <w:r w:rsidRPr="009C3D35">
        <w:rPr>
          <w:lang w:val="fr-FR"/>
        </w:rPr>
        <w:t xml:space="preserve"> des modalités.</w:t>
      </w:r>
    </w:p>
    <w:tbl>
      <w:tblPr>
        <w:tblStyle w:val="TableGray"/>
        <w:tblW w:w="963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1731F" w:rsidRPr="009C3D35" w:rsidTr="00F70142">
        <w:tc>
          <w:tcPr>
            <w:tcW w:w="9639" w:type="dxa"/>
          </w:tcPr>
          <w:p w:rsidR="00F1731F" w:rsidRPr="009C3D35" w:rsidRDefault="00F1731F" w:rsidP="00F1731F">
            <w:pPr>
              <w:pStyle w:val="RefTitre"/>
              <w:rPr>
                <w:lang w:val="fr-FR"/>
              </w:rPr>
            </w:pPr>
            <w:r w:rsidRPr="009C3D35">
              <w:rPr>
                <w:lang w:val="fr-FR"/>
              </w:rPr>
              <w:t>DOCUMENTS</w:t>
            </w:r>
            <w:r w:rsidR="00EB6BC3" w:rsidRPr="009C3D35">
              <w:rPr>
                <w:lang w:val="fr-FR"/>
              </w:rPr>
              <w:t xml:space="preserve"> DE RÉFÉRENCE</w:t>
            </w:r>
          </w:p>
          <w:p w:rsidR="00F1731F" w:rsidRPr="009C3D35" w:rsidRDefault="00EB6BC3" w:rsidP="00F1731F">
            <w:pPr>
              <w:pStyle w:val="RefItem1"/>
              <w:rPr>
                <w:rFonts w:cs="Arial"/>
                <w:color w:val="0000D4"/>
                <w:u w:val="single"/>
                <w:lang w:val="fr-FR"/>
              </w:rPr>
            </w:pPr>
            <w:r w:rsidRPr="009C3D35">
              <w:rPr>
                <w:rFonts w:cs="Arial"/>
                <w:lang w:val="fr-FR"/>
              </w:rPr>
              <w:t>Mouvement international de la Croix-Rouge et du Croissant-Rouge</w:t>
            </w:r>
            <w:r w:rsidR="00F1731F" w:rsidRPr="009C3D35">
              <w:rPr>
                <w:rFonts w:cs="Arial"/>
                <w:lang w:val="fr-FR"/>
              </w:rPr>
              <w:t xml:space="preserve"> (2007)</w:t>
            </w:r>
            <w:r w:rsidRPr="009C3D35">
              <w:rPr>
                <w:rFonts w:cs="Arial"/>
                <w:lang w:val="fr-FR"/>
              </w:rPr>
              <w:t xml:space="preserve">, Lignes directrices sur les programmes de transferts monétaires : </w:t>
            </w:r>
            <w:hyperlink r:id="rId9" w:history="1">
              <w:r w:rsidR="00F1731F" w:rsidRPr="009C3D35">
                <w:rPr>
                  <w:rStyle w:val="Hyperlink"/>
                  <w:rFonts w:cs="Arial"/>
                  <w:lang w:val="fr-FR"/>
                </w:rPr>
                <w:t>http://www.ifrc.org/Global/Publications/disasters/finance/cash-guidelines-en.pdf</w:t>
              </w:r>
            </w:hyperlink>
          </w:p>
          <w:p w:rsidR="00F1731F" w:rsidRPr="00894DF7" w:rsidRDefault="00EB6BC3" w:rsidP="0091241A">
            <w:pPr>
              <w:pStyle w:val="RefItem1"/>
              <w:rPr>
                <w:rFonts w:cs="Arial"/>
                <w:i/>
                <w:iCs/>
                <w:lang w:val="en-GB"/>
              </w:rPr>
            </w:pPr>
            <w:r w:rsidRPr="00894DF7">
              <w:rPr>
                <w:rFonts w:cs="Arial"/>
                <w:lang w:val="en-GB"/>
              </w:rPr>
              <w:t>CICR</w:t>
            </w:r>
            <w:r w:rsidR="00F1731F" w:rsidRPr="00894DF7">
              <w:rPr>
                <w:rFonts w:cs="Arial"/>
                <w:lang w:val="en-GB"/>
              </w:rPr>
              <w:t xml:space="preserve"> (2014)</w:t>
            </w:r>
            <w:r w:rsidRPr="00894DF7">
              <w:rPr>
                <w:rFonts w:cs="Arial"/>
                <w:lang w:val="en-GB"/>
              </w:rPr>
              <w:t xml:space="preserve">, </w:t>
            </w:r>
            <w:r w:rsidRPr="00894DF7">
              <w:rPr>
                <w:rFonts w:cs="Arial"/>
                <w:i/>
                <w:iCs/>
                <w:lang w:val="en-GB"/>
              </w:rPr>
              <w:t xml:space="preserve">EcoSec </w:t>
            </w:r>
            <w:r w:rsidR="00F1731F" w:rsidRPr="00894DF7">
              <w:rPr>
                <w:rFonts w:cs="Arial"/>
                <w:i/>
                <w:iCs/>
                <w:lang w:val="en-GB"/>
              </w:rPr>
              <w:t>Executive Brief on Cash Transfer Programming</w:t>
            </w:r>
          </w:p>
          <w:p w:rsidR="00F1731F" w:rsidRPr="00894DF7" w:rsidRDefault="00F1731F" w:rsidP="009C3D35">
            <w:pPr>
              <w:pStyle w:val="RefItem1"/>
              <w:rPr>
                <w:rFonts w:cs="Arial"/>
                <w:lang w:val="en-GB"/>
              </w:rPr>
            </w:pPr>
            <w:r w:rsidRPr="00894DF7">
              <w:rPr>
                <w:rFonts w:cs="Arial"/>
                <w:lang w:val="en-GB"/>
              </w:rPr>
              <w:t>Harvey P., Bailey S. (2011)</w:t>
            </w:r>
            <w:r w:rsidR="00EB6BC3" w:rsidRPr="00894DF7">
              <w:rPr>
                <w:rFonts w:cs="Arial"/>
                <w:lang w:val="en-GB"/>
              </w:rPr>
              <w:t xml:space="preserve">, </w:t>
            </w:r>
            <w:r w:rsidRPr="00894DF7">
              <w:rPr>
                <w:rFonts w:cs="Arial"/>
                <w:i/>
                <w:iCs/>
                <w:lang w:val="en-GB"/>
              </w:rPr>
              <w:t>Good Practice Review: Cash transfer programming in emergencies</w:t>
            </w:r>
            <w:r w:rsidR="009C3D35" w:rsidRPr="00894DF7">
              <w:rPr>
                <w:rFonts w:cs="Arial"/>
                <w:lang w:val="en-GB"/>
              </w:rPr>
              <w:t>,</w:t>
            </w:r>
            <w:r w:rsidR="003F0650" w:rsidRPr="00894DF7">
              <w:rPr>
                <w:rFonts w:cs="Arial"/>
                <w:lang w:val="en-GB"/>
              </w:rPr>
              <w:t xml:space="preserve"> Humanitarian Practice Network (en anglais) :</w:t>
            </w:r>
            <w:r w:rsidRPr="00894DF7">
              <w:rPr>
                <w:rFonts w:cs="Arial"/>
                <w:lang w:val="en-GB"/>
              </w:rPr>
              <w:t xml:space="preserve"> </w:t>
            </w:r>
            <w:hyperlink r:id="rId10" w:history="1">
              <w:r w:rsidRPr="00894DF7">
                <w:rPr>
                  <w:rStyle w:val="Hyperlink"/>
                  <w:rFonts w:cs="Arial"/>
                  <w:lang w:val="en-GB"/>
                </w:rPr>
                <w:t>http://www.odihpn.org/documents%2Fgpr11.pdf</w:t>
              </w:r>
            </w:hyperlink>
          </w:p>
          <w:p w:rsidR="00F1731F" w:rsidRPr="00894DF7" w:rsidRDefault="00F1731F" w:rsidP="009C3D35">
            <w:pPr>
              <w:pStyle w:val="RefItem1"/>
              <w:rPr>
                <w:lang w:val="en-GB"/>
              </w:rPr>
            </w:pPr>
            <w:r w:rsidRPr="00894DF7">
              <w:rPr>
                <w:rFonts w:cs="Arial"/>
                <w:lang w:val="en-GB"/>
              </w:rPr>
              <w:t>FAO (2011)</w:t>
            </w:r>
            <w:r w:rsidR="003F0650" w:rsidRPr="00894DF7">
              <w:rPr>
                <w:rFonts w:cs="Arial"/>
                <w:lang w:val="en-GB"/>
              </w:rPr>
              <w:t xml:space="preserve">, </w:t>
            </w:r>
            <w:r w:rsidRPr="00894DF7">
              <w:rPr>
                <w:rFonts w:cs="Arial"/>
                <w:i/>
                <w:iCs/>
                <w:lang w:val="en-GB"/>
              </w:rPr>
              <w:t>A response analysis framework: Discussion papers</w:t>
            </w:r>
            <w:r w:rsidR="003F0650" w:rsidRPr="00894DF7">
              <w:rPr>
                <w:rFonts w:cs="Arial"/>
                <w:lang w:val="en-GB"/>
              </w:rPr>
              <w:t xml:space="preserve"> (en anglais) : </w:t>
            </w:r>
            <w:hyperlink r:id="rId11" w:history="1">
              <w:r w:rsidR="00F70142" w:rsidRPr="00894DF7">
                <w:rPr>
                  <w:rStyle w:val="Hyperlink"/>
                  <w:rFonts w:cs="Arial"/>
                  <w:lang w:val="en-GB"/>
                </w:rPr>
                <w:t>http://www.fao.org/fileadmin/user_upload/emergencies/docs/Response_Analysis_Framework_DiscussionPapers.pdf</w:t>
              </w:r>
            </w:hyperlink>
          </w:p>
        </w:tc>
      </w:tr>
    </w:tbl>
    <w:p w:rsidR="00256A0A" w:rsidRPr="00894DF7" w:rsidRDefault="00256A0A" w:rsidP="00256A0A">
      <w:pPr>
        <w:rPr>
          <w:lang w:val="en-GB"/>
        </w:rPr>
      </w:pPr>
    </w:p>
    <w:sectPr w:rsidR="00256A0A" w:rsidRPr="00894DF7" w:rsidSect="00001BB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708" w:footer="708" w:gutter="0"/>
      <w:cols w:space="708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564D50" w15:done="0"/>
  <w15:commentEx w15:paraId="5269165F" w15:done="0"/>
  <w15:commentEx w15:paraId="3613F574" w15:done="0"/>
  <w15:commentEx w15:paraId="670D9E1A" w15:done="0"/>
  <w15:commentEx w15:paraId="2C83E113" w15:done="0"/>
  <w15:commentEx w15:paraId="5DB12BE2" w15:done="0"/>
  <w15:commentEx w15:paraId="285DE34F" w15:done="0"/>
  <w15:commentEx w15:paraId="712668C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7C" w:rsidRDefault="00DF097C" w:rsidP="006C34BD">
      <w:pPr>
        <w:spacing w:after="0"/>
      </w:pPr>
      <w:r>
        <w:separator/>
      </w:r>
    </w:p>
  </w:endnote>
  <w:endnote w:type="continuationSeparator" w:id="0">
    <w:p w:rsidR="00DF097C" w:rsidRDefault="00DF097C" w:rsidP="006C34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59" w:rsidRDefault="00787E53" w:rsidP="006C34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03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6959" w:rsidRDefault="00894DF7" w:rsidP="006C34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B0" w:rsidRPr="00B45C74" w:rsidRDefault="00787E53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001BB0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894DF7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001BB0" w:rsidRPr="00EB6BC3" w:rsidRDefault="00001BB0" w:rsidP="00ED1B2B">
    <w:pPr>
      <w:pStyle w:val="Footer"/>
      <w:rPr>
        <w:lang w:val="fr-BE"/>
      </w:rPr>
    </w:pPr>
    <w:r w:rsidRPr="00EB6BC3">
      <w:rPr>
        <w:b/>
        <w:lang w:val="fr-BE"/>
      </w:rPr>
      <w:t>Module 3.</w:t>
    </w:r>
    <w:r w:rsidRPr="00EB6BC3">
      <w:rPr>
        <w:lang w:val="fr-BE"/>
      </w:rPr>
      <w:t xml:space="preserve"> </w:t>
    </w:r>
    <w:r w:rsidR="00EB6BC3" w:rsidRPr="00EB6BC3">
      <w:rPr>
        <w:lang w:val="fr-BE"/>
      </w:rPr>
      <w:t>Étape</w:t>
    </w:r>
    <w:r w:rsidR="00D101DD" w:rsidRPr="00EB6BC3">
      <w:rPr>
        <w:lang w:val="fr-BE"/>
      </w:rPr>
      <w:t xml:space="preserve"> 1. </w:t>
    </w:r>
    <w:r w:rsidR="00894DF7">
      <w:fldChar w:fldCharType="begin"/>
    </w:r>
    <w:r w:rsidR="00894DF7">
      <w:instrText xml:space="preserve"> STYLEREF  H1 \t  \* MERGEFORMAT </w:instrText>
    </w:r>
    <w:r w:rsidR="00894DF7">
      <w:fldChar w:fldCharType="separate"/>
    </w:r>
    <w:r w:rsidR="00894DF7" w:rsidRPr="00894DF7">
      <w:rPr>
        <w:bCs/>
        <w:noProof/>
        <w:lang w:val="fr-BE"/>
      </w:rPr>
      <w:t xml:space="preserve">Feuille de route pour l’évaluation de la faisabilité </w:t>
    </w:r>
    <w:r w:rsidR="00894DF7" w:rsidRPr="00894DF7">
      <w:rPr>
        <w:noProof/>
        <w:lang w:val="fr-BE"/>
      </w:rPr>
      <w:t>des transferts monétaires et la sélection des modalités et des mécanismes de distribution</w:t>
    </w:r>
    <w:r w:rsidR="00894DF7">
      <w:rPr>
        <w:noProof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B0" w:rsidRPr="00B45C74" w:rsidRDefault="00787E53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001BB0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894DF7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001BB0" w:rsidRPr="00EB6BC3" w:rsidRDefault="00001BB0" w:rsidP="00ED1B2B">
    <w:pPr>
      <w:pStyle w:val="Footer"/>
      <w:rPr>
        <w:lang w:val="fr-FR"/>
      </w:rPr>
    </w:pPr>
    <w:r w:rsidRPr="00EB6BC3">
      <w:rPr>
        <w:b/>
        <w:lang w:val="fr-FR"/>
      </w:rPr>
      <w:t>Module 3.</w:t>
    </w:r>
    <w:r w:rsidRPr="00EB6BC3">
      <w:rPr>
        <w:lang w:val="fr-FR"/>
      </w:rPr>
      <w:t xml:space="preserve"> </w:t>
    </w:r>
    <w:r w:rsidR="00EB6BC3" w:rsidRPr="00EB6BC3">
      <w:rPr>
        <w:lang w:val="fr-FR"/>
      </w:rPr>
      <w:t>Étape</w:t>
    </w:r>
    <w:r w:rsidR="00D101DD" w:rsidRPr="00EB6BC3">
      <w:rPr>
        <w:lang w:val="fr-FR"/>
      </w:rPr>
      <w:t xml:space="preserve"> 1. </w:t>
    </w:r>
    <w:r w:rsidR="00894DF7">
      <w:fldChar w:fldCharType="begin"/>
    </w:r>
    <w:r w:rsidR="00894DF7">
      <w:instrText xml:space="preserve"> STYLEREF  H1 \t  \* MERGEFORMAT </w:instrText>
    </w:r>
    <w:r w:rsidR="00894DF7">
      <w:fldChar w:fldCharType="separate"/>
    </w:r>
    <w:r w:rsidR="00894DF7" w:rsidRPr="00894DF7">
      <w:rPr>
        <w:bCs/>
        <w:noProof/>
        <w:lang w:val="fr-FR"/>
      </w:rPr>
      <w:t xml:space="preserve">Feuille de route pour l’évaluation de la faisabilité </w:t>
    </w:r>
    <w:r w:rsidR="00894DF7" w:rsidRPr="00894DF7">
      <w:rPr>
        <w:noProof/>
        <w:lang w:val="fr-FR"/>
      </w:rPr>
      <w:t>des transferts monétaires et la sélection des modalités et des mécanismes de distribution</w:t>
    </w:r>
    <w:r w:rsidR="00894DF7">
      <w:rPr>
        <w:noProof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7C" w:rsidRDefault="00DF097C" w:rsidP="006C34BD">
      <w:pPr>
        <w:spacing w:after="0"/>
      </w:pPr>
      <w:r>
        <w:separator/>
      </w:r>
    </w:p>
  </w:footnote>
  <w:footnote w:type="continuationSeparator" w:id="0">
    <w:p w:rsidR="00DF097C" w:rsidRDefault="00DF097C" w:rsidP="006C34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B0" w:rsidRPr="00EB6BC3" w:rsidRDefault="00EB6BC3" w:rsidP="008B0283">
    <w:pPr>
      <w:pStyle w:val="Header"/>
      <w:rPr>
        <w:sz w:val="14"/>
        <w:szCs w:val="14"/>
        <w:lang w:val="fr-FR"/>
      </w:rPr>
    </w:pPr>
    <w:r w:rsidRPr="00EB6BC3">
      <w:rPr>
        <w:rStyle w:val="Pantone485"/>
        <w:sz w:val="14"/>
        <w:szCs w:val="14"/>
        <w:lang w:val="fr-FR"/>
      </w:rPr>
      <w:t>Mouvement international de la Croix-Rouge et du Croissant-Rouge</w:t>
    </w:r>
    <w:r w:rsidR="00001BB0" w:rsidRPr="00EB6BC3">
      <w:rPr>
        <w:rFonts w:cs="Caecilia-Light"/>
        <w:color w:val="FF0000"/>
        <w:sz w:val="14"/>
        <w:szCs w:val="14"/>
        <w:lang w:val="fr-FR"/>
      </w:rPr>
      <w:t xml:space="preserve"> </w:t>
    </w:r>
    <w:r w:rsidR="00001BB0" w:rsidRPr="00EB6BC3">
      <w:rPr>
        <w:rStyle w:val="PageNumber"/>
        <w:bCs/>
        <w:sz w:val="14"/>
        <w:szCs w:val="14"/>
        <w:lang w:val="fr-FR"/>
      </w:rPr>
      <w:t>I</w:t>
    </w:r>
    <w:r w:rsidR="00001BB0" w:rsidRPr="00EB6BC3">
      <w:rPr>
        <w:rStyle w:val="PageNumber"/>
        <w:color w:val="FF0000"/>
        <w:sz w:val="14"/>
        <w:szCs w:val="14"/>
        <w:lang w:val="fr-FR"/>
      </w:rPr>
      <w:t xml:space="preserve"> </w:t>
    </w:r>
    <w:r>
      <w:rPr>
        <w:b/>
        <w:sz w:val="14"/>
        <w:szCs w:val="14"/>
        <w:lang w:val="fr-FR"/>
      </w:rPr>
      <w:t xml:space="preserve">Boîte à outils pour </w:t>
    </w:r>
    <w:r w:rsidR="008B0283">
      <w:rPr>
        <w:b/>
        <w:sz w:val="14"/>
        <w:szCs w:val="14"/>
        <w:lang w:val="fr-FR"/>
      </w:rPr>
      <w:t>les transferts monétaires</w:t>
    </w:r>
    <w:r>
      <w:rPr>
        <w:b/>
        <w:sz w:val="14"/>
        <w:szCs w:val="14"/>
        <w:lang w:val="fr-FR"/>
      </w:rPr>
      <w:t xml:space="preserve"> dans les situations d’urgence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FD" w:rsidRDefault="009C6AFD" w:rsidP="009C6AFD">
    <w:pPr>
      <w:pStyle w:val="Header1"/>
    </w:pPr>
    <w:r>
      <w:rPr>
        <w:rFonts w:ascii="Arial Bold" w:hAnsi="Arial Bold"/>
        <w:noProof/>
        <w:color w:val="DC281E"/>
        <w:lang w:val="en-GB" w:eastAsia="en-GB"/>
      </w:rPr>
      <w:drawing>
        <wp:anchor distT="0" distB="0" distL="114300" distR="114300" simplePos="0" relativeHeight="251660288" behindDoc="0" locked="0" layoutInCell="1" allowOverlap="1" wp14:anchorId="793506A6" wp14:editId="024D0106">
          <wp:simplePos x="0" y="0"/>
          <wp:positionH relativeFrom="margin">
            <wp:posOffset>316865</wp:posOffset>
          </wp:positionH>
          <wp:positionV relativeFrom="margin">
            <wp:posOffset>-1280795</wp:posOffset>
          </wp:positionV>
          <wp:extent cx="630555" cy="735330"/>
          <wp:effectExtent l="0" t="0" r="0" b="7620"/>
          <wp:wrapSquare wrapText="bothSides"/>
          <wp:docPr id="2" name="Picture 2" descr="T:\Language\2015\French\Z_Jonathan\Références\Cash in emergencies\CICR logo-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anguage\2015\French\Z_Jonathan\Références\Cash in emergencies\CICR logo-F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C6AFD" w:rsidRDefault="009C6AFD" w:rsidP="009C6AFD">
    <w:pPr>
      <w:pStyle w:val="Header1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F2CFA40" wp14:editId="5B89567F">
          <wp:simplePos x="0" y="0"/>
          <wp:positionH relativeFrom="margin">
            <wp:posOffset>2590165</wp:posOffset>
          </wp:positionH>
          <wp:positionV relativeFrom="margin">
            <wp:posOffset>-915670</wp:posOffset>
          </wp:positionV>
          <wp:extent cx="3187065" cy="3086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-French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065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1BB0" w:rsidRDefault="00001BB0" w:rsidP="00C16D71">
    <w:pPr>
      <w:pStyle w:val="Header"/>
      <w:spacing w:line="240" w:lineRule="auto"/>
      <w:rPr>
        <w:b/>
        <w:color w:val="DC281E"/>
        <w:sz w:val="24"/>
        <w:szCs w:val="24"/>
      </w:rPr>
    </w:pPr>
  </w:p>
  <w:p w:rsidR="009C6AFD" w:rsidRDefault="009C6AFD" w:rsidP="00C16D71">
    <w:pPr>
      <w:pStyle w:val="Header"/>
      <w:spacing w:line="240" w:lineRule="auto"/>
      <w:rPr>
        <w:b/>
        <w:color w:val="DC281E"/>
        <w:sz w:val="24"/>
        <w:szCs w:val="24"/>
      </w:rPr>
    </w:pPr>
  </w:p>
  <w:p w:rsidR="00001BB0" w:rsidRDefault="00001BB0" w:rsidP="00C16D71">
    <w:pPr>
      <w:pStyle w:val="Header"/>
      <w:spacing w:line="240" w:lineRule="auto"/>
      <w:rPr>
        <w:b/>
        <w:color w:val="DC281E"/>
        <w:sz w:val="24"/>
        <w:szCs w:val="24"/>
      </w:rPr>
    </w:pPr>
  </w:p>
  <w:p w:rsidR="00001BB0" w:rsidRPr="00EB6BC3" w:rsidRDefault="00EB6BC3" w:rsidP="009C6AFD">
    <w:pPr>
      <w:pStyle w:val="Header1"/>
      <w:rPr>
        <w:rFonts w:ascii="Arial Bold" w:hAnsi="Arial Bold" w:cs="Arial"/>
        <w:color w:val="DC281E"/>
        <w:lang w:val="fr-FR"/>
      </w:rPr>
    </w:pPr>
    <w:r w:rsidRPr="00EB6BC3">
      <w:rPr>
        <w:rFonts w:ascii="Arial Bold" w:hAnsi="Arial Bold" w:cs="Arial"/>
        <w:color w:val="DC281E"/>
        <w:lang w:val="fr-FR"/>
      </w:rPr>
      <w:t xml:space="preserve">Boîte à outils pour </w:t>
    </w:r>
    <w:r w:rsidR="009C6AFD">
      <w:rPr>
        <w:rFonts w:ascii="Arial Bold" w:hAnsi="Arial Bold" w:cs="Arial"/>
        <w:color w:val="DC281E"/>
        <w:lang w:val="fr-FR"/>
      </w:rPr>
      <w:t>les transferts monétaires</w:t>
    </w:r>
    <w:r w:rsidRPr="00EB6BC3">
      <w:rPr>
        <w:rFonts w:ascii="Arial Bold" w:hAnsi="Arial Bold" w:cs="Arial"/>
        <w:color w:val="DC281E"/>
        <w:lang w:val="fr-FR"/>
      </w:rPr>
      <w:t xml:space="preserve">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17"/>
  </w:num>
  <w:num w:numId="6">
    <w:abstractNumId w:val="5"/>
  </w:num>
  <w:num w:numId="7">
    <w:abstractNumId w:val="7"/>
  </w:num>
  <w:num w:numId="8">
    <w:abstractNumId w:val="3"/>
  </w:num>
  <w:num w:numId="9">
    <w:abstractNumId w:val="18"/>
  </w:num>
  <w:num w:numId="10">
    <w:abstractNumId w:val="10"/>
  </w:num>
  <w:num w:numId="11">
    <w:abstractNumId w:val="11"/>
  </w:num>
  <w:num w:numId="12">
    <w:abstractNumId w:val="15"/>
  </w:num>
  <w:num w:numId="13">
    <w:abstractNumId w:val="16"/>
  </w:num>
  <w:num w:numId="14">
    <w:abstractNumId w:val="2"/>
  </w:num>
  <w:num w:numId="15">
    <w:abstractNumId w:val="0"/>
  </w:num>
  <w:num w:numId="16">
    <w:abstractNumId w:val="8"/>
  </w:num>
  <w:num w:numId="17">
    <w:abstractNumId w:val="12"/>
  </w:num>
  <w:num w:numId="18">
    <w:abstractNumId w:val="14"/>
  </w:num>
  <w:num w:numId="1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linkStyl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3740"/>
    <w:rsid w:val="00001BB0"/>
    <w:rsid w:val="00011F48"/>
    <w:rsid w:val="000336C8"/>
    <w:rsid w:val="00056D1C"/>
    <w:rsid w:val="00093949"/>
    <w:rsid w:val="000A6C17"/>
    <w:rsid w:val="00116B0E"/>
    <w:rsid w:val="00122B07"/>
    <w:rsid w:val="001460D8"/>
    <w:rsid w:val="00157970"/>
    <w:rsid w:val="00170ADA"/>
    <w:rsid w:val="00185A9F"/>
    <w:rsid w:val="001B5EBD"/>
    <w:rsid w:val="001B6DF2"/>
    <w:rsid w:val="001E3E72"/>
    <w:rsid w:val="00256A0A"/>
    <w:rsid w:val="00266B62"/>
    <w:rsid w:val="00276222"/>
    <w:rsid w:val="002C3138"/>
    <w:rsid w:val="0031609A"/>
    <w:rsid w:val="00350197"/>
    <w:rsid w:val="003610E1"/>
    <w:rsid w:val="003A1697"/>
    <w:rsid w:val="003F0650"/>
    <w:rsid w:val="004A613E"/>
    <w:rsid w:val="004F38AC"/>
    <w:rsid w:val="005033ED"/>
    <w:rsid w:val="0050384E"/>
    <w:rsid w:val="00517E88"/>
    <w:rsid w:val="005377B7"/>
    <w:rsid w:val="00551397"/>
    <w:rsid w:val="005C0C93"/>
    <w:rsid w:val="005C1729"/>
    <w:rsid w:val="005C72CB"/>
    <w:rsid w:val="0062030E"/>
    <w:rsid w:val="006205AA"/>
    <w:rsid w:val="00640F7F"/>
    <w:rsid w:val="006A502B"/>
    <w:rsid w:val="006B3366"/>
    <w:rsid w:val="006D4598"/>
    <w:rsid w:val="007128C5"/>
    <w:rsid w:val="00735118"/>
    <w:rsid w:val="007546E7"/>
    <w:rsid w:val="00787E53"/>
    <w:rsid w:val="007C6746"/>
    <w:rsid w:val="007D1A58"/>
    <w:rsid w:val="007E6D29"/>
    <w:rsid w:val="0081485B"/>
    <w:rsid w:val="0082247A"/>
    <w:rsid w:val="00870812"/>
    <w:rsid w:val="0087668F"/>
    <w:rsid w:val="00894DF7"/>
    <w:rsid w:val="008B0283"/>
    <w:rsid w:val="008F2FF2"/>
    <w:rsid w:val="0091241A"/>
    <w:rsid w:val="00921488"/>
    <w:rsid w:val="009331BF"/>
    <w:rsid w:val="00964484"/>
    <w:rsid w:val="009A324E"/>
    <w:rsid w:val="009A5FA3"/>
    <w:rsid w:val="009C3D35"/>
    <w:rsid w:val="009C6AFD"/>
    <w:rsid w:val="009D3DBA"/>
    <w:rsid w:val="00A010C8"/>
    <w:rsid w:val="00A0659F"/>
    <w:rsid w:val="00A10F2A"/>
    <w:rsid w:val="00A264A4"/>
    <w:rsid w:val="00A517A0"/>
    <w:rsid w:val="00A53101"/>
    <w:rsid w:val="00A612DC"/>
    <w:rsid w:val="00AB5EF1"/>
    <w:rsid w:val="00B43740"/>
    <w:rsid w:val="00BB3DF4"/>
    <w:rsid w:val="00C72290"/>
    <w:rsid w:val="00C820ED"/>
    <w:rsid w:val="00C94037"/>
    <w:rsid w:val="00CE2101"/>
    <w:rsid w:val="00D062DB"/>
    <w:rsid w:val="00D069A0"/>
    <w:rsid w:val="00D101DD"/>
    <w:rsid w:val="00D31A90"/>
    <w:rsid w:val="00DC1372"/>
    <w:rsid w:val="00DD0EFC"/>
    <w:rsid w:val="00DD662A"/>
    <w:rsid w:val="00DF097C"/>
    <w:rsid w:val="00E36CBD"/>
    <w:rsid w:val="00E95036"/>
    <w:rsid w:val="00EB4D65"/>
    <w:rsid w:val="00EB6BC3"/>
    <w:rsid w:val="00EB7E90"/>
    <w:rsid w:val="00EC70D5"/>
    <w:rsid w:val="00ED0B8D"/>
    <w:rsid w:val="00ED2A06"/>
    <w:rsid w:val="00ED44AD"/>
    <w:rsid w:val="00EE646C"/>
    <w:rsid w:val="00F1731F"/>
    <w:rsid w:val="00F33AE7"/>
    <w:rsid w:val="00F54955"/>
    <w:rsid w:val="00F70142"/>
    <w:rsid w:val="00F71C32"/>
    <w:rsid w:val="00FA46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D8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1460D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0D8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0D8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60D8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460D8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1460D8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60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60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D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DB8"/>
    <w:rPr>
      <w:sz w:val="24"/>
      <w:szCs w:val="24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1460D8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1460D8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0D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0D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60D8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60D8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1460D8"/>
    <w:rPr>
      <w:b/>
    </w:rPr>
  </w:style>
  <w:style w:type="paragraph" w:styleId="Header">
    <w:name w:val="header"/>
    <w:basedOn w:val="Normal"/>
    <w:link w:val="HeaderChar"/>
    <w:uiPriority w:val="99"/>
    <w:unhideWhenUsed/>
    <w:rsid w:val="001460D8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460D8"/>
    <w:rPr>
      <w:rFonts w:ascii="Arial" w:hAnsi="Arial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1460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60D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60D8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460D8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60D8"/>
    <w:rPr>
      <w:rFonts w:ascii="Arial" w:hAnsi="Arial" w:cs="Times New Roman"/>
      <w:b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460D8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60D8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1460D8"/>
    <w:rPr>
      <w:vertAlign w:val="superscript"/>
    </w:rPr>
  </w:style>
  <w:style w:type="paragraph" w:styleId="Revision">
    <w:name w:val="Revision"/>
    <w:hidden/>
    <w:uiPriority w:val="99"/>
    <w:semiHidden/>
    <w:rsid w:val="001460D8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1460D8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1460D8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1460D8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1460D8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1460D8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1460D8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1460D8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1460D8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1460D8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1460D8"/>
    <w:pPr>
      <w:numPr>
        <w:numId w:val="17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1460D8"/>
    <w:pPr>
      <w:numPr>
        <w:ilvl w:val="1"/>
        <w:numId w:val="1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1460D8"/>
    <w:pPr>
      <w:numPr>
        <w:numId w:val="16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1460D8"/>
    <w:pPr>
      <w:numPr>
        <w:numId w:val="18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1460D8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1460D8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460D8"/>
    <w:pPr>
      <w:keepNext/>
      <w:keepLines/>
      <w:framePr w:hSpace="141" w:wrap="around" w:vAnchor="text" w:hAnchor="margin" w:y="402"/>
      <w:numPr>
        <w:numId w:val="19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D8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1460D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0D8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0D8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60D8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460D8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1460D8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60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60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D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DB8"/>
    <w:rPr>
      <w:sz w:val="24"/>
      <w:szCs w:val="24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1460D8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1460D8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0D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0D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60D8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60D8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1460D8"/>
    <w:rPr>
      <w:b/>
    </w:rPr>
  </w:style>
  <w:style w:type="paragraph" w:styleId="Header">
    <w:name w:val="header"/>
    <w:basedOn w:val="Normal"/>
    <w:link w:val="HeaderChar"/>
    <w:uiPriority w:val="99"/>
    <w:unhideWhenUsed/>
    <w:rsid w:val="001460D8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460D8"/>
    <w:rPr>
      <w:rFonts w:ascii="Arial" w:hAnsi="Arial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1460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60D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60D8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460D8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60D8"/>
    <w:rPr>
      <w:rFonts w:ascii="Arial" w:hAnsi="Arial" w:cs="Times New Roman"/>
      <w:b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460D8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60D8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1460D8"/>
    <w:rPr>
      <w:vertAlign w:val="superscript"/>
    </w:rPr>
  </w:style>
  <w:style w:type="paragraph" w:styleId="Revision">
    <w:name w:val="Revision"/>
    <w:hidden/>
    <w:uiPriority w:val="99"/>
    <w:semiHidden/>
    <w:rsid w:val="001460D8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1460D8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1460D8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1460D8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1460D8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1460D8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1460D8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1460D8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1460D8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1460D8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1460D8"/>
    <w:pPr>
      <w:numPr>
        <w:numId w:val="17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1460D8"/>
    <w:pPr>
      <w:numPr>
        <w:ilvl w:val="1"/>
        <w:numId w:val="1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1460D8"/>
    <w:pPr>
      <w:numPr>
        <w:numId w:val="16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1460D8"/>
    <w:pPr>
      <w:numPr>
        <w:numId w:val="18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1460D8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1460D8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460D8"/>
    <w:pPr>
      <w:keepNext/>
      <w:keepLines/>
      <w:framePr w:hSpace="141" w:wrap="around" w:vAnchor="text" w:hAnchor="margin" w:y="402"/>
      <w:numPr>
        <w:numId w:val="19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o.org/fileadmin/user_upload/emergencies/docs/Response_Analysis_Framework_DiscussionPaper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odihpn.org/documents%2Fgpr1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rc.org/Global/Publications/disasters/finance/cash-guidelines-en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375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Florence MAROT</cp:lastModifiedBy>
  <cp:revision>71</cp:revision>
  <cp:lastPrinted>2015-12-04T09:33:00Z</cp:lastPrinted>
  <dcterms:created xsi:type="dcterms:W3CDTF">2014-11-19T16:16:00Z</dcterms:created>
  <dcterms:modified xsi:type="dcterms:W3CDTF">2016-04-29T13:11:00Z</dcterms:modified>
</cp:coreProperties>
</file>