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5E79" w14:textId="203C9E57" w:rsidR="00571391" w:rsidRPr="007C3BB4" w:rsidRDefault="007C3BB4" w:rsidP="007C3BB4">
      <w:pPr>
        <w:pStyle w:val="H1"/>
        <w:rPr>
          <w:rFonts w:cs="Arial"/>
          <w:lang w:val="fr-FR"/>
        </w:rPr>
      </w:pPr>
      <w:r w:rsidRPr="007C3BB4">
        <w:rPr>
          <w:rFonts w:cs="Arial"/>
          <w:lang w:val="fr-FR"/>
        </w:rPr>
        <w:t xml:space="preserve">Feuille de route pour la planification et la </w:t>
      </w:r>
      <w:r>
        <w:rPr>
          <w:rFonts w:cs="Arial"/>
          <w:lang w:val="fr-FR"/>
        </w:rPr>
        <w:t>pré</w:t>
      </w:r>
      <w:r w:rsidRPr="007C3BB4">
        <w:rPr>
          <w:rFonts w:cs="Arial"/>
          <w:lang w:val="fr-FR"/>
        </w:rPr>
        <w:t>paration de l’évaluation</w:t>
      </w:r>
      <w:r w:rsidR="00551FBB" w:rsidRPr="007C3BB4">
        <w:rPr>
          <w:rFonts w:cs="Arial"/>
          <w:lang w:val="fr-FR"/>
        </w:rPr>
        <w:t xml:space="preserve"> </w:t>
      </w:r>
    </w:p>
    <w:p w14:paraId="2978E197" w14:textId="4972C95E" w:rsidR="00571391" w:rsidRPr="00051D33" w:rsidRDefault="00884B4C" w:rsidP="008A252B">
      <w:pPr>
        <w:ind w:left="-170"/>
      </w:pPr>
      <w:r>
        <w:pict w14:anchorId="6407B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8pt;height:248.85pt;mso-position-vertical:absolute">
            <v:imagedata r:id="rId8" o:title="02-Assessment-rodmap-EN"/>
          </v:shape>
        </w:pict>
      </w:r>
    </w:p>
    <w:p w14:paraId="5E7C8885" w14:textId="1D731C93" w:rsidR="00E66A9A" w:rsidRPr="00EB4D39" w:rsidRDefault="00E66A9A" w:rsidP="00051D33">
      <w:pPr>
        <w:pStyle w:val="Heading2"/>
        <w:rPr>
          <w:rFonts w:cs="Arial"/>
          <w:lang w:val="fr-FR"/>
        </w:rPr>
      </w:pPr>
      <w:r w:rsidRPr="00EB4D39">
        <w:rPr>
          <w:rFonts w:cs="Arial"/>
          <w:lang w:val="fr-FR"/>
        </w:rPr>
        <w:t>INTRODUCTION</w:t>
      </w:r>
    </w:p>
    <w:p w14:paraId="6A8E3759" w14:textId="38699697" w:rsidR="00C57695" w:rsidRPr="00EB4D39" w:rsidRDefault="00D2598E" w:rsidP="00F82B82">
      <w:pPr>
        <w:rPr>
          <w:lang w:val="fr-FR"/>
        </w:rPr>
      </w:pPr>
      <w:r w:rsidRPr="00DE08BC">
        <w:rPr>
          <w:lang w:val="fr-FR"/>
        </w:rPr>
        <w:t xml:space="preserve">Pour envisager </w:t>
      </w:r>
      <w:r w:rsidR="005D4AE0">
        <w:rPr>
          <w:lang w:val="fr-FR"/>
        </w:rPr>
        <w:t xml:space="preserve">les </w:t>
      </w:r>
      <w:r w:rsidR="005D4AE0" w:rsidRPr="00F86A18">
        <w:rPr>
          <w:lang w:val="fr-FR"/>
        </w:rPr>
        <w:t>transferts monétaires</w:t>
      </w:r>
      <w:r w:rsidR="00A1794A">
        <w:rPr>
          <w:lang w:val="fr-FR"/>
        </w:rPr>
        <w:t xml:space="preserve"> comme une modalité/un </w:t>
      </w:r>
      <w:r w:rsidRPr="00DE08BC">
        <w:rPr>
          <w:lang w:val="fr-FR"/>
        </w:rPr>
        <w:t xml:space="preserve">mécanisme d’intervention possible, vous devez </w:t>
      </w:r>
      <w:r w:rsidR="0022150F">
        <w:rPr>
          <w:lang w:val="fr-FR"/>
        </w:rPr>
        <w:t>veiller</w:t>
      </w:r>
      <w:r w:rsidRPr="00DE08BC">
        <w:rPr>
          <w:lang w:val="fr-FR"/>
        </w:rPr>
        <w:t xml:space="preserve"> </w:t>
      </w:r>
      <w:r w:rsidR="0022150F">
        <w:rPr>
          <w:lang w:val="fr-FR"/>
        </w:rPr>
        <w:t>à ce</w:t>
      </w:r>
      <w:r w:rsidRPr="00DE08BC">
        <w:rPr>
          <w:lang w:val="fr-FR"/>
        </w:rPr>
        <w:t xml:space="preserve"> que votre évaluation tien</w:t>
      </w:r>
      <w:r w:rsidR="0022150F">
        <w:rPr>
          <w:lang w:val="fr-FR"/>
        </w:rPr>
        <w:t>ne</w:t>
      </w:r>
      <w:r w:rsidRPr="00DE08BC">
        <w:rPr>
          <w:lang w:val="fr-FR"/>
        </w:rPr>
        <w:t xml:space="preserve"> compte </w:t>
      </w:r>
      <w:r w:rsidR="0022150F">
        <w:rPr>
          <w:lang w:val="fr-FR"/>
        </w:rPr>
        <w:t xml:space="preserve">des </w:t>
      </w:r>
      <w:r w:rsidR="00F82B82">
        <w:rPr>
          <w:lang w:val="fr-FR"/>
        </w:rPr>
        <w:t>aspects</w:t>
      </w:r>
      <w:r w:rsidR="00DE08BC" w:rsidRPr="00DE08BC">
        <w:rPr>
          <w:lang w:val="fr-FR"/>
        </w:rPr>
        <w:t xml:space="preserve"> </w:t>
      </w:r>
      <w:r w:rsidR="0075528C">
        <w:rPr>
          <w:lang w:val="fr-FR"/>
        </w:rPr>
        <w:t>relati</w:t>
      </w:r>
      <w:r w:rsidR="00F82B82">
        <w:rPr>
          <w:lang w:val="fr-FR"/>
        </w:rPr>
        <w:t>f</w:t>
      </w:r>
      <w:r w:rsidR="00A1794A">
        <w:rPr>
          <w:lang w:val="fr-FR"/>
        </w:rPr>
        <w:t xml:space="preserve">s </w:t>
      </w:r>
      <w:r w:rsidR="00F82B82">
        <w:rPr>
          <w:lang w:val="fr-FR"/>
        </w:rPr>
        <w:t>aux transferts monétaires</w:t>
      </w:r>
      <w:r w:rsidR="00DE08BC" w:rsidRPr="00DE08BC">
        <w:rPr>
          <w:lang w:val="fr-FR"/>
        </w:rPr>
        <w:t>.</w:t>
      </w:r>
      <w:r w:rsidR="00DE08BC">
        <w:rPr>
          <w:lang w:val="fr-FR"/>
        </w:rPr>
        <w:t xml:space="preserve"> Cette feuille de route vous aidera à </w:t>
      </w:r>
      <w:r w:rsidR="005E451C">
        <w:rPr>
          <w:lang w:val="fr-FR"/>
        </w:rPr>
        <w:t xml:space="preserve">planifier et </w:t>
      </w:r>
      <w:r w:rsidR="00DE08BC">
        <w:rPr>
          <w:lang w:val="fr-FR"/>
        </w:rPr>
        <w:t xml:space="preserve">préparer votre évaluation en </w:t>
      </w:r>
      <w:r w:rsidR="00A1794A">
        <w:rPr>
          <w:lang w:val="fr-FR"/>
        </w:rPr>
        <w:t>prenant</w:t>
      </w:r>
      <w:r w:rsidR="00DE08BC">
        <w:rPr>
          <w:lang w:val="fr-FR"/>
        </w:rPr>
        <w:t xml:space="preserve"> </w:t>
      </w:r>
      <w:r w:rsidR="00DE08BC" w:rsidRPr="00F86A18">
        <w:rPr>
          <w:lang w:val="fr-FR"/>
        </w:rPr>
        <w:t xml:space="preserve">ces </w:t>
      </w:r>
      <w:r w:rsidR="00A1794A" w:rsidRPr="00F86A18">
        <w:rPr>
          <w:lang w:val="fr-FR"/>
        </w:rPr>
        <w:t>éléments</w:t>
      </w:r>
      <w:r w:rsidR="00DE08BC">
        <w:rPr>
          <w:lang w:val="fr-FR"/>
        </w:rPr>
        <w:t xml:space="preserve"> en considération.</w:t>
      </w:r>
      <w:r w:rsidRPr="00DE08BC">
        <w:rPr>
          <w:lang w:val="fr-FR"/>
        </w:rPr>
        <w:t xml:space="preserve"> </w:t>
      </w:r>
    </w:p>
    <w:p w14:paraId="6CEE33C9" w14:textId="310C6698" w:rsidR="008E6B0E" w:rsidRPr="00510A56" w:rsidRDefault="0022150F" w:rsidP="00116D31">
      <w:pPr>
        <w:rPr>
          <w:lang w:val="fr-FR"/>
        </w:rPr>
      </w:pPr>
      <w:r>
        <w:rPr>
          <w:lang w:val="fr-FR"/>
        </w:rPr>
        <w:t xml:space="preserve">Pour les besoins </w:t>
      </w:r>
      <w:r w:rsidR="005E451C">
        <w:rPr>
          <w:lang w:val="fr-FR"/>
        </w:rPr>
        <w:t>de la Boî</w:t>
      </w:r>
      <w:r w:rsidR="00A1794A">
        <w:rPr>
          <w:lang w:val="fr-FR"/>
        </w:rPr>
        <w:t>te à outils</w:t>
      </w:r>
      <w:r w:rsidR="00DE08BC" w:rsidRPr="00DE08BC">
        <w:rPr>
          <w:lang w:val="fr-FR"/>
        </w:rPr>
        <w:t xml:space="preserve">, la planification et la préparation de </w:t>
      </w:r>
      <w:r w:rsidR="00DE08BC">
        <w:rPr>
          <w:lang w:val="fr-FR"/>
        </w:rPr>
        <w:t>l’évaluation sont divisées en quatre étapes</w:t>
      </w:r>
      <w:r w:rsidR="00116D31">
        <w:rPr>
          <w:lang w:val="fr-FR"/>
        </w:rPr>
        <w:t xml:space="preserve"> subsidiaires</w:t>
      </w:r>
      <w:r w:rsidR="00DE08BC">
        <w:rPr>
          <w:lang w:val="fr-FR"/>
        </w:rPr>
        <w:t xml:space="preserve">. </w:t>
      </w:r>
      <w:r w:rsidR="00DE08BC" w:rsidRPr="00DE08BC">
        <w:rPr>
          <w:lang w:val="fr-FR"/>
        </w:rPr>
        <w:t xml:space="preserve">La première peut faciliter la prise de </w:t>
      </w:r>
      <w:r w:rsidR="00510A56" w:rsidRPr="00DE08BC">
        <w:rPr>
          <w:lang w:val="fr-FR"/>
        </w:rPr>
        <w:t>décision</w:t>
      </w:r>
      <w:r w:rsidR="00DE08BC" w:rsidRPr="00DE08BC">
        <w:rPr>
          <w:lang w:val="fr-FR"/>
        </w:rPr>
        <w:t xml:space="preserve"> initiale concernant la faisabilité </w:t>
      </w:r>
      <w:r w:rsidR="005E451C">
        <w:rPr>
          <w:lang w:val="fr-FR"/>
        </w:rPr>
        <w:t xml:space="preserve">des </w:t>
      </w:r>
      <w:r w:rsidR="005E451C" w:rsidRPr="00F86A18">
        <w:rPr>
          <w:lang w:val="fr-FR"/>
        </w:rPr>
        <w:t>transferts monétaires</w:t>
      </w:r>
      <w:r w:rsidR="00DE08BC" w:rsidRPr="00DE08BC">
        <w:rPr>
          <w:lang w:val="fr-FR"/>
        </w:rPr>
        <w:t xml:space="preserve">. </w:t>
      </w:r>
      <w:r w:rsidR="00DE08BC">
        <w:rPr>
          <w:lang w:val="fr-FR"/>
        </w:rPr>
        <w:t>La deuxième vous donnera un aperçu des méthodes et outils d’évaluation couramment utilisés</w:t>
      </w:r>
      <w:r w:rsidR="00510A56">
        <w:rPr>
          <w:lang w:val="fr-FR"/>
        </w:rPr>
        <w:t>. L</w:t>
      </w:r>
      <w:r w:rsidR="00DE08BC">
        <w:rPr>
          <w:lang w:val="fr-FR"/>
        </w:rPr>
        <w:t xml:space="preserve">a plupart </w:t>
      </w:r>
      <w:r w:rsidR="00116D31">
        <w:rPr>
          <w:lang w:val="fr-FR"/>
        </w:rPr>
        <w:t>de ces outils</w:t>
      </w:r>
      <w:r w:rsidR="00510A56">
        <w:rPr>
          <w:lang w:val="fr-FR"/>
        </w:rPr>
        <w:t xml:space="preserve"> n’étant pas spécialement conçus pour </w:t>
      </w:r>
      <w:r w:rsidR="005E451C" w:rsidRPr="00F86A18">
        <w:rPr>
          <w:lang w:val="fr-FR"/>
        </w:rPr>
        <w:t>les transferts monétaires</w:t>
      </w:r>
      <w:r w:rsidR="00DE08BC">
        <w:rPr>
          <w:lang w:val="fr-FR"/>
        </w:rPr>
        <w:t xml:space="preserve">, les éléments </w:t>
      </w:r>
      <w:r w:rsidR="00A1794A">
        <w:rPr>
          <w:lang w:val="fr-FR"/>
        </w:rPr>
        <w:t>relatifs à cette forme d’aide</w:t>
      </w:r>
      <w:r w:rsidR="00DE08BC">
        <w:rPr>
          <w:lang w:val="fr-FR"/>
        </w:rPr>
        <w:t xml:space="preserve"> devront être intégrés au cours du processus d’évaluation</w:t>
      </w:r>
      <w:r w:rsidR="00510A56">
        <w:rPr>
          <w:lang w:val="fr-FR"/>
        </w:rPr>
        <w:t>.</w:t>
      </w:r>
      <w:r w:rsidR="005E451C">
        <w:rPr>
          <w:lang w:val="fr-FR"/>
        </w:rPr>
        <w:t xml:space="preserve"> Les </w:t>
      </w:r>
      <w:r w:rsidR="00116D31">
        <w:rPr>
          <w:lang w:val="fr-FR"/>
        </w:rPr>
        <w:t>orientations et les outils relatifs à l’évaluation les plus souvent utilisés</w:t>
      </w:r>
      <w:r w:rsidR="005E451C">
        <w:rPr>
          <w:lang w:val="fr-FR"/>
        </w:rPr>
        <w:t xml:space="preserve"> sont </w:t>
      </w:r>
      <w:r w:rsidR="00116D31">
        <w:rPr>
          <w:lang w:val="fr-FR"/>
        </w:rPr>
        <w:t>mentionnés</w:t>
      </w:r>
      <w:r w:rsidR="005E451C">
        <w:rPr>
          <w:lang w:val="fr-FR"/>
        </w:rPr>
        <w:t xml:space="preserve"> dans les documents de référence.</w:t>
      </w:r>
      <w:r w:rsidR="00510A56">
        <w:rPr>
          <w:lang w:val="fr-FR"/>
        </w:rPr>
        <w:t xml:space="preserve"> </w:t>
      </w:r>
      <w:r w:rsidR="00510A56" w:rsidRPr="00510A56">
        <w:rPr>
          <w:lang w:val="fr-FR"/>
        </w:rPr>
        <w:t>La troisième étape</w:t>
      </w:r>
      <w:r w:rsidR="00116D31">
        <w:rPr>
          <w:lang w:val="fr-FR"/>
        </w:rPr>
        <w:t xml:space="preserve"> subsidiaire</w:t>
      </w:r>
      <w:r w:rsidR="00510A56" w:rsidRPr="00510A56">
        <w:rPr>
          <w:lang w:val="fr-FR"/>
        </w:rPr>
        <w:t xml:space="preserve"> vous présentera des sources de données secondaires qui peuvent </w:t>
      </w:r>
      <w:r w:rsidR="00510A56">
        <w:rPr>
          <w:lang w:val="fr-FR"/>
        </w:rPr>
        <w:t xml:space="preserve">être pertinentes pour </w:t>
      </w:r>
      <w:r w:rsidR="00116D31">
        <w:rPr>
          <w:lang w:val="fr-FR"/>
        </w:rPr>
        <w:t>la mise en œuvre de PTM</w:t>
      </w:r>
      <w:r w:rsidR="00510A56">
        <w:rPr>
          <w:lang w:val="fr-FR"/>
        </w:rPr>
        <w:t xml:space="preserve"> dans </w:t>
      </w:r>
      <w:r w:rsidR="00116D31">
        <w:rPr>
          <w:lang w:val="fr-FR"/>
        </w:rPr>
        <w:t>les situations</w:t>
      </w:r>
      <w:r w:rsidR="00510A56">
        <w:rPr>
          <w:lang w:val="fr-FR"/>
        </w:rPr>
        <w:t xml:space="preserve"> d’urgence. </w:t>
      </w:r>
      <w:r w:rsidR="00510A56" w:rsidRPr="00510A56">
        <w:rPr>
          <w:lang w:val="fr-FR"/>
        </w:rPr>
        <w:t>Enfin, la dernière étape</w:t>
      </w:r>
      <w:r w:rsidR="00116D31">
        <w:rPr>
          <w:lang w:val="fr-FR"/>
        </w:rPr>
        <w:t xml:space="preserve"> subsidiaire</w:t>
      </w:r>
      <w:r w:rsidR="00C57695" w:rsidRPr="00510A56">
        <w:rPr>
          <w:lang w:val="fr-FR"/>
        </w:rPr>
        <w:t xml:space="preserve"> </w:t>
      </w:r>
      <w:r w:rsidR="00510A56" w:rsidRPr="00510A56">
        <w:rPr>
          <w:lang w:val="fr-FR"/>
        </w:rPr>
        <w:t>vous aidera à déterminer qui sont les principal</w:t>
      </w:r>
      <w:r w:rsidR="00510A56">
        <w:rPr>
          <w:lang w:val="fr-FR"/>
        </w:rPr>
        <w:t>e</w:t>
      </w:r>
      <w:r w:rsidR="00510A56" w:rsidRPr="00510A56">
        <w:rPr>
          <w:lang w:val="fr-FR"/>
        </w:rPr>
        <w:t xml:space="preserve">s parties prenantes et </w:t>
      </w:r>
      <w:r w:rsidR="00A1794A">
        <w:rPr>
          <w:lang w:val="fr-FR"/>
        </w:rPr>
        <w:t xml:space="preserve">à </w:t>
      </w:r>
      <w:r w:rsidR="00510A56" w:rsidRPr="00510A56">
        <w:rPr>
          <w:lang w:val="fr-FR"/>
        </w:rPr>
        <w:t xml:space="preserve">obtenir </w:t>
      </w:r>
      <w:r w:rsidR="00693228">
        <w:rPr>
          <w:lang w:val="fr-FR"/>
        </w:rPr>
        <w:t>d’elles</w:t>
      </w:r>
      <w:r w:rsidR="00510A56" w:rsidRPr="00510A56">
        <w:rPr>
          <w:lang w:val="fr-FR"/>
        </w:rPr>
        <w:t xml:space="preserve"> des informations </w:t>
      </w:r>
      <w:r w:rsidR="0075528C">
        <w:rPr>
          <w:lang w:val="fr-FR"/>
        </w:rPr>
        <w:t xml:space="preserve">relatives </w:t>
      </w:r>
      <w:r w:rsidR="00F86A18">
        <w:rPr>
          <w:lang w:val="fr-FR"/>
        </w:rPr>
        <w:t>aux transferts monétaires</w:t>
      </w:r>
      <w:r w:rsidR="00510A56" w:rsidRPr="00510A56">
        <w:rPr>
          <w:lang w:val="fr-FR"/>
        </w:rPr>
        <w:t xml:space="preserve">. </w:t>
      </w:r>
    </w:p>
    <w:p w14:paraId="094599CA" w14:textId="1283FED9" w:rsidR="00E66A9A" w:rsidRPr="00510A56" w:rsidRDefault="00510A56" w:rsidP="00116D31">
      <w:pPr>
        <w:rPr>
          <w:lang w:val="fr-FR"/>
        </w:rPr>
      </w:pPr>
      <w:r w:rsidRPr="00510A56">
        <w:rPr>
          <w:lang w:val="fr-FR"/>
        </w:rPr>
        <w:t>Dans les situations d’urgence, il n’est pas toujours possible d’utiliser l’ensemble des outils proposés</w:t>
      </w:r>
      <w:r w:rsidR="009653F8">
        <w:rPr>
          <w:lang w:val="fr-FR"/>
        </w:rPr>
        <w:t>, mais vous devez</w:t>
      </w:r>
      <w:r w:rsidRPr="00510A56">
        <w:rPr>
          <w:lang w:val="fr-FR"/>
        </w:rPr>
        <w:t xml:space="preserve"> </w:t>
      </w:r>
      <w:r w:rsidR="00BE63F5">
        <w:rPr>
          <w:lang w:val="fr-FR"/>
        </w:rPr>
        <w:t>au</w:t>
      </w:r>
      <w:r w:rsidRPr="00510A56">
        <w:rPr>
          <w:lang w:val="fr-FR"/>
        </w:rPr>
        <w:t xml:space="preserve"> moins respecter les normes minimales définies pour ce</w:t>
      </w:r>
      <w:r w:rsidR="00116D31">
        <w:rPr>
          <w:lang w:val="fr-FR"/>
        </w:rPr>
        <w:t>tte étape</w:t>
      </w:r>
      <w:r w:rsidRPr="00510A56">
        <w:rPr>
          <w:lang w:val="fr-FR"/>
        </w:rPr>
        <w:t>.</w:t>
      </w:r>
      <w:r w:rsidR="00AA24BB" w:rsidRPr="00510A56">
        <w:rPr>
          <w:lang w:val="fr-FR"/>
        </w:rPr>
        <w:t xml:space="preserve"> </w:t>
      </w:r>
    </w:p>
    <w:p w14:paraId="4E297FEC" w14:textId="446AB2BC" w:rsidR="00E66A9A" w:rsidRPr="00051D33" w:rsidRDefault="00510A56" w:rsidP="00510A56">
      <w:pPr>
        <w:pStyle w:val="Heading2"/>
      </w:pPr>
      <w:r>
        <w:t>NORMES MINIMALES</w:t>
      </w:r>
    </w:p>
    <w:p w14:paraId="182CF0FD" w14:textId="406E102C" w:rsidR="00F86A18" w:rsidRPr="00AB74B6" w:rsidRDefault="000A686F" w:rsidP="00AB74B6">
      <w:pPr>
        <w:pStyle w:val="Bullet1"/>
        <w:rPr>
          <w:lang w:val="fr-FR"/>
        </w:rPr>
      </w:pPr>
      <w:r w:rsidRPr="00EB4D39">
        <w:rPr>
          <w:lang w:val="fr-FR"/>
        </w:rPr>
        <w:t xml:space="preserve">Les décisions relatives </w:t>
      </w:r>
      <w:r w:rsidR="00116D31" w:rsidRPr="00116D31">
        <w:rPr>
          <w:lang w:val="fr-FR"/>
        </w:rPr>
        <w:t xml:space="preserve">à la faisabilité d’un PTM dans une situation d’urgence </w:t>
      </w:r>
      <w:r w:rsidR="00EB4D39" w:rsidRPr="00EB4D39">
        <w:rPr>
          <w:lang w:val="fr-FR"/>
        </w:rPr>
        <w:t xml:space="preserve">doivent être prises par des employés </w:t>
      </w:r>
      <w:r w:rsidR="001E142C">
        <w:rPr>
          <w:lang w:val="fr-FR"/>
        </w:rPr>
        <w:t>disposant</w:t>
      </w:r>
      <w:r w:rsidR="00EB4D39" w:rsidRPr="00EB4D39">
        <w:rPr>
          <w:lang w:val="fr-FR"/>
        </w:rPr>
        <w:t xml:space="preserve"> d’une expérience et de connaissances techniques.</w:t>
      </w:r>
    </w:p>
    <w:p w14:paraId="662B6AF1" w14:textId="538AB297" w:rsidR="00E66A9A" w:rsidRPr="00E11AB6" w:rsidRDefault="00E11AB6" w:rsidP="005E451C">
      <w:pPr>
        <w:pStyle w:val="Bullet1"/>
        <w:rPr>
          <w:lang w:val="fr-FR"/>
        </w:rPr>
      </w:pPr>
      <w:r w:rsidRPr="00E11AB6">
        <w:rPr>
          <w:lang w:val="fr-FR"/>
        </w:rPr>
        <w:lastRenderedPageBreak/>
        <w:t>Toute décision relative à la faisabilité</w:t>
      </w:r>
      <w:r w:rsidR="00234CB3" w:rsidRPr="00E11AB6">
        <w:rPr>
          <w:lang w:val="fr-FR"/>
        </w:rPr>
        <w:t xml:space="preserve"> </w:t>
      </w:r>
      <w:r w:rsidR="003B30D2">
        <w:rPr>
          <w:lang w:val="fr-FR"/>
        </w:rPr>
        <w:t>des transferts monétaires</w:t>
      </w:r>
      <w:r w:rsidR="005E451C">
        <w:rPr>
          <w:lang w:val="fr-FR"/>
        </w:rPr>
        <w:t xml:space="preserve"> immédiatement après un choc</w:t>
      </w:r>
      <w:r w:rsidR="00A1794A" w:rsidRPr="00EB4D39">
        <w:rPr>
          <w:lang w:val="fr-FR"/>
        </w:rPr>
        <w:t xml:space="preserve"> </w:t>
      </w:r>
      <w:r w:rsidRPr="00E11AB6">
        <w:rPr>
          <w:lang w:val="fr-FR"/>
        </w:rPr>
        <w:t xml:space="preserve">doit </w:t>
      </w:r>
      <w:r>
        <w:rPr>
          <w:lang w:val="fr-FR"/>
        </w:rPr>
        <w:t xml:space="preserve">être </w:t>
      </w:r>
      <w:r w:rsidR="005E451C">
        <w:rPr>
          <w:lang w:val="fr-FR"/>
        </w:rPr>
        <w:t>confirmée</w:t>
      </w:r>
      <w:r>
        <w:rPr>
          <w:lang w:val="fr-FR"/>
        </w:rPr>
        <w:t xml:space="preserve"> par une évaluation et une analyse </w:t>
      </w:r>
      <w:r w:rsidR="0022150F">
        <w:rPr>
          <w:lang w:val="fr-FR"/>
        </w:rPr>
        <w:t xml:space="preserve">ultérieures </w:t>
      </w:r>
      <w:r>
        <w:rPr>
          <w:lang w:val="fr-FR"/>
        </w:rPr>
        <w:t>de l’intervention.</w:t>
      </w:r>
      <w:r w:rsidR="00234CB3" w:rsidRPr="00E11AB6">
        <w:rPr>
          <w:lang w:val="fr-FR"/>
        </w:rPr>
        <w:t xml:space="preserve"> </w:t>
      </w:r>
    </w:p>
    <w:p w14:paraId="2AB29B2F" w14:textId="1E55C288" w:rsidR="00234CB3" w:rsidRPr="0038391F" w:rsidRDefault="00E11AB6" w:rsidP="00AB74B6">
      <w:pPr>
        <w:pStyle w:val="Bullet1"/>
        <w:rPr>
          <w:lang w:val="fr-FR"/>
        </w:rPr>
      </w:pPr>
      <w:r w:rsidRPr="00E11AB6">
        <w:rPr>
          <w:lang w:val="fr-FR"/>
        </w:rPr>
        <w:t>La méthode/le mécanisme d’évaluation doit être choisi</w:t>
      </w:r>
      <w:r w:rsidR="00F86A18">
        <w:rPr>
          <w:lang w:val="fr-FR"/>
        </w:rPr>
        <w:t>(e)</w:t>
      </w:r>
      <w:r w:rsidRPr="00E11AB6">
        <w:rPr>
          <w:lang w:val="fr-FR"/>
        </w:rPr>
        <w:t xml:space="preserve"> en </w:t>
      </w:r>
      <w:r w:rsidR="007C04D6" w:rsidRPr="00E11AB6">
        <w:rPr>
          <w:lang w:val="fr-FR"/>
        </w:rPr>
        <w:t>fonction</w:t>
      </w:r>
      <w:r w:rsidRPr="00E11AB6">
        <w:rPr>
          <w:lang w:val="fr-FR"/>
        </w:rPr>
        <w:t xml:space="preserve"> des préférences de </w:t>
      </w:r>
      <w:r w:rsidR="005E451C">
        <w:rPr>
          <w:lang w:val="fr-FR"/>
        </w:rPr>
        <w:t>l’organisme d’exécution</w:t>
      </w:r>
      <w:r>
        <w:rPr>
          <w:lang w:val="fr-FR"/>
        </w:rPr>
        <w:t xml:space="preserve">, du </w:t>
      </w:r>
      <w:r w:rsidR="00CD4597">
        <w:rPr>
          <w:lang w:val="fr-FR"/>
        </w:rPr>
        <w:t>domaine</w:t>
      </w:r>
      <w:r>
        <w:rPr>
          <w:lang w:val="fr-FR"/>
        </w:rPr>
        <w:t>, de l</w:t>
      </w:r>
      <w:r w:rsidR="00AB74B6">
        <w:rPr>
          <w:lang w:val="fr-FR"/>
        </w:rPr>
        <w:t>a porté</w:t>
      </w:r>
      <w:r>
        <w:rPr>
          <w:lang w:val="fr-FR"/>
        </w:rPr>
        <w:t xml:space="preserve">e de l’analyse ainsi que de la phase de </w:t>
      </w:r>
      <w:r w:rsidR="005E451C">
        <w:rPr>
          <w:lang w:val="fr-FR"/>
        </w:rPr>
        <w:t>la situation d’urgence</w:t>
      </w:r>
      <w:r>
        <w:rPr>
          <w:lang w:val="fr-FR"/>
        </w:rPr>
        <w:t xml:space="preserve">. </w:t>
      </w:r>
      <w:r w:rsidR="005E451C">
        <w:rPr>
          <w:lang w:val="fr-FR"/>
        </w:rPr>
        <w:t>Si elles</w:t>
      </w:r>
      <w:r w:rsidR="00521FA9">
        <w:rPr>
          <w:lang w:val="fr-FR"/>
        </w:rPr>
        <w:t xml:space="preserve"> ne </w:t>
      </w:r>
      <w:r w:rsidR="005E451C">
        <w:rPr>
          <w:lang w:val="fr-FR"/>
        </w:rPr>
        <w:t xml:space="preserve">le </w:t>
      </w:r>
      <w:r w:rsidR="00521FA9">
        <w:rPr>
          <w:lang w:val="fr-FR"/>
        </w:rPr>
        <w:t xml:space="preserve">sont pas déjà, les </w:t>
      </w:r>
      <w:r w:rsidR="00A1794A">
        <w:rPr>
          <w:lang w:val="fr-FR"/>
        </w:rPr>
        <w:t>questions</w:t>
      </w:r>
      <w:r w:rsidR="00521FA9">
        <w:rPr>
          <w:lang w:val="fr-FR"/>
        </w:rPr>
        <w:t xml:space="preserve"> </w:t>
      </w:r>
      <w:r w:rsidR="0075528C">
        <w:rPr>
          <w:lang w:val="fr-FR"/>
        </w:rPr>
        <w:t>lié</w:t>
      </w:r>
      <w:r w:rsidR="00A1794A">
        <w:rPr>
          <w:lang w:val="fr-FR"/>
        </w:rPr>
        <w:t>e</w:t>
      </w:r>
      <w:r w:rsidR="0075528C">
        <w:rPr>
          <w:lang w:val="fr-FR"/>
        </w:rPr>
        <w:t>s</w:t>
      </w:r>
      <w:r w:rsidR="00521FA9">
        <w:rPr>
          <w:lang w:val="fr-FR"/>
        </w:rPr>
        <w:t xml:space="preserve"> </w:t>
      </w:r>
      <w:r w:rsidR="006A3EF0">
        <w:rPr>
          <w:lang w:val="fr-FR"/>
        </w:rPr>
        <w:t xml:space="preserve">aux </w:t>
      </w:r>
      <w:r w:rsidR="006A3EF0" w:rsidRPr="00F86A18">
        <w:rPr>
          <w:lang w:val="fr-FR"/>
        </w:rPr>
        <w:t>transferts monétaires</w:t>
      </w:r>
      <w:r w:rsidR="00521FA9">
        <w:rPr>
          <w:lang w:val="fr-FR"/>
        </w:rPr>
        <w:t xml:space="preserve"> doivent être intégré</w:t>
      </w:r>
      <w:r w:rsidR="005E451C">
        <w:rPr>
          <w:lang w:val="fr-FR"/>
        </w:rPr>
        <w:t>e</w:t>
      </w:r>
      <w:r w:rsidR="00521FA9">
        <w:rPr>
          <w:lang w:val="fr-FR"/>
        </w:rPr>
        <w:t xml:space="preserve">s dans </w:t>
      </w:r>
      <w:r w:rsidRPr="00E11AB6">
        <w:rPr>
          <w:lang w:val="fr-FR"/>
        </w:rPr>
        <w:t>la méthode/le mécanisme choisi(e)</w:t>
      </w:r>
      <w:r w:rsidR="00521FA9">
        <w:rPr>
          <w:lang w:val="fr-FR"/>
        </w:rPr>
        <w:t xml:space="preserve">. </w:t>
      </w:r>
    </w:p>
    <w:p w14:paraId="20F828AD" w14:textId="2B79B95A" w:rsidR="00234CB3" w:rsidRPr="00521FA9" w:rsidRDefault="00521FA9" w:rsidP="005075F6">
      <w:pPr>
        <w:pStyle w:val="Bullet1"/>
        <w:rPr>
          <w:lang w:val="fr-FR"/>
        </w:rPr>
      </w:pPr>
      <w:r w:rsidRPr="00521FA9">
        <w:rPr>
          <w:lang w:val="fr-FR"/>
        </w:rPr>
        <w:t xml:space="preserve">Les données secondaires </w:t>
      </w:r>
      <w:r w:rsidR="0075528C">
        <w:rPr>
          <w:lang w:val="fr-FR"/>
        </w:rPr>
        <w:t>relatives</w:t>
      </w:r>
      <w:r w:rsidRPr="00521FA9">
        <w:rPr>
          <w:lang w:val="fr-FR"/>
        </w:rPr>
        <w:t xml:space="preserve"> </w:t>
      </w:r>
      <w:r w:rsidR="005075F6">
        <w:rPr>
          <w:lang w:val="fr-FR"/>
        </w:rPr>
        <w:t>aux transferts monétaires</w:t>
      </w:r>
      <w:r w:rsidRPr="00521FA9">
        <w:rPr>
          <w:lang w:val="fr-FR"/>
        </w:rPr>
        <w:t xml:space="preserve"> doivent être collectées et analysées avant la planification de la collecte de</w:t>
      </w:r>
      <w:r>
        <w:rPr>
          <w:lang w:val="fr-FR"/>
        </w:rPr>
        <w:t>s</w:t>
      </w:r>
      <w:r w:rsidRPr="00521FA9">
        <w:rPr>
          <w:lang w:val="fr-FR"/>
        </w:rPr>
        <w:t xml:space="preserve"> données </w:t>
      </w:r>
      <w:r>
        <w:rPr>
          <w:lang w:val="fr-FR"/>
        </w:rPr>
        <w:t>primaires.</w:t>
      </w:r>
    </w:p>
    <w:p w14:paraId="6B3D3D14" w14:textId="3C153933" w:rsidR="00234CB3" w:rsidRPr="00521FA9" w:rsidRDefault="00521FA9" w:rsidP="00AB74B6">
      <w:pPr>
        <w:pStyle w:val="Bullet1"/>
        <w:spacing w:after="360"/>
        <w:ind w:left="714" w:hanging="357"/>
        <w:rPr>
          <w:lang w:val="fr-FR"/>
        </w:rPr>
      </w:pPr>
      <w:r w:rsidRPr="00521FA9">
        <w:rPr>
          <w:lang w:val="fr-FR"/>
        </w:rPr>
        <w:t xml:space="preserve">Les </w:t>
      </w:r>
      <w:r w:rsidR="006A3EF0">
        <w:rPr>
          <w:lang w:val="fr-FR"/>
        </w:rPr>
        <w:t>points spécifiques relatif</w:t>
      </w:r>
      <w:r w:rsidR="00A1794A">
        <w:rPr>
          <w:lang w:val="fr-FR"/>
        </w:rPr>
        <w:t xml:space="preserve">s </w:t>
      </w:r>
      <w:r w:rsidR="006A3EF0">
        <w:rPr>
          <w:lang w:val="fr-FR"/>
        </w:rPr>
        <w:t>aux transferts monétaires</w:t>
      </w:r>
      <w:r w:rsidRPr="00521FA9">
        <w:rPr>
          <w:lang w:val="fr-FR"/>
        </w:rPr>
        <w:t xml:space="preserve"> doivent être intégrés dans</w:t>
      </w:r>
      <w:r w:rsidR="000A3F01">
        <w:rPr>
          <w:lang w:val="fr-FR"/>
        </w:rPr>
        <w:t xml:space="preserve"> les mécanismes d</w:t>
      </w:r>
      <w:r w:rsidRPr="00521FA9">
        <w:rPr>
          <w:lang w:val="fr-FR"/>
        </w:rPr>
        <w:t xml:space="preserve">’analyse </w:t>
      </w:r>
      <w:r w:rsidR="000A3F01">
        <w:rPr>
          <w:lang w:val="fr-FR"/>
        </w:rPr>
        <w:t xml:space="preserve">et de </w:t>
      </w:r>
      <w:r w:rsidR="00AB74B6">
        <w:rPr>
          <w:lang w:val="fr-FR"/>
        </w:rPr>
        <w:t>cartographie</w:t>
      </w:r>
      <w:r w:rsidR="000A3F01">
        <w:rPr>
          <w:lang w:val="fr-FR"/>
        </w:rPr>
        <w:t xml:space="preserve"> </w:t>
      </w:r>
      <w:r w:rsidRPr="00521FA9">
        <w:rPr>
          <w:lang w:val="fr-FR"/>
        </w:rPr>
        <w:t xml:space="preserve">des </w:t>
      </w:r>
      <w:r w:rsidR="000A3F01">
        <w:rPr>
          <w:lang w:val="fr-FR"/>
        </w:rPr>
        <w:t>principales parties prenantes</w:t>
      </w:r>
      <w:r w:rsidR="00D13FF3" w:rsidRPr="00521FA9">
        <w:rPr>
          <w:lang w:val="fr-FR"/>
        </w:rPr>
        <w:t xml:space="preserve">. </w:t>
      </w:r>
    </w:p>
    <w:p w14:paraId="36BC10D5" w14:textId="04A5084D" w:rsidR="00A22FB8" w:rsidRPr="007C04D6" w:rsidRDefault="00F31192" w:rsidP="00F31192">
      <w:pPr>
        <w:pStyle w:val="Heading2"/>
        <w:rPr>
          <w:lang w:val="fr-FR"/>
        </w:rPr>
      </w:pPr>
      <w:r w:rsidRPr="007C04D6">
        <w:rPr>
          <w:lang w:val="fr-FR"/>
        </w:rPr>
        <w:t>ÉTAPE</w:t>
      </w:r>
      <w:r w:rsidR="00BF5230">
        <w:rPr>
          <w:lang w:val="fr-FR"/>
        </w:rPr>
        <w:t>s</w:t>
      </w:r>
      <w:r w:rsidR="00DD4A10">
        <w:rPr>
          <w:lang w:val="fr-FR"/>
        </w:rPr>
        <w:t xml:space="preserve"> SUBSIDIAIRES</w:t>
      </w:r>
      <w:r w:rsidRPr="007C04D6">
        <w:rPr>
          <w:lang w:val="fr-FR"/>
        </w:rPr>
        <w:t xml:space="preserve"> ET OUTILS</w:t>
      </w:r>
    </w:p>
    <w:p w14:paraId="67DE8542" w14:textId="092F5706" w:rsidR="00E66A9A" w:rsidRPr="007C04D6" w:rsidRDefault="007C04D6" w:rsidP="006A3EF0">
      <w:pPr>
        <w:pStyle w:val="Heading3"/>
        <w:rPr>
          <w:lang w:val="fr-FR"/>
        </w:rPr>
      </w:pPr>
      <w:r w:rsidRPr="007C04D6">
        <w:rPr>
          <w:lang w:val="fr-FR"/>
        </w:rPr>
        <w:t xml:space="preserve">Prise de décision initiale en matière </w:t>
      </w:r>
      <w:r w:rsidR="0038391F">
        <w:rPr>
          <w:lang w:val="fr-FR"/>
        </w:rPr>
        <w:t xml:space="preserve">de </w:t>
      </w:r>
      <w:r w:rsidR="006A3EF0">
        <w:rPr>
          <w:lang w:val="fr-FR"/>
        </w:rPr>
        <w:t>transferts monétaires</w:t>
      </w:r>
    </w:p>
    <w:p w14:paraId="672B2F2F" w14:textId="71624C7C" w:rsidR="00AA24BB" w:rsidRPr="0038391F" w:rsidRDefault="007C04D6" w:rsidP="00B60AFF">
      <w:pPr>
        <w:rPr>
          <w:lang w:val="fr-FR"/>
        </w:rPr>
      </w:pPr>
      <w:r w:rsidRPr="007C04D6">
        <w:rPr>
          <w:shd w:val="clear" w:color="auto" w:fill="FFFFFF"/>
          <w:lang w:val="fr-FR"/>
        </w:rPr>
        <w:t xml:space="preserve">Les premières décisions concernant </w:t>
      </w:r>
      <w:r w:rsidR="00667746">
        <w:rPr>
          <w:shd w:val="clear" w:color="auto" w:fill="FFFFFF"/>
          <w:lang w:val="fr-FR"/>
        </w:rPr>
        <w:t>les activités à mettre en œuvre pour faire</w:t>
      </w:r>
      <w:r w:rsidRPr="007C04D6">
        <w:rPr>
          <w:shd w:val="clear" w:color="auto" w:fill="FFFFFF"/>
          <w:lang w:val="fr-FR"/>
        </w:rPr>
        <w:t xml:space="preserve"> face à une </w:t>
      </w:r>
      <w:r>
        <w:rPr>
          <w:shd w:val="clear" w:color="auto" w:fill="FFFFFF"/>
          <w:lang w:val="fr-FR"/>
        </w:rPr>
        <w:t xml:space="preserve">catastrophe soudaine sont prises immédiatement après </w:t>
      </w:r>
      <w:r w:rsidR="00BF5230">
        <w:rPr>
          <w:shd w:val="clear" w:color="auto" w:fill="FFFFFF"/>
          <w:lang w:val="fr-FR"/>
        </w:rPr>
        <w:t>le choc</w:t>
      </w:r>
      <w:r w:rsidR="00155F51">
        <w:rPr>
          <w:shd w:val="clear" w:color="auto" w:fill="FFFFFF"/>
          <w:lang w:val="fr-FR"/>
        </w:rPr>
        <w:t>.</w:t>
      </w:r>
      <w:r w:rsidRPr="007C04D6">
        <w:rPr>
          <w:shd w:val="clear" w:color="auto" w:fill="FFFFFF"/>
          <w:lang w:val="fr-FR"/>
        </w:rPr>
        <w:t xml:space="preserve"> </w:t>
      </w:r>
      <w:r w:rsidR="001E142C">
        <w:rPr>
          <w:shd w:val="clear" w:color="auto" w:fill="FFFFFF"/>
          <w:lang w:val="fr-FR"/>
        </w:rPr>
        <w:t xml:space="preserve">Lancés en principe dans les heures </w:t>
      </w:r>
      <w:r w:rsidR="00155F51" w:rsidRPr="001E142C">
        <w:rPr>
          <w:shd w:val="clear" w:color="auto" w:fill="FFFFFF"/>
          <w:lang w:val="fr-FR"/>
        </w:rPr>
        <w:t>qui suivent une crise ou une catastrophe majeure</w:t>
      </w:r>
      <w:r w:rsidR="001E142C">
        <w:rPr>
          <w:shd w:val="clear" w:color="auto" w:fill="FFFFFF"/>
          <w:lang w:val="fr-FR"/>
        </w:rPr>
        <w:t xml:space="preserve">, </w:t>
      </w:r>
      <w:r w:rsidR="001E142C" w:rsidRPr="001E142C">
        <w:rPr>
          <w:shd w:val="clear" w:color="auto" w:fill="FFFFFF"/>
          <w:lang w:val="fr-FR"/>
        </w:rPr>
        <w:t xml:space="preserve">les appels d’urgence </w:t>
      </w:r>
      <w:r w:rsidR="00155F51" w:rsidRPr="001E142C">
        <w:rPr>
          <w:shd w:val="clear" w:color="auto" w:fill="FFFFFF"/>
          <w:lang w:val="fr-FR"/>
        </w:rPr>
        <w:t>doivent donner une idée</w:t>
      </w:r>
      <w:r w:rsidR="001E142C" w:rsidRPr="001E142C">
        <w:rPr>
          <w:shd w:val="clear" w:color="auto" w:fill="FFFFFF"/>
          <w:lang w:val="fr-FR"/>
        </w:rPr>
        <w:t xml:space="preserve"> des </w:t>
      </w:r>
      <w:r w:rsidR="001E142C">
        <w:rPr>
          <w:shd w:val="clear" w:color="auto" w:fill="FFFFFF"/>
          <w:lang w:val="fr-FR"/>
        </w:rPr>
        <w:t>solutions</w:t>
      </w:r>
      <w:r w:rsidR="001E142C" w:rsidRPr="001E142C">
        <w:rPr>
          <w:shd w:val="clear" w:color="auto" w:fill="FFFFFF"/>
          <w:lang w:val="fr-FR"/>
        </w:rPr>
        <w:t xml:space="preserve"> </w:t>
      </w:r>
      <w:r w:rsidR="001E142C">
        <w:rPr>
          <w:shd w:val="clear" w:color="auto" w:fill="FFFFFF"/>
          <w:lang w:val="fr-FR"/>
        </w:rPr>
        <w:t>envisagées pour couvrir les besoins initiaux.</w:t>
      </w:r>
      <w:r w:rsidR="00AA24BB" w:rsidRPr="001E142C">
        <w:rPr>
          <w:shd w:val="clear" w:color="auto" w:fill="FFFFFF"/>
          <w:lang w:val="fr-FR"/>
        </w:rPr>
        <w:t xml:space="preserve"> </w:t>
      </w:r>
      <w:r w:rsidR="001E142C" w:rsidRPr="001E142C">
        <w:rPr>
          <w:shd w:val="clear" w:color="auto" w:fill="FFFFFF"/>
          <w:lang w:val="fr-FR"/>
        </w:rPr>
        <w:t xml:space="preserve">Cela implique de décider rapidement si </w:t>
      </w:r>
      <w:r w:rsidR="00B60AFF">
        <w:rPr>
          <w:shd w:val="clear" w:color="auto" w:fill="FFFFFF"/>
          <w:lang w:val="fr-FR"/>
        </w:rPr>
        <w:t>les</w:t>
      </w:r>
      <w:r w:rsidR="006A3EF0">
        <w:rPr>
          <w:shd w:val="clear" w:color="auto" w:fill="FFFFFF"/>
          <w:lang w:val="fr-FR"/>
        </w:rPr>
        <w:t xml:space="preserve"> transferts monétaires</w:t>
      </w:r>
      <w:r w:rsidR="00BF5230">
        <w:rPr>
          <w:shd w:val="clear" w:color="auto" w:fill="FFFFFF"/>
          <w:lang w:val="fr-FR"/>
        </w:rPr>
        <w:t xml:space="preserve"> </w:t>
      </w:r>
      <w:r w:rsidR="00B60AFF">
        <w:rPr>
          <w:shd w:val="clear" w:color="auto" w:fill="FFFFFF"/>
          <w:lang w:val="fr-FR"/>
        </w:rPr>
        <w:t xml:space="preserve">feront partie des activités engagées </w:t>
      </w:r>
      <w:r w:rsidR="0038391F">
        <w:rPr>
          <w:shd w:val="clear" w:color="auto" w:fill="FFFFFF"/>
          <w:lang w:val="fr-FR"/>
        </w:rPr>
        <w:t>pour répondre aux besoins immédiats</w:t>
      </w:r>
      <w:r w:rsidR="001E142C" w:rsidRPr="001E142C">
        <w:rPr>
          <w:shd w:val="clear" w:color="auto" w:fill="FFFFFF"/>
          <w:lang w:val="fr-FR"/>
        </w:rPr>
        <w:t xml:space="preserve">. Cette </w:t>
      </w:r>
      <w:r w:rsidR="000E5094" w:rsidRPr="001E142C">
        <w:rPr>
          <w:shd w:val="clear" w:color="auto" w:fill="FFFFFF"/>
          <w:lang w:val="fr-FR"/>
        </w:rPr>
        <w:t>décision</w:t>
      </w:r>
      <w:r w:rsidR="001E142C" w:rsidRPr="001E142C">
        <w:rPr>
          <w:shd w:val="clear" w:color="auto" w:fill="FFFFFF"/>
          <w:lang w:val="fr-FR"/>
        </w:rPr>
        <w:t xml:space="preserve"> doit être prise par </w:t>
      </w:r>
      <w:r w:rsidR="001E142C">
        <w:rPr>
          <w:shd w:val="clear" w:color="auto" w:fill="FFFFFF"/>
          <w:lang w:val="fr-FR"/>
        </w:rPr>
        <w:t>un employé</w:t>
      </w:r>
      <w:r w:rsidR="001E142C" w:rsidRPr="001E142C">
        <w:rPr>
          <w:shd w:val="clear" w:color="auto" w:fill="FFFFFF"/>
          <w:lang w:val="fr-FR"/>
        </w:rPr>
        <w:t xml:space="preserve"> disposant d’une expérience et de connaissances techniques (en principe un spécialiste</w:t>
      </w:r>
      <w:r w:rsidR="000E5094">
        <w:rPr>
          <w:shd w:val="clear" w:color="auto" w:fill="FFFFFF"/>
          <w:lang w:val="fr-FR"/>
        </w:rPr>
        <w:t xml:space="preserve"> </w:t>
      </w:r>
      <w:r w:rsidR="0038391F">
        <w:rPr>
          <w:shd w:val="clear" w:color="auto" w:fill="FFFFFF"/>
          <w:lang w:val="fr-FR"/>
        </w:rPr>
        <w:t xml:space="preserve">de haut niveau </w:t>
      </w:r>
      <w:r w:rsidR="00BF5230">
        <w:rPr>
          <w:shd w:val="clear" w:color="auto" w:fill="FFFFFF"/>
          <w:lang w:val="fr-FR"/>
        </w:rPr>
        <w:t xml:space="preserve">en matière de </w:t>
      </w:r>
      <w:r w:rsidR="00AD1EBF">
        <w:rPr>
          <w:shd w:val="clear" w:color="auto" w:fill="FFFFFF"/>
          <w:lang w:val="fr-FR"/>
        </w:rPr>
        <w:t>transferts monétaires</w:t>
      </w:r>
      <w:r w:rsidR="000E5094">
        <w:rPr>
          <w:shd w:val="clear" w:color="auto" w:fill="FFFFFF"/>
          <w:lang w:val="fr-FR"/>
        </w:rPr>
        <w:t xml:space="preserve"> </w:t>
      </w:r>
      <w:r w:rsidR="0038391F">
        <w:rPr>
          <w:shd w:val="clear" w:color="auto" w:fill="FFFFFF"/>
          <w:lang w:val="fr-FR"/>
        </w:rPr>
        <w:t xml:space="preserve">dans les situations d’urgence ou </w:t>
      </w:r>
      <w:r w:rsidR="00022A8A">
        <w:rPr>
          <w:shd w:val="clear" w:color="auto" w:fill="FFFFFF"/>
          <w:lang w:val="fr-FR"/>
        </w:rPr>
        <w:t xml:space="preserve">en matière </w:t>
      </w:r>
      <w:r w:rsidR="00BF5230">
        <w:rPr>
          <w:shd w:val="clear" w:color="auto" w:fill="FFFFFF"/>
          <w:lang w:val="fr-FR"/>
        </w:rPr>
        <w:t>de</w:t>
      </w:r>
      <w:r w:rsidR="000E5094">
        <w:rPr>
          <w:shd w:val="clear" w:color="auto" w:fill="FFFFFF"/>
          <w:lang w:val="fr-FR"/>
        </w:rPr>
        <w:t xml:space="preserve"> marchés)</w:t>
      </w:r>
      <w:r w:rsidR="0038391F">
        <w:rPr>
          <w:shd w:val="clear" w:color="auto" w:fill="FFFFFF"/>
          <w:lang w:val="fr-FR"/>
        </w:rPr>
        <w:t>.</w:t>
      </w:r>
      <w:r w:rsidR="000E5094">
        <w:rPr>
          <w:shd w:val="clear" w:color="auto" w:fill="FFFFFF"/>
          <w:lang w:val="fr-FR"/>
        </w:rPr>
        <w:t xml:space="preserve"> </w:t>
      </w:r>
      <w:r w:rsidR="0038391F">
        <w:rPr>
          <w:shd w:val="clear" w:color="auto" w:fill="FFFFFF"/>
          <w:lang w:val="fr-FR"/>
        </w:rPr>
        <w:t xml:space="preserve">Parmi les outils </w:t>
      </w:r>
      <w:r w:rsidR="003C2B6D">
        <w:rPr>
          <w:shd w:val="clear" w:color="auto" w:fill="FFFFFF"/>
          <w:lang w:val="fr-FR"/>
        </w:rPr>
        <w:t>prévus</w:t>
      </w:r>
      <w:r w:rsidR="0038391F">
        <w:rPr>
          <w:shd w:val="clear" w:color="auto" w:fill="FFFFFF"/>
          <w:lang w:val="fr-FR"/>
        </w:rPr>
        <w:t xml:space="preserve"> pour </w:t>
      </w:r>
      <w:r w:rsidR="00B60AFF">
        <w:rPr>
          <w:shd w:val="clear" w:color="auto" w:fill="FFFFFF"/>
          <w:lang w:val="fr-FR"/>
        </w:rPr>
        <w:t>cette</w:t>
      </w:r>
      <w:r w:rsidR="0038391F">
        <w:rPr>
          <w:shd w:val="clear" w:color="auto" w:fill="FFFFFF"/>
          <w:lang w:val="fr-FR"/>
        </w:rPr>
        <w:t xml:space="preserve"> </w:t>
      </w:r>
      <w:r w:rsidR="00B60AFF">
        <w:rPr>
          <w:shd w:val="clear" w:color="auto" w:fill="FFFFFF"/>
          <w:lang w:val="fr-FR"/>
        </w:rPr>
        <w:t>étape subsidiaire</w:t>
      </w:r>
      <w:r w:rsidR="0038391F">
        <w:rPr>
          <w:shd w:val="clear" w:color="auto" w:fill="FFFFFF"/>
          <w:lang w:val="fr-FR"/>
        </w:rPr>
        <w:t>, vous trouverez une liste de contrôle pouvant faciliter cette prise de décision initiale.</w:t>
      </w:r>
    </w:p>
    <w:p w14:paraId="7EBE0613" w14:textId="6BEDFE58" w:rsidR="00AA24BB" w:rsidRPr="0077799D" w:rsidRDefault="00AD1EBF" w:rsidP="0088344B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La bonne utilisation</w:t>
      </w:r>
      <w:r w:rsidR="007D0F31" w:rsidRPr="007D0F31">
        <w:rPr>
          <w:shd w:val="clear" w:color="auto" w:fill="FFFFFF"/>
          <w:lang w:val="fr-FR"/>
        </w:rPr>
        <w:t xml:space="preserve"> de </w:t>
      </w:r>
      <w:r w:rsidR="003A64A4">
        <w:rPr>
          <w:shd w:val="clear" w:color="auto" w:fill="FFFFFF"/>
          <w:lang w:val="fr-FR"/>
        </w:rPr>
        <w:t>cette liste</w:t>
      </w:r>
      <w:r w:rsidR="007D0F31" w:rsidRPr="007D0F31">
        <w:rPr>
          <w:shd w:val="clear" w:color="auto" w:fill="FFFFFF"/>
          <w:lang w:val="fr-FR"/>
        </w:rPr>
        <w:t xml:space="preserve"> dépendra de la compréhension du contexte par l’organisation, de </w:t>
      </w:r>
      <w:r w:rsidR="003A64A4">
        <w:rPr>
          <w:shd w:val="clear" w:color="auto" w:fill="FFFFFF"/>
          <w:lang w:val="fr-FR"/>
        </w:rPr>
        <w:t xml:space="preserve">ses capacités, </w:t>
      </w:r>
      <w:r w:rsidR="007D0F31" w:rsidRPr="007D0F31">
        <w:rPr>
          <w:shd w:val="clear" w:color="auto" w:fill="FFFFFF"/>
          <w:lang w:val="fr-FR"/>
        </w:rPr>
        <w:t>de ses partenaires</w:t>
      </w:r>
      <w:r w:rsidR="003A64A4">
        <w:rPr>
          <w:shd w:val="clear" w:color="auto" w:fill="FFFFFF"/>
          <w:lang w:val="fr-FR"/>
        </w:rPr>
        <w:t xml:space="preserve"> et des </w:t>
      </w:r>
      <w:r w:rsidR="006A3EF0">
        <w:rPr>
          <w:shd w:val="clear" w:color="auto" w:fill="FFFFFF"/>
          <w:lang w:val="fr-FR"/>
        </w:rPr>
        <w:t>effets immédiats</w:t>
      </w:r>
      <w:r w:rsidR="003A64A4">
        <w:rPr>
          <w:shd w:val="clear" w:color="auto" w:fill="FFFFFF"/>
          <w:lang w:val="fr-FR"/>
        </w:rPr>
        <w:t xml:space="preserve"> </w:t>
      </w:r>
      <w:r w:rsidR="00BF5230">
        <w:rPr>
          <w:shd w:val="clear" w:color="auto" w:fill="FFFFFF"/>
          <w:lang w:val="fr-FR"/>
        </w:rPr>
        <w:t>du choc</w:t>
      </w:r>
      <w:r w:rsidR="003A64A4">
        <w:rPr>
          <w:shd w:val="clear" w:color="auto" w:fill="FFFFFF"/>
          <w:lang w:val="fr-FR"/>
        </w:rPr>
        <w:t xml:space="preserve"> sur la population et les infrastructures. </w:t>
      </w:r>
      <w:r w:rsidR="003A64A4" w:rsidRPr="003A64A4">
        <w:rPr>
          <w:shd w:val="clear" w:color="auto" w:fill="FFFFFF"/>
          <w:lang w:val="fr-FR"/>
        </w:rPr>
        <w:t xml:space="preserve">Ces éléments peuvent être évalués </w:t>
      </w:r>
      <w:r w:rsidR="006D6F5D">
        <w:rPr>
          <w:shd w:val="clear" w:color="auto" w:fill="FFFFFF"/>
          <w:lang w:val="fr-FR"/>
        </w:rPr>
        <w:t xml:space="preserve">durant les premières visites de terrain, </w:t>
      </w:r>
      <w:r w:rsidR="003A64A4" w:rsidRPr="003A64A4">
        <w:rPr>
          <w:shd w:val="clear" w:color="auto" w:fill="FFFFFF"/>
          <w:lang w:val="fr-FR"/>
        </w:rPr>
        <w:t>sur la base des plans d’</w:t>
      </w:r>
      <w:r w:rsidR="003A64A4">
        <w:rPr>
          <w:shd w:val="clear" w:color="auto" w:fill="FFFFFF"/>
          <w:lang w:val="fr-FR"/>
        </w:rPr>
        <w:t>urgence</w:t>
      </w:r>
      <w:r w:rsidR="006D6F5D">
        <w:rPr>
          <w:shd w:val="clear" w:color="auto" w:fill="FFFFFF"/>
          <w:lang w:val="fr-FR"/>
        </w:rPr>
        <w:t xml:space="preserve"> nationaux</w:t>
      </w:r>
      <w:r w:rsidR="0088344B">
        <w:rPr>
          <w:shd w:val="clear" w:color="auto" w:fill="FFFFFF"/>
          <w:lang w:val="fr-FR"/>
        </w:rPr>
        <w:t xml:space="preserve"> en matière de transferts monétaires</w:t>
      </w:r>
      <w:r w:rsidR="003A64A4">
        <w:rPr>
          <w:shd w:val="clear" w:color="auto" w:fill="FFFFFF"/>
          <w:lang w:val="fr-FR"/>
        </w:rPr>
        <w:t xml:space="preserve"> </w:t>
      </w:r>
      <w:r w:rsidR="006D6F5D">
        <w:rPr>
          <w:shd w:val="clear" w:color="auto" w:fill="FFFFFF"/>
          <w:lang w:val="fr-FR"/>
        </w:rPr>
        <w:t>ou lors</w:t>
      </w:r>
      <w:r w:rsidR="003A64A4">
        <w:rPr>
          <w:shd w:val="clear" w:color="auto" w:fill="FFFFFF"/>
          <w:lang w:val="fr-FR"/>
        </w:rPr>
        <w:t xml:space="preserve"> d</w:t>
      </w:r>
      <w:r w:rsidR="003A64A4" w:rsidRPr="003A64A4">
        <w:rPr>
          <w:shd w:val="clear" w:color="auto" w:fill="FFFFFF"/>
          <w:lang w:val="fr-FR"/>
        </w:rPr>
        <w:t>es réunions de coordination</w:t>
      </w:r>
      <w:r w:rsidR="006D6F5D">
        <w:rPr>
          <w:shd w:val="clear" w:color="auto" w:fill="FFFFFF"/>
          <w:lang w:val="fr-FR"/>
        </w:rPr>
        <w:t>.</w:t>
      </w:r>
      <w:r w:rsidR="007D0F31" w:rsidRPr="003A64A4">
        <w:rPr>
          <w:shd w:val="clear" w:color="auto" w:fill="FFFFFF"/>
          <w:lang w:val="fr-FR"/>
        </w:rPr>
        <w:t xml:space="preserve"> </w:t>
      </w:r>
    </w:p>
    <w:p w14:paraId="20C32A82" w14:textId="235F7E1E" w:rsidR="00273676" w:rsidRPr="006D6F5D" w:rsidRDefault="006D6F5D" w:rsidP="00DD1652">
      <w:pPr>
        <w:rPr>
          <w:shd w:val="clear" w:color="auto" w:fill="FFFFFF"/>
          <w:lang w:val="fr-FR"/>
        </w:rPr>
      </w:pPr>
      <w:r w:rsidRPr="006D6F5D">
        <w:rPr>
          <w:shd w:val="clear" w:color="auto" w:fill="FFFFFF"/>
          <w:lang w:val="fr-FR"/>
        </w:rPr>
        <w:t>Il est important de garder à l’esprit le fait que, quelle que soit la décision initiale, seule</w:t>
      </w:r>
      <w:r w:rsidR="0088344B">
        <w:rPr>
          <w:shd w:val="clear" w:color="auto" w:fill="FFFFFF"/>
          <w:lang w:val="fr-FR"/>
        </w:rPr>
        <w:t>s</w:t>
      </w:r>
      <w:r w:rsidRPr="006D6F5D">
        <w:rPr>
          <w:shd w:val="clear" w:color="auto" w:fill="FFFFFF"/>
          <w:lang w:val="fr-FR"/>
        </w:rPr>
        <w:t xml:space="preserve"> une évaluation ultérieure et une analyse de l’intervention pourront confirmer si les </w:t>
      </w:r>
      <w:r w:rsidR="00DD1652">
        <w:rPr>
          <w:shd w:val="clear" w:color="auto" w:fill="FFFFFF"/>
          <w:lang w:val="fr-FR"/>
        </w:rPr>
        <w:t>PTM</w:t>
      </w:r>
      <w:r w:rsidRPr="006D6F5D">
        <w:rPr>
          <w:shd w:val="clear" w:color="auto" w:fill="FFFFFF"/>
          <w:lang w:val="fr-FR"/>
        </w:rPr>
        <w:t xml:space="preserve"> </w:t>
      </w:r>
      <w:r>
        <w:rPr>
          <w:shd w:val="clear" w:color="auto" w:fill="FFFFFF"/>
          <w:lang w:val="fr-FR"/>
        </w:rPr>
        <w:t>sont</w:t>
      </w:r>
      <w:r w:rsidRPr="006D6F5D">
        <w:rPr>
          <w:shd w:val="clear" w:color="auto" w:fill="FFFFFF"/>
          <w:lang w:val="fr-FR"/>
        </w:rPr>
        <w:t xml:space="preserve"> le meilleur moyen de répondre aux besoins de</w:t>
      </w:r>
      <w:r w:rsidR="008E0018">
        <w:rPr>
          <w:shd w:val="clear" w:color="auto" w:fill="FFFFFF"/>
          <w:lang w:val="fr-FR"/>
        </w:rPr>
        <w:t xml:space="preserve"> la population</w:t>
      </w:r>
      <w:r w:rsidRPr="006D6F5D">
        <w:rPr>
          <w:shd w:val="clear" w:color="auto" w:fill="FFFFFF"/>
          <w:lang w:val="fr-FR"/>
        </w:rPr>
        <w:t xml:space="preserve"> </w:t>
      </w:r>
      <w:r w:rsidR="008E0018">
        <w:rPr>
          <w:shd w:val="clear" w:color="auto" w:fill="FFFFFF"/>
          <w:lang w:val="fr-FR"/>
        </w:rPr>
        <w:t>touchée</w:t>
      </w:r>
      <w:r>
        <w:rPr>
          <w:shd w:val="clear" w:color="auto" w:fill="FFFFFF"/>
          <w:lang w:val="fr-FR"/>
        </w:rPr>
        <w:t xml:space="preserve"> dans les phases suivantes.</w:t>
      </w:r>
      <w:r w:rsidR="006167CF" w:rsidRPr="006D6F5D">
        <w:rPr>
          <w:shd w:val="clear" w:color="auto" w:fill="FFFFFF"/>
          <w:lang w:val="fr-FR"/>
        </w:rPr>
        <w:t xml:space="preserve"> </w:t>
      </w:r>
    </w:p>
    <w:p w14:paraId="7A4277D1" w14:textId="779E2DA8" w:rsidR="002A76ED" w:rsidRPr="00A56CBC" w:rsidRDefault="00A56CBC" w:rsidP="00BF5230">
      <w:pPr>
        <w:pStyle w:val="Heading3"/>
        <w:rPr>
          <w:lang w:val="fr-FR"/>
        </w:rPr>
      </w:pPr>
      <w:r w:rsidRPr="00A56CBC">
        <w:rPr>
          <w:lang w:val="fr-FR"/>
        </w:rPr>
        <w:t xml:space="preserve">Choisir </w:t>
      </w:r>
      <w:r w:rsidR="00BF5230">
        <w:rPr>
          <w:lang w:val="fr-FR"/>
        </w:rPr>
        <w:t>d</w:t>
      </w:r>
      <w:r w:rsidRPr="00A56CBC">
        <w:rPr>
          <w:lang w:val="fr-FR"/>
        </w:rPr>
        <w:t xml:space="preserve">es </w:t>
      </w:r>
      <w:r w:rsidR="00CD4597">
        <w:rPr>
          <w:lang w:val="fr-FR"/>
        </w:rPr>
        <w:t>outils</w:t>
      </w:r>
      <w:r w:rsidRPr="00A56CBC">
        <w:rPr>
          <w:lang w:val="fr-FR"/>
        </w:rPr>
        <w:t xml:space="preserve"> d’évaluation</w:t>
      </w:r>
    </w:p>
    <w:p w14:paraId="016B04FA" w14:textId="0817A1B8" w:rsidR="00AA24BB" w:rsidRPr="0077799D" w:rsidRDefault="00FB1A46" w:rsidP="000E3992">
      <w:pPr>
        <w:rPr>
          <w:lang w:val="fr-FR"/>
        </w:rPr>
      </w:pPr>
      <w:r w:rsidRPr="00FB1A46">
        <w:rPr>
          <w:lang w:val="fr-FR"/>
        </w:rPr>
        <w:t xml:space="preserve">Au moment de planifier et de </w:t>
      </w:r>
      <w:r w:rsidR="00A046A1" w:rsidRPr="00FB1A46">
        <w:rPr>
          <w:lang w:val="fr-FR"/>
        </w:rPr>
        <w:t>préparer</w:t>
      </w:r>
      <w:r w:rsidRPr="00FB1A46">
        <w:rPr>
          <w:lang w:val="fr-FR"/>
        </w:rPr>
        <w:t xml:space="preserve"> une évaluation, l’une des premières choses à faire est de choisir une </w:t>
      </w:r>
      <w:r w:rsidR="00574A2B">
        <w:rPr>
          <w:lang w:val="fr-FR"/>
        </w:rPr>
        <w:t>méthode</w:t>
      </w:r>
      <w:r w:rsidRPr="00FB1A46">
        <w:rPr>
          <w:lang w:val="fr-FR"/>
        </w:rPr>
        <w:t xml:space="preserve"> et des outils.</w:t>
      </w:r>
      <w:r>
        <w:rPr>
          <w:lang w:val="fr-FR"/>
        </w:rPr>
        <w:t xml:space="preserve"> </w:t>
      </w:r>
      <w:r w:rsidRPr="00FB1A46">
        <w:rPr>
          <w:lang w:val="fr-FR"/>
        </w:rPr>
        <w:t xml:space="preserve">Parmi les outils </w:t>
      </w:r>
      <w:r w:rsidR="003C2B6D">
        <w:rPr>
          <w:lang w:val="fr-FR"/>
        </w:rPr>
        <w:t>prévus</w:t>
      </w:r>
      <w:r w:rsidRPr="00FB1A46">
        <w:rPr>
          <w:lang w:val="fr-FR"/>
        </w:rPr>
        <w:t xml:space="preserve"> pour </w:t>
      </w:r>
      <w:r w:rsidR="000E3992">
        <w:rPr>
          <w:lang w:val="fr-FR"/>
        </w:rPr>
        <w:t>cette étape subsidiaire</w:t>
      </w:r>
      <w:r w:rsidRPr="00FB1A46">
        <w:rPr>
          <w:lang w:val="fr-FR"/>
        </w:rPr>
        <w:t xml:space="preserve">, vous trouverez un tableau récapitulatif des outils d’évaluation les plus </w:t>
      </w:r>
      <w:r w:rsidR="00A046A1" w:rsidRPr="00FB1A46">
        <w:rPr>
          <w:lang w:val="fr-FR"/>
        </w:rPr>
        <w:t>souvent</w:t>
      </w:r>
      <w:r w:rsidRPr="00FB1A46">
        <w:rPr>
          <w:lang w:val="fr-FR"/>
        </w:rPr>
        <w:t xml:space="preserve"> utilis</w:t>
      </w:r>
      <w:r w:rsidR="00A046A1">
        <w:rPr>
          <w:lang w:val="fr-FR"/>
        </w:rPr>
        <w:t>é</w:t>
      </w:r>
      <w:r w:rsidRPr="00FB1A46">
        <w:rPr>
          <w:lang w:val="fr-FR"/>
        </w:rPr>
        <w:t>s</w:t>
      </w:r>
      <w:r w:rsidR="00BF5230">
        <w:rPr>
          <w:lang w:val="fr-FR"/>
        </w:rPr>
        <w:t>,</w:t>
      </w:r>
      <w:r w:rsidRPr="00FB1A46">
        <w:rPr>
          <w:lang w:val="fr-FR"/>
        </w:rPr>
        <w:t xml:space="preserve"> ainsi qu’une </w:t>
      </w:r>
      <w:r>
        <w:rPr>
          <w:lang w:val="fr-FR"/>
        </w:rPr>
        <w:t xml:space="preserve">brève </w:t>
      </w:r>
      <w:r w:rsidRPr="00FB1A46">
        <w:rPr>
          <w:lang w:val="fr-FR"/>
        </w:rPr>
        <w:t>description de chacun d’eux</w:t>
      </w:r>
      <w:r w:rsidR="00A046A1">
        <w:rPr>
          <w:lang w:val="fr-FR"/>
        </w:rPr>
        <w:t>. Le tableau vous indique également à quel moment les outils devraient idéalement être utilisés</w:t>
      </w:r>
      <w:r w:rsidR="00BF5230">
        <w:rPr>
          <w:lang w:val="fr-FR"/>
        </w:rPr>
        <w:t xml:space="preserve"> et</w:t>
      </w:r>
      <w:r w:rsidR="00A046A1">
        <w:rPr>
          <w:lang w:val="fr-FR"/>
        </w:rPr>
        <w:t xml:space="preserve"> dans quel </w:t>
      </w:r>
      <w:r w:rsidR="000E3992">
        <w:rPr>
          <w:lang w:val="fr-FR"/>
        </w:rPr>
        <w:t>secteur</w:t>
      </w:r>
      <w:r w:rsidR="00BF5230">
        <w:rPr>
          <w:lang w:val="fr-FR"/>
        </w:rPr>
        <w:t>,</w:t>
      </w:r>
      <w:r w:rsidR="00A046A1">
        <w:rPr>
          <w:lang w:val="fr-FR"/>
        </w:rPr>
        <w:t xml:space="preserve"> et s’ils tiennent déjà compte des éléments </w:t>
      </w:r>
      <w:r w:rsidR="00BF5230">
        <w:rPr>
          <w:lang w:val="fr-FR"/>
        </w:rPr>
        <w:t xml:space="preserve">spécifiques </w:t>
      </w:r>
      <w:r w:rsidR="00A046A1">
        <w:rPr>
          <w:lang w:val="fr-FR"/>
        </w:rPr>
        <w:t xml:space="preserve">liés </w:t>
      </w:r>
      <w:r w:rsidR="006A3EF0">
        <w:rPr>
          <w:lang w:val="fr-FR"/>
        </w:rPr>
        <w:t>aux transferts monétaires</w:t>
      </w:r>
      <w:r w:rsidR="00A046A1">
        <w:rPr>
          <w:lang w:val="fr-FR"/>
        </w:rPr>
        <w:t>.</w:t>
      </w:r>
      <w:r>
        <w:rPr>
          <w:lang w:val="fr-FR"/>
        </w:rPr>
        <w:t xml:space="preserve"> </w:t>
      </w:r>
      <w:r w:rsidR="00CD4597" w:rsidRPr="00CD4597">
        <w:rPr>
          <w:lang w:val="fr-FR"/>
        </w:rPr>
        <w:t>Comme vous le verrez,</w:t>
      </w:r>
      <w:r w:rsidR="0088344B">
        <w:rPr>
          <w:lang w:val="fr-FR"/>
        </w:rPr>
        <w:t xml:space="preserve"> ce n’est pas le cas </w:t>
      </w:r>
      <w:r w:rsidR="0029124C">
        <w:rPr>
          <w:lang w:val="fr-FR"/>
        </w:rPr>
        <w:t>de</w:t>
      </w:r>
      <w:r w:rsidR="00CD4597" w:rsidRPr="00CD4597">
        <w:rPr>
          <w:lang w:val="fr-FR"/>
        </w:rPr>
        <w:t xml:space="preserve"> la plupart des outils</w:t>
      </w:r>
      <w:r w:rsidR="0088344B">
        <w:rPr>
          <w:lang w:val="fr-FR"/>
        </w:rPr>
        <w:t>.</w:t>
      </w:r>
      <w:r w:rsidR="00CD4597">
        <w:rPr>
          <w:lang w:val="fr-FR"/>
        </w:rPr>
        <w:t xml:space="preserve"> </w:t>
      </w:r>
      <w:r w:rsidR="00CD4597" w:rsidRPr="00CD4597">
        <w:rPr>
          <w:lang w:val="fr-FR"/>
        </w:rPr>
        <w:t>Il est ainsi proba</w:t>
      </w:r>
      <w:r w:rsidR="00BF5230">
        <w:rPr>
          <w:lang w:val="fr-FR"/>
        </w:rPr>
        <w:t>ble que vous deviez intégrer c</w:t>
      </w:r>
      <w:r w:rsidR="00CD4597" w:rsidRPr="00CD4597">
        <w:rPr>
          <w:lang w:val="fr-FR"/>
        </w:rPr>
        <w:t xml:space="preserve">es </w:t>
      </w:r>
      <w:r w:rsidR="0075528C">
        <w:rPr>
          <w:lang w:val="fr-FR"/>
        </w:rPr>
        <w:t>éléments</w:t>
      </w:r>
      <w:r w:rsidR="00CD4597" w:rsidRPr="00CD4597">
        <w:rPr>
          <w:lang w:val="fr-FR"/>
        </w:rPr>
        <w:t xml:space="preserve"> ou effectuer une analyse </w:t>
      </w:r>
      <w:r w:rsidR="00BF5230">
        <w:rPr>
          <w:lang w:val="fr-FR"/>
        </w:rPr>
        <w:t>complémentaire sur</w:t>
      </w:r>
      <w:r w:rsidR="00CD4597" w:rsidRPr="00CD4597">
        <w:rPr>
          <w:lang w:val="fr-FR"/>
        </w:rPr>
        <w:t xml:space="preserve"> ces éléments. Soyez prêts à intégrer ces informations dans les outils multi</w:t>
      </w:r>
      <w:r w:rsidR="00BF5230">
        <w:rPr>
          <w:lang w:val="fr-FR"/>
        </w:rPr>
        <w:t>s</w:t>
      </w:r>
      <w:r w:rsidR="00CD4597" w:rsidRPr="00CD4597">
        <w:rPr>
          <w:lang w:val="fr-FR"/>
        </w:rPr>
        <w:t xml:space="preserve">ectoriels existants et à </w:t>
      </w:r>
      <w:r w:rsidR="00CD4597">
        <w:rPr>
          <w:lang w:val="fr-FR"/>
        </w:rPr>
        <w:t xml:space="preserve">préparer des questions spécifiques relatives </w:t>
      </w:r>
      <w:r w:rsidR="0088344B">
        <w:rPr>
          <w:lang w:val="fr-FR"/>
        </w:rPr>
        <w:t>aux transferts monétaires</w:t>
      </w:r>
      <w:r w:rsidR="00CD4597">
        <w:rPr>
          <w:lang w:val="fr-FR"/>
        </w:rPr>
        <w:t xml:space="preserve"> dans des domaines</w:t>
      </w:r>
      <w:r w:rsidR="00CD4597" w:rsidRPr="00CD4597">
        <w:rPr>
          <w:lang w:val="fr-FR"/>
        </w:rPr>
        <w:t xml:space="preserve"> </w:t>
      </w:r>
      <w:r w:rsidR="00BF5230">
        <w:rPr>
          <w:lang w:val="fr-FR"/>
        </w:rPr>
        <w:t xml:space="preserve">tels que </w:t>
      </w:r>
      <w:r w:rsidR="000E3992">
        <w:rPr>
          <w:lang w:val="fr-FR"/>
        </w:rPr>
        <w:t>le logement</w:t>
      </w:r>
      <w:r w:rsidR="00BF5230">
        <w:rPr>
          <w:lang w:val="fr-FR"/>
        </w:rPr>
        <w:t xml:space="preserve"> d’urgence</w:t>
      </w:r>
      <w:r w:rsidR="00CD4597">
        <w:rPr>
          <w:lang w:val="fr-FR"/>
        </w:rPr>
        <w:t>,</w:t>
      </w:r>
      <w:r w:rsidR="006A3EF0">
        <w:rPr>
          <w:lang w:val="fr-FR"/>
        </w:rPr>
        <w:t xml:space="preserve"> l’approvisionnement en eau,</w:t>
      </w:r>
      <w:r w:rsidR="00CD4597">
        <w:rPr>
          <w:lang w:val="fr-FR"/>
        </w:rPr>
        <w:t xml:space="preserve"> l’assainissement et l’hygiène. Dans tous les cas, </w:t>
      </w:r>
      <w:r w:rsidR="000E3992">
        <w:rPr>
          <w:lang w:val="fr-FR"/>
        </w:rPr>
        <w:t>accordez une attention particulière aux</w:t>
      </w:r>
      <w:r w:rsidR="006033C8">
        <w:rPr>
          <w:lang w:val="fr-FR"/>
        </w:rPr>
        <w:t xml:space="preserve"> marchés des produits de base et utilisez les outils d’évaluation des marchés </w:t>
      </w:r>
      <w:r w:rsidR="000E3992">
        <w:rPr>
          <w:lang w:val="fr-FR"/>
        </w:rPr>
        <w:t>élaborés par</w:t>
      </w:r>
      <w:r w:rsidR="006033C8">
        <w:rPr>
          <w:lang w:val="fr-FR"/>
        </w:rPr>
        <w:t xml:space="preserve"> la Croix-Rouge et </w:t>
      </w:r>
      <w:r w:rsidR="000E3992">
        <w:rPr>
          <w:lang w:val="fr-FR"/>
        </w:rPr>
        <w:t>le</w:t>
      </w:r>
      <w:r w:rsidR="006033C8">
        <w:rPr>
          <w:lang w:val="fr-FR"/>
        </w:rPr>
        <w:t xml:space="preserve"> Croissant-Rouge pour </w:t>
      </w:r>
      <w:r w:rsidR="0088344B">
        <w:rPr>
          <w:lang w:val="fr-FR"/>
        </w:rPr>
        <w:t>identifier</w:t>
      </w:r>
      <w:r w:rsidR="006033C8">
        <w:rPr>
          <w:lang w:val="fr-FR"/>
        </w:rPr>
        <w:t xml:space="preserve"> clairement les fournisseurs de produits de base et les prestataires de services financiers.</w:t>
      </w:r>
      <w:r w:rsidR="00AA24BB" w:rsidRPr="00CD4597">
        <w:rPr>
          <w:lang w:val="fr-FR"/>
        </w:rPr>
        <w:t xml:space="preserve"> </w:t>
      </w:r>
    </w:p>
    <w:p w14:paraId="67A139E3" w14:textId="0ED3C6E4" w:rsidR="00551FBB" w:rsidRPr="002D5720" w:rsidRDefault="002D5720" w:rsidP="002D5720">
      <w:pPr>
        <w:pStyle w:val="Heading3"/>
        <w:rPr>
          <w:lang w:val="fr-FR"/>
        </w:rPr>
      </w:pPr>
      <w:r w:rsidRPr="002D5720">
        <w:rPr>
          <w:lang w:val="fr-FR"/>
        </w:rPr>
        <w:t>Trouver des données secondaires pertinentes</w:t>
      </w:r>
    </w:p>
    <w:p w14:paraId="72BFCCD8" w14:textId="4FD0DB34" w:rsidR="00AA24BB" w:rsidRPr="004168AD" w:rsidRDefault="002D5720" w:rsidP="00DA3FA7">
      <w:pPr>
        <w:rPr>
          <w:lang w:val="fr-FR"/>
        </w:rPr>
      </w:pPr>
      <w:r w:rsidRPr="002D5720">
        <w:rPr>
          <w:lang w:val="fr-FR"/>
        </w:rPr>
        <w:t>Avant de planifier la collecte des données primaires</w:t>
      </w:r>
      <w:r w:rsidR="00AA24BB" w:rsidRPr="002D5720">
        <w:rPr>
          <w:lang w:val="fr-FR"/>
        </w:rPr>
        <w:t xml:space="preserve">, </w:t>
      </w:r>
      <w:r w:rsidRPr="002D5720">
        <w:rPr>
          <w:lang w:val="fr-FR"/>
        </w:rPr>
        <w:t xml:space="preserve">vous devez </w:t>
      </w:r>
      <w:r>
        <w:rPr>
          <w:lang w:val="fr-FR"/>
        </w:rPr>
        <w:t>vérifier</w:t>
      </w:r>
      <w:r w:rsidRPr="002D5720">
        <w:rPr>
          <w:lang w:val="fr-FR"/>
        </w:rPr>
        <w:t xml:space="preserve"> la disponibilité de données secondaires relatives </w:t>
      </w:r>
      <w:r w:rsidR="0088344B">
        <w:rPr>
          <w:lang w:val="fr-FR"/>
        </w:rPr>
        <w:t>aux transferts monétaires</w:t>
      </w:r>
      <w:r w:rsidR="004168AD">
        <w:rPr>
          <w:lang w:val="fr-FR"/>
        </w:rPr>
        <w:t xml:space="preserve">. </w:t>
      </w:r>
      <w:r w:rsidR="004168AD" w:rsidRPr="004168AD">
        <w:rPr>
          <w:lang w:val="fr-FR"/>
        </w:rPr>
        <w:t xml:space="preserve">Les données secondaires peuvent </w:t>
      </w:r>
      <w:r w:rsidR="004168AD">
        <w:rPr>
          <w:lang w:val="fr-FR"/>
        </w:rPr>
        <w:t xml:space="preserve">provenir de différentes sources, notamment des documents </w:t>
      </w:r>
      <w:r w:rsidR="00DA3FA7">
        <w:rPr>
          <w:lang w:val="fr-FR"/>
        </w:rPr>
        <w:t>issus de</w:t>
      </w:r>
      <w:r w:rsidR="004168AD">
        <w:rPr>
          <w:lang w:val="fr-FR"/>
        </w:rPr>
        <w:t xml:space="preserve"> la préparation. Parmi les outils </w:t>
      </w:r>
      <w:r w:rsidR="003C2B6D">
        <w:rPr>
          <w:lang w:val="fr-FR"/>
        </w:rPr>
        <w:t>prévus</w:t>
      </w:r>
      <w:r w:rsidR="004168AD">
        <w:rPr>
          <w:lang w:val="fr-FR"/>
        </w:rPr>
        <w:t xml:space="preserve"> pour </w:t>
      </w:r>
      <w:r w:rsidR="00DA3FA7">
        <w:rPr>
          <w:lang w:val="fr-FR"/>
        </w:rPr>
        <w:t>cette étape subsidiaire</w:t>
      </w:r>
      <w:r w:rsidR="004168AD">
        <w:rPr>
          <w:lang w:val="fr-FR"/>
        </w:rPr>
        <w:t xml:space="preserve">, vous trouverez une liste de sources potentielles de données secondaires. Souvenez-vous qu’il existe en général un mécanisme national de </w:t>
      </w:r>
      <w:r w:rsidR="00DA3FA7">
        <w:rPr>
          <w:lang w:val="fr-FR"/>
        </w:rPr>
        <w:t>surveillance</w:t>
      </w:r>
      <w:r w:rsidR="004168AD" w:rsidRPr="004168AD">
        <w:rPr>
          <w:lang w:val="fr-FR"/>
        </w:rPr>
        <w:t xml:space="preserve"> </w:t>
      </w:r>
      <w:r w:rsidR="004168AD">
        <w:rPr>
          <w:lang w:val="fr-FR"/>
        </w:rPr>
        <w:t>des prix, qui peut vous fournir des informations clés.</w:t>
      </w:r>
      <w:r w:rsidR="00AA24BB" w:rsidRPr="004168AD">
        <w:rPr>
          <w:lang w:val="fr-FR"/>
        </w:rPr>
        <w:t xml:space="preserve"> </w:t>
      </w:r>
    </w:p>
    <w:p w14:paraId="60611398" w14:textId="34F0419D" w:rsidR="0059769B" w:rsidRPr="004168AD" w:rsidRDefault="004168AD" w:rsidP="004168AD">
      <w:pPr>
        <w:pStyle w:val="Heading3"/>
        <w:rPr>
          <w:lang w:val="fr-FR"/>
        </w:rPr>
      </w:pPr>
      <w:r w:rsidRPr="003552B2">
        <w:rPr>
          <w:lang w:val="fr-FR"/>
        </w:rPr>
        <w:lastRenderedPageBreak/>
        <w:t>Établir</w:t>
      </w:r>
      <w:r w:rsidRPr="004168AD">
        <w:rPr>
          <w:lang w:val="fr-FR"/>
        </w:rPr>
        <w:t xml:space="preserve"> une cartographie des parties prenantes</w:t>
      </w:r>
    </w:p>
    <w:p w14:paraId="07399FF7" w14:textId="172DA448" w:rsidR="00E66A9A" w:rsidRPr="0077799D" w:rsidRDefault="003C2B6D" w:rsidP="001E7FE3">
      <w:pPr>
        <w:rPr>
          <w:lang w:val="fr-FR"/>
        </w:rPr>
      </w:pPr>
      <w:r w:rsidRPr="003C2B6D">
        <w:rPr>
          <w:lang w:val="fr-FR"/>
        </w:rPr>
        <w:t xml:space="preserve">Les principales parties prenantes sont celles qui peuvent avoir une influence </w:t>
      </w:r>
      <w:r>
        <w:rPr>
          <w:lang w:val="fr-FR"/>
        </w:rPr>
        <w:t>notable</w:t>
      </w:r>
      <w:r w:rsidR="00B20155">
        <w:rPr>
          <w:lang w:val="fr-FR"/>
        </w:rPr>
        <w:t xml:space="preserve"> sur les </w:t>
      </w:r>
      <w:r w:rsidR="0017621F">
        <w:rPr>
          <w:lang w:val="fr-FR"/>
        </w:rPr>
        <w:t>PTM</w:t>
      </w:r>
      <w:r w:rsidR="00B20155">
        <w:rPr>
          <w:lang w:val="fr-FR"/>
        </w:rPr>
        <w:t xml:space="preserve"> </w:t>
      </w:r>
      <w:r w:rsidRPr="003C2B6D">
        <w:rPr>
          <w:lang w:val="fr-FR"/>
        </w:rPr>
        <w:t xml:space="preserve">ou </w:t>
      </w:r>
      <w:r>
        <w:rPr>
          <w:lang w:val="fr-FR"/>
        </w:rPr>
        <w:t>contribuer de manière significative</w:t>
      </w:r>
      <w:r w:rsidRPr="003C2B6D">
        <w:rPr>
          <w:lang w:val="fr-FR"/>
        </w:rPr>
        <w:t xml:space="preserve"> à leur succès. </w:t>
      </w:r>
      <w:r w:rsidR="0017621F">
        <w:rPr>
          <w:lang w:val="fr-FR"/>
        </w:rPr>
        <w:t>I</w:t>
      </w:r>
      <w:r w:rsidR="0017621F">
        <w:rPr>
          <w:lang w:val="fr-FR"/>
        </w:rPr>
        <w:t>l est indispensable d’obtenir des informations sur ces parties prenantes</w:t>
      </w:r>
      <w:r w:rsidR="0017621F">
        <w:rPr>
          <w:lang w:val="fr-FR"/>
        </w:rPr>
        <w:t xml:space="preserve"> p</w:t>
      </w:r>
      <w:r>
        <w:rPr>
          <w:lang w:val="fr-FR"/>
        </w:rPr>
        <w:t xml:space="preserve">our déterminer </w:t>
      </w:r>
      <w:r w:rsidR="00B20155">
        <w:rPr>
          <w:lang w:val="fr-FR"/>
        </w:rPr>
        <w:t xml:space="preserve">si </w:t>
      </w:r>
      <w:r w:rsidR="00A30ABE">
        <w:rPr>
          <w:lang w:val="fr-FR"/>
        </w:rPr>
        <w:t>un PTM</w:t>
      </w:r>
      <w:r w:rsidR="003E7E9A">
        <w:rPr>
          <w:lang w:val="fr-FR"/>
        </w:rPr>
        <w:t xml:space="preserve"> </w:t>
      </w:r>
      <w:r w:rsidR="00A30ABE">
        <w:rPr>
          <w:lang w:val="fr-FR"/>
        </w:rPr>
        <w:t>est</w:t>
      </w:r>
      <w:r>
        <w:rPr>
          <w:lang w:val="fr-FR"/>
        </w:rPr>
        <w:t xml:space="preserve"> envisageable. Les outils prévus pour </w:t>
      </w:r>
      <w:r w:rsidR="00E17A2F">
        <w:rPr>
          <w:lang w:val="fr-FR"/>
        </w:rPr>
        <w:t>cette étape subsidiaire</w:t>
      </w:r>
      <w:r w:rsidR="0057742C">
        <w:rPr>
          <w:lang w:val="fr-FR"/>
        </w:rPr>
        <w:t xml:space="preserve"> comprennent une matrice</w:t>
      </w:r>
      <w:r w:rsidR="0058196F">
        <w:rPr>
          <w:lang w:val="fr-FR"/>
        </w:rPr>
        <w:t>,</w:t>
      </w:r>
      <w:r>
        <w:rPr>
          <w:lang w:val="fr-FR"/>
        </w:rPr>
        <w:t xml:space="preserve"> qui peut vous aider à </w:t>
      </w:r>
      <w:r w:rsidR="00AB432F">
        <w:rPr>
          <w:lang w:val="fr-FR"/>
        </w:rPr>
        <w:t>répertorier les</w:t>
      </w:r>
      <w:r>
        <w:rPr>
          <w:lang w:val="fr-FR"/>
        </w:rPr>
        <w:t xml:space="preserve"> informations sur les principales parties pre</w:t>
      </w:r>
      <w:r w:rsidR="00A72747">
        <w:rPr>
          <w:lang w:val="fr-FR"/>
        </w:rPr>
        <w:t xml:space="preserve">nantes, ainsi que deux listes de contrôle pouvant vous aider à </w:t>
      </w:r>
      <w:r w:rsidR="00B20155">
        <w:rPr>
          <w:lang w:val="fr-FR"/>
        </w:rPr>
        <w:t>collecter d</w:t>
      </w:r>
      <w:r w:rsidR="00A72747">
        <w:rPr>
          <w:lang w:val="fr-FR"/>
        </w:rPr>
        <w:t xml:space="preserve">es informations relatives </w:t>
      </w:r>
      <w:r w:rsidR="006216F2">
        <w:rPr>
          <w:lang w:val="fr-FR"/>
        </w:rPr>
        <w:t>aux transferts monétaires</w:t>
      </w:r>
      <w:r w:rsidR="00A72747">
        <w:rPr>
          <w:lang w:val="fr-FR"/>
        </w:rPr>
        <w:t xml:space="preserve"> durant les entretiens avec les autorités locales et les organisations humanitaires. </w:t>
      </w:r>
      <w:r w:rsidR="0078339D">
        <w:rPr>
          <w:lang w:val="fr-FR"/>
        </w:rPr>
        <w:t>Le cas échéant, v</w:t>
      </w:r>
      <w:r w:rsidR="00A72747">
        <w:rPr>
          <w:lang w:val="fr-FR"/>
        </w:rPr>
        <w:t xml:space="preserve">ous pouvez également les utiliser dans </w:t>
      </w:r>
      <w:r w:rsidR="00B20155">
        <w:rPr>
          <w:lang w:val="fr-FR"/>
        </w:rPr>
        <w:t>le cadre de votre collaboration avec les acteurs du Mouvement, notamment lors</w:t>
      </w:r>
      <w:r w:rsidR="00A72747">
        <w:rPr>
          <w:lang w:val="fr-FR"/>
        </w:rPr>
        <w:t xml:space="preserve"> </w:t>
      </w:r>
      <w:r w:rsidR="00E34B2B">
        <w:rPr>
          <w:lang w:val="fr-FR"/>
        </w:rPr>
        <w:t>des</w:t>
      </w:r>
      <w:r w:rsidR="00A72747">
        <w:rPr>
          <w:lang w:val="fr-FR"/>
        </w:rPr>
        <w:t xml:space="preserve"> réunion</w:t>
      </w:r>
      <w:r w:rsidR="00E34B2B">
        <w:rPr>
          <w:lang w:val="fr-FR"/>
        </w:rPr>
        <w:t>s</w:t>
      </w:r>
      <w:r w:rsidR="00A72747">
        <w:rPr>
          <w:lang w:val="fr-FR"/>
        </w:rPr>
        <w:t xml:space="preserve"> du groupe de travail sur les </w:t>
      </w:r>
      <w:r w:rsidR="00AB432F">
        <w:rPr>
          <w:lang w:val="fr-FR"/>
        </w:rPr>
        <w:t>PTM</w:t>
      </w:r>
      <w:r w:rsidR="0078339D">
        <w:rPr>
          <w:lang w:val="fr-FR"/>
        </w:rPr>
        <w:t xml:space="preserve">. </w:t>
      </w:r>
      <w:r w:rsidR="0078339D" w:rsidRPr="007E29AC">
        <w:rPr>
          <w:lang w:val="fr-FR"/>
        </w:rPr>
        <w:t xml:space="preserve">Les listes de contrôle contiennent </w:t>
      </w:r>
      <w:r w:rsidR="007E29AC" w:rsidRPr="007E29AC">
        <w:rPr>
          <w:lang w:val="fr-FR"/>
        </w:rPr>
        <w:t xml:space="preserve">des </w:t>
      </w:r>
      <w:r w:rsidR="00E34B2B">
        <w:rPr>
          <w:lang w:val="fr-FR"/>
        </w:rPr>
        <w:t>questions</w:t>
      </w:r>
      <w:r w:rsidR="007E29AC" w:rsidRPr="007E29AC">
        <w:rPr>
          <w:lang w:val="fr-FR"/>
        </w:rPr>
        <w:t xml:space="preserve"> que vous pouvez adapter à votre context</w:t>
      </w:r>
      <w:r w:rsidR="007E29AC">
        <w:rPr>
          <w:lang w:val="fr-FR"/>
        </w:rPr>
        <w:t xml:space="preserve">e pour </w:t>
      </w:r>
      <w:r w:rsidR="003A0AA4">
        <w:rPr>
          <w:lang w:val="fr-FR"/>
        </w:rPr>
        <w:t>faire en sorte</w:t>
      </w:r>
      <w:r w:rsidR="007E29AC">
        <w:rPr>
          <w:lang w:val="fr-FR"/>
        </w:rPr>
        <w:t xml:space="preserve"> que les </w:t>
      </w:r>
      <w:r w:rsidR="00E34B2B">
        <w:rPr>
          <w:lang w:val="fr-FR"/>
        </w:rPr>
        <w:t>éléments spécifiques relatif</w:t>
      </w:r>
      <w:r w:rsidR="007E29AC">
        <w:rPr>
          <w:lang w:val="fr-FR"/>
        </w:rPr>
        <w:t xml:space="preserve">s </w:t>
      </w:r>
      <w:r w:rsidR="006216F2">
        <w:rPr>
          <w:lang w:val="fr-FR"/>
        </w:rPr>
        <w:t>aux transferts monétaires</w:t>
      </w:r>
      <w:r w:rsidR="007E29AC">
        <w:rPr>
          <w:lang w:val="fr-FR"/>
        </w:rPr>
        <w:t xml:space="preserve"> so</w:t>
      </w:r>
      <w:r w:rsidR="003A0AA4">
        <w:rPr>
          <w:lang w:val="fr-FR"/>
        </w:rPr>
        <w:t>ie</w:t>
      </w:r>
      <w:r w:rsidR="007E29AC">
        <w:rPr>
          <w:lang w:val="fr-FR"/>
        </w:rPr>
        <w:t xml:space="preserve">nt pris en compte dans votre analyse. </w:t>
      </w:r>
      <w:r w:rsidR="007E29AC" w:rsidRPr="007E29AC">
        <w:rPr>
          <w:lang w:val="fr-FR"/>
        </w:rPr>
        <w:t xml:space="preserve">Enfin, </w:t>
      </w:r>
      <w:r w:rsidR="001E7FE3">
        <w:rPr>
          <w:lang w:val="fr-FR"/>
        </w:rPr>
        <w:t>l’</w:t>
      </w:r>
      <w:r w:rsidR="007E29AC" w:rsidRPr="007E29AC">
        <w:rPr>
          <w:lang w:val="fr-FR"/>
        </w:rPr>
        <w:t xml:space="preserve">outil </w:t>
      </w:r>
      <w:r w:rsidR="001E7FE3">
        <w:rPr>
          <w:lang w:val="fr-FR"/>
        </w:rPr>
        <w:t xml:space="preserve">sur les quatre questions de base </w:t>
      </w:r>
      <w:r w:rsidR="007E29AC" w:rsidRPr="007E29AC">
        <w:rPr>
          <w:lang w:val="fr-FR"/>
        </w:rPr>
        <w:t xml:space="preserve">peut vous aider à recueillir des informations </w:t>
      </w:r>
      <w:r w:rsidR="007E29AC">
        <w:rPr>
          <w:lang w:val="fr-FR"/>
        </w:rPr>
        <w:t xml:space="preserve">et à les consolider </w:t>
      </w:r>
      <w:r w:rsidR="007E29AC" w:rsidRPr="007E29AC">
        <w:rPr>
          <w:lang w:val="fr-FR"/>
        </w:rPr>
        <w:t xml:space="preserve">en vue de </w:t>
      </w:r>
      <w:r w:rsidR="007E29AC">
        <w:rPr>
          <w:lang w:val="fr-FR"/>
        </w:rPr>
        <w:t>déterminer</w:t>
      </w:r>
      <w:r w:rsidR="007E29AC" w:rsidRPr="007E29AC">
        <w:rPr>
          <w:lang w:val="fr-FR"/>
        </w:rPr>
        <w:t xml:space="preserve"> qui fait quoi, o</w:t>
      </w:r>
      <w:r w:rsidR="007E29AC">
        <w:rPr>
          <w:lang w:val="fr-FR"/>
        </w:rPr>
        <w:t xml:space="preserve">ù et quand pour faire face à une </w:t>
      </w:r>
      <w:r w:rsidR="00E34B2B">
        <w:rPr>
          <w:lang w:val="fr-FR"/>
        </w:rPr>
        <w:t>situation d’urgence</w:t>
      </w:r>
      <w:r w:rsidR="007E29AC">
        <w:rPr>
          <w:lang w:val="fr-FR"/>
        </w:rPr>
        <w:t xml:space="preserve">. </w:t>
      </w:r>
    </w:p>
    <w:p w14:paraId="1A8EB67B" w14:textId="77777777" w:rsidR="00CE668E" w:rsidRDefault="00CE668E">
      <w:pPr>
        <w:spacing w:after="0"/>
        <w:jc w:val="left"/>
        <w:rPr>
          <w:lang w:val="fr-FR"/>
        </w:rPr>
      </w:pPr>
    </w:p>
    <w:p w14:paraId="6FFB5A15" w14:textId="77777777" w:rsidR="00CE668E" w:rsidRDefault="00CE668E">
      <w:pPr>
        <w:spacing w:after="0"/>
        <w:jc w:val="left"/>
        <w:rPr>
          <w:lang w:val="fr-FR"/>
        </w:rPr>
      </w:pPr>
    </w:p>
    <w:p w14:paraId="18BBC9D3" w14:textId="77777777" w:rsidR="00CE668E" w:rsidRDefault="00CE668E">
      <w:pPr>
        <w:spacing w:after="0"/>
        <w:jc w:val="left"/>
        <w:rPr>
          <w:lang w:val="fr-FR"/>
        </w:rPr>
      </w:pP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916"/>
      </w:tblGrid>
      <w:tr w:rsidR="00542794" w:rsidRPr="003552B2" w14:paraId="5FCC95D2" w14:textId="77777777" w:rsidTr="00542794">
        <w:tc>
          <w:tcPr>
            <w:tcW w:w="9916" w:type="dxa"/>
          </w:tcPr>
          <w:p w14:paraId="4D82FA48" w14:textId="353AF1F8" w:rsidR="00542794" w:rsidRPr="00BE63F5" w:rsidRDefault="00542794" w:rsidP="00542794">
            <w:pPr>
              <w:pStyle w:val="RefTitre"/>
              <w:rPr>
                <w:lang w:val="fr-FR"/>
              </w:rPr>
            </w:pPr>
            <w:r w:rsidRPr="00BE63F5">
              <w:rPr>
                <w:lang w:val="fr-FR"/>
              </w:rPr>
              <w:t>DOCUMENTS</w:t>
            </w:r>
            <w:r w:rsidR="006A03C3" w:rsidRPr="00BE63F5">
              <w:rPr>
                <w:lang w:val="fr-FR"/>
              </w:rPr>
              <w:t xml:space="preserve"> DE RÉFÉRENCE</w:t>
            </w:r>
          </w:p>
          <w:p w14:paraId="34C86CDB" w14:textId="630EC511" w:rsidR="00542794" w:rsidRPr="000B6E91" w:rsidRDefault="00542794" w:rsidP="0060061B">
            <w:pPr>
              <w:pStyle w:val="RefItem1"/>
              <w:rPr>
                <w:rFonts w:eastAsia="Times New Roman"/>
                <w:b/>
                <w:bCs/>
                <w:color w:val="auto"/>
                <w:lang w:val="en-GB"/>
              </w:rPr>
            </w:pPr>
            <w:r w:rsidRPr="000B6E91">
              <w:rPr>
                <w:rFonts w:eastAsia="Times New Roman"/>
                <w:bCs/>
                <w:i/>
                <w:iCs/>
                <w:shd w:val="clear" w:color="auto" w:fill="D9D9D9" w:themeFill="background1" w:themeFillShade="D9"/>
                <w:lang w:val="en-GB"/>
              </w:rPr>
              <w:t>Household Economic Security (HES) Technical Guidelines for Assessment Analysis and Programme Design</w:t>
            </w:r>
            <w:r w:rsidR="0060061B" w:rsidRPr="000B6E91">
              <w:rPr>
                <w:rFonts w:eastAsia="Times New Roman"/>
                <w:bCs/>
                <w:shd w:val="clear" w:color="auto" w:fill="D9D9D9" w:themeFill="background1" w:themeFillShade="D9"/>
                <w:lang w:val="en-GB"/>
              </w:rPr>
              <w:t xml:space="preserve">, Croix-Rouge </w:t>
            </w:r>
            <w:proofErr w:type="spellStart"/>
            <w:r w:rsidR="0060061B" w:rsidRPr="000B6E91">
              <w:rPr>
                <w:rFonts w:eastAsia="Times New Roman"/>
                <w:bCs/>
                <w:shd w:val="clear" w:color="auto" w:fill="D9D9D9" w:themeFill="background1" w:themeFillShade="D9"/>
                <w:lang w:val="en-GB"/>
              </w:rPr>
              <w:t>britannique</w:t>
            </w:r>
            <w:proofErr w:type="spellEnd"/>
            <w:r w:rsidR="0060061B" w:rsidRPr="000B6E91">
              <w:rPr>
                <w:rFonts w:eastAsia="Times New Roman"/>
                <w:bCs/>
                <w:shd w:val="clear" w:color="auto" w:fill="D9D9D9" w:themeFill="background1" w:themeFillShade="D9"/>
                <w:lang w:val="en-GB"/>
              </w:rPr>
              <w:t xml:space="preserve"> (2010)</w:t>
            </w:r>
            <w:r w:rsidRPr="000B6E91">
              <w:rPr>
                <w:rFonts w:eastAsia="Times New Roman"/>
                <w:lang w:val="en-GB"/>
              </w:rPr>
              <w:t xml:space="preserve"> </w:t>
            </w:r>
            <w:hyperlink r:id="rId9" w:anchor="wlp_pages_documentDetail_page" w:history="1">
              <w:r w:rsidR="001D5C1A" w:rsidRPr="000B6E91">
                <w:rPr>
                  <w:rStyle w:val="Hyperlink"/>
                  <w:rFonts w:eastAsia="Times New Roman" w:cs="Arial"/>
                  <w:szCs w:val="20"/>
                  <w:lang w:val="en-GB"/>
                </w:rPr>
                <w:t>http://www.livelihoodscentre.org/livelihoods/portal.portal?_nfpb=true&amp;_pageLabel=pages_documentDetail_page&amp;language=en&amp;nodeId=%2FLivelihoods%2F16011&amp;section=Publications&amp;l=en#wlp_pages_documentDetail_page</w:t>
              </w:r>
            </w:hyperlink>
            <w:r w:rsidR="0077799D" w:rsidRPr="000B6E91">
              <w:rPr>
                <w:rStyle w:val="Hyperlink"/>
                <w:rFonts w:eastAsia="Times New Roman" w:cs="Arial"/>
                <w:color w:val="auto"/>
                <w:szCs w:val="20"/>
                <w:u w:val="none"/>
                <w:lang w:val="en-GB"/>
              </w:rPr>
              <w:t xml:space="preserve"> (</w:t>
            </w:r>
            <w:proofErr w:type="spellStart"/>
            <w:r w:rsidR="0077799D" w:rsidRPr="000B6E91">
              <w:rPr>
                <w:rStyle w:val="Hyperlink"/>
                <w:rFonts w:eastAsia="Times New Roman" w:cs="Arial"/>
                <w:color w:val="auto"/>
                <w:szCs w:val="20"/>
                <w:u w:val="none"/>
                <w:lang w:val="en-GB"/>
              </w:rPr>
              <w:t>en</w:t>
            </w:r>
            <w:proofErr w:type="spellEnd"/>
            <w:r w:rsidR="0077799D" w:rsidRPr="000B6E91">
              <w:rPr>
                <w:rStyle w:val="Hyperlink"/>
                <w:rFonts w:eastAsia="Times New Roman" w:cs="Arial"/>
                <w:color w:val="auto"/>
                <w:szCs w:val="20"/>
                <w:u w:val="none"/>
                <w:lang w:val="en-GB"/>
              </w:rPr>
              <w:t xml:space="preserve"> </w:t>
            </w:r>
            <w:proofErr w:type="spellStart"/>
            <w:r w:rsidR="0077799D" w:rsidRPr="000B6E91">
              <w:rPr>
                <w:rStyle w:val="Hyperlink"/>
                <w:rFonts w:eastAsia="Times New Roman" w:cs="Arial"/>
                <w:color w:val="auto"/>
                <w:szCs w:val="20"/>
                <w:u w:val="none"/>
                <w:lang w:val="en-GB"/>
              </w:rPr>
              <w:t>anglais</w:t>
            </w:r>
            <w:proofErr w:type="spellEnd"/>
            <w:r w:rsidR="0077799D" w:rsidRPr="000B6E91">
              <w:rPr>
                <w:rStyle w:val="Hyperlink"/>
                <w:rFonts w:eastAsia="Times New Roman" w:cs="Arial"/>
                <w:color w:val="auto"/>
                <w:szCs w:val="20"/>
                <w:u w:val="none"/>
                <w:lang w:val="en-GB"/>
              </w:rPr>
              <w:t>)</w:t>
            </w:r>
          </w:p>
          <w:p w14:paraId="0804D917" w14:textId="0B28B5A8" w:rsidR="00542794" w:rsidRPr="0077799D" w:rsidRDefault="00542794" w:rsidP="0060061B">
            <w:pPr>
              <w:pStyle w:val="RefItem1"/>
              <w:rPr>
                <w:lang w:val="fr-FR"/>
              </w:rPr>
            </w:pPr>
            <w:r w:rsidRPr="006172A8">
              <w:rPr>
                <w:i/>
                <w:iCs/>
                <w:lang w:val="fr-FR"/>
              </w:rPr>
              <w:t>Multi-cluster/</w:t>
            </w:r>
            <w:proofErr w:type="spellStart"/>
            <w:r w:rsidRPr="006172A8">
              <w:rPr>
                <w:i/>
                <w:iCs/>
                <w:lang w:val="fr-FR"/>
              </w:rPr>
              <w:t>sector</w:t>
            </w:r>
            <w:proofErr w:type="spellEnd"/>
            <w:r w:rsidRPr="006172A8">
              <w:rPr>
                <w:i/>
                <w:iCs/>
                <w:lang w:val="fr-FR"/>
              </w:rPr>
              <w:t xml:space="preserve"> Initial Rapid </w:t>
            </w:r>
            <w:proofErr w:type="spellStart"/>
            <w:r w:rsidRPr="006172A8">
              <w:rPr>
                <w:i/>
                <w:iCs/>
                <w:lang w:val="fr-FR"/>
              </w:rPr>
              <w:t>Assessment</w:t>
            </w:r>
            <w:proofErr w:type="spellEnd"/>
            <w:r w:rsidR="006172A8" w:rsidRPr="006172A8">
              <w:rPr>
                <w:i/>
                <w:iCs/>
                <w:lang w:val="fr-FR"/>
              </w:rPr>
              <w:t xml:space="preserve"> (MIRA)</w:t>
            </w:r>
            <w:bookmarkStart w:id="0" w:name="_GoBack"/>
            <w:bookmarkEnd w:id="0"/>
            <w:r w:rsidR="0060061B">
              <w:rPr>
                <w:lang w:val="fr-FR"/>
              </w:rPr>
              <w:t xml:space="preserve">, </w:t>
            </w:r>
            <w:r w:rsidR="00DB28D9" w:rsidRPr="0077799D">
              <w:rPr>
                <w:lang w:val="fr-FR"/>
              </w:rPr>
              <w:t>Bureau de la coordination des affaires humanitaires des Nations Unies</w:t>
            </w:r>
            <w:r w:rsidR="0060061B">
              <w:rPr>
                <w:lang w:val="fr-FR"/>
              </w:rPr>
              <w:t xml:space="preserve"> </w:t>
            </w:r>
            <w:r w:rsidR="0060061B" w:rsidRPr="0060061B">
              <w:rPr>
                <w:lang w:val="fr-FR"/>
              </w:rPr>
              <w:t>(2012)</w:t>
            </w:r>
            <w:r w:rsidR="0060061B" w:rsidRPr="006172A8">
              <w:rPr>
                <w:i/>
                <w:iCs/>
                <w:lang w:val="fr-FR"/>
              </w:rPr>
              <w:t xml:space="preserve"> </w:t>
            </w:r>
            <w:hyperlink r:id="rId10" w:history="1">
              <w:r w:rsidRPr="0077799D">
                <w:rPr>
                  <w:rStyle w:val="Hyperlink"/>
                  <w:rFonts w:eastAsia="Times New Roman" w:cs="Arial"/>
                  <w:szCs w:val="20"/>
                  <w:lang w:val="fr-FR"/>
                </w:rPr>
                <w:t>https://docs.unocha.org/sites/dms/Documents/mira_final_version2012.pdf</w:t>
              </w:r>
            </w:hyperlink>
            <w:r w:rsidRPr="0077799D">
              <w:rPr>
                <w:lang w:val="fr-FR"/>
              </w:rPr>
              <w:t xml:space="preserve"> </w:t>
            </w:r>
            <w:r w:rsidR="0077799D" w:rsidRPr="0077799D">
              <w:rPr>
                <w:lang w:val="fr-FR"/>
              </w:rPr>
              <w:t>(en anglais)</w:t>
            </w:r>
          </w:p>
          <w:p w14:paraId="3D08FE6E" w14:textId="6114F395" w:rsidR="00542794" w:rsidRPr="00DB28D9" w:rsidRDefault="00DB28D9" w:rsidP="00E34B2B">
            <w:pPr>
              <w:pStyle w:val="RefItem1"/>
              <w:rPr>
                <w:lang w:val="fr-FR"/>
              </w:rPr>
            </w:pPr>
            <w:r w:rsidRPr="00DB28D9">
              <w:rPr>
                <w:lang w:val="fr-FR"/>
              </w:rPr>
              <w:t>Comment faire une ECV</w:t>
            </w:r>
            <w:r w:rsidR="00E34B2B">
              <w:rPr>
                <w:lang w:val="fr-FR"/>
              </w:rPr>
              <w:t> :</w:t>
            </w:r>
            <w:r w:rsidRPr="00DB28D9">
              <w:rPr>
                <w:lang w:val="fr-FR"/>
              </w:rPr>
              <w:t xml:space="preserve"> </w:t>
            </w:r>
            <w:r w:rsidR="00E34B2B">
              <w:rPr>
                <w:lang w:val="fr-FR"/>
              </w:rPr>
              <w:t>g</w:t>
            </w:r>
            <w:r w:rsidRPr="00DB28D9">
              <w:rPr>
                <w:lang w:val="fr-FR"/>
              </w:rPr>
              <w:t>uide pratique à l’usage du personnel et des volontaires de la Croix-</w:t>
            </w:r>
            <w:r>
              <w:rPr>
                <w:lang w:val="fr-FR"/>
              </w:rPr>
              <w:t xml:space="preserve">Rouge et du Croissant-Rouge, Fédération internationale (2007) </w:t>
            </w:r>
            <w:hyperlink r:id="rId11" w:history="1">
              <w:r w:rsidRPr="003C709B">
                <w:rPr>
                  <w:rStyle w:val="Hyperlink"/>
                  <w:lang w:val="fr-FR"/>
                </w:rPr>
                <w:t>http://www.ifrc.org/Global/Publications/disasters/vca/how-to-do-vca-fr.pdf</w:t>
              </w:r>
            </w:hyperlink>
            <w:r>
              <w:rPr>
                <w:lang w:val="fr-FR"/>
              </w:rPr>
              <w:t xml:space="preserve"> </w:t>
            </w:r>
          </w:p>
          <w:p w14:paraId="5F12657F" w14:textId="3D7E2BE6" w:rsidR="00542794" w:rsidRPr="006172A8" w:rsidRDefault="006172A8" w:rsidP="0060061B">
            <w:pPr>
              <w:pStyle w:val="RefItem1"/>
              <w:rPr>
                <w:color w:val="auto"/>
                <w:lang w:val="fr-FR"/>
              </w:rPr>
            </w:pPr>
            <w:r>
              <w:rPr>
                <w:rFonts w:eastAsia="Times New Roman"/>
                <w:lang w:val="fr-FR"/>
              </w:rPr>
              <w:t>Programmes de t</w:t>
            </w:r>
            <w:r w:rsidRPr="006172A8">
              <w:rPr>
                <w:rFonts w:eastAsia="Times New Roman"/>
                <w:lang w:val="fr-FR"/>
              </w:rPr>
              <w:t xml:space="preserve">ransferts monétaires </w:t>
            </w:r>
            <w:r>
              <w:rPr>
                <w:rFonts w:eastAsia="Times New Roman"/>
                <w:lang w:val="fr-FR"/>
              </w:rPr>
              <w:t xml:space="preserve">dans les situations d’urgence </w:t>
            </w:r>
            <w:r w:rsidR="00DD26D0">
              <w:rPr>
                <w:rFonts w:eastAsia="Times New Roman"/>
                <w:lang w:val="fr-FR"/>
              </w:rPr>
              <w:t>urbaine</w:t>
            </w:r>
            <w:r w:rsidR="0060061B">
              <w:rPr>
                <w:rFonts w:eastAsia="Times New Roman"/>
                <w:lang w:val="fr-FR"/>
              </w:rPr>
              <w:t xml:space="preserve">, The Cash Learning </w:t>
            </w:r>
            <w:proofErr w:type="spellStart"/>
            <w:r w:rsidR="0060061B">
              <w:rPr>
                <w:rFonts w:eastAsia="Times New Roman"/>
                <w:lang w:val="fr-FR"/>
              </w:rPr>
              <w:t>Partnership</w:t>
            </w:r>
            <w:proofErr w:type="spellEnd"/>
            <w:r w:rsidR="0060061B">
              <w:rPr>
                <w:rFonts w:eastAsia="Times New Roman"/>
                <w:lang w:val="fr-FR"/>
              </w:rPr>
              <w:t xml:space="preserve"> (2011)</w:t>
            </w:r>
            <w:r w:rsidR="007B7E1A">
              <w:rPr>
                <w:rFonts w:eastAsia="Times New Roman"/>
                <w:lang w:val="fr-FR"/>
              </w:rPr>
              <w:t xml:space="preserve"> </w:t>
            </w:r>
            <w:hyperlink r:id="rId12" w:history="1">
              <w:r w:rsidR="00341A56">
                <w:rPr>
                  <w:rStyle w:val="Hyperlink"/>
                  <w:rFonts w:eastAsia="Times New Roman" w:cs="Arial"/>
                  <w:szCs w:val="20"/>
                  <w:lang w:val="fr-FR"/>
                </w:rPr>
                <w:t>http://www.cashlearning.org/downloads/les-transferts-monetaires.pdf</w:t>
              </w:r>
            </w:hyperlink>
          </w:p>
        </w:tc>
      </w:tr>
    </w:tbl>
    <w:p w14:paraId="2C33D717" w14:textId="77777777" w:rsidR="00542794" w:rsidRPr="006172A8" w:rsidRDefault="00542794" w:rsidP="00542794">
      <w:pPr>
        <w:rPr>
          <w:lang w:val="fr-FR"/>
        </w:rPr>
      </w:pPr>
    </w:p>
    <w:sectPr w:rsidR="00542794" w:rsidRPr="006172A8" w:rsidSect="0030717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84F37" w14:textId="77777777" w:rsidR="00F7590D" w:rsidRDefault="00F7590D">
      <w:r>
        <w:separator/>
      </w:r>
    </w:p>
  </w:endnote>
  <w:endnote w:type="continuationSeparator" w:id="0">
    <w:p w14:paraId="74D787B1" w14:textId="77777777" w:rsidR="00F7590D" w:rsidRDefault="00F7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A148" w14:textId="7AC00AF5" w:rsidR="00624427" w:rsidRPr="006A03C3" w:rsidRDefault="00624427" w:rsidP="006A03C3">
    <w:pPr>
      <w:pStyle w:val="Footer"/>
      <w:rPr>
        <w:szCs w:val="16"/>
        <w:lang w:val="fr-FR"/>
      </w:rPr>
    </w:pPr>
    <w:r w:rsidRPr="00EB4D39">
      <w:rPr>
        <w:b/>
        <w:szCs w:val="16"/>
        <w:lang w:val="fr-FR"/>
      </w:rPr>
      <w:t>Module 2</w:t>
    </w:r>
    <w:r w:rsidR="0030717A" w:rsidRPr="00EB4D39">
      <w:rPr>
        <w:b/>
        <w:szCs w:val="16"/>
        <w:lang w:val="fr-FR"/>
      </w:rPr>
      <w:t>.</w:t>
    </w:r>
    <w:r w:rsidR="0030717A" w:rsidRPr="00EB4D39">
      <w:rPr>
        <w:szCs w:val="16"/>
        <w:lang w:val="fr-FR"/>
      </w:rPr>
      <w:t xml:space="preserve"> </w:t>
    </w:r>
    <w:r w:rsidR="006A03C3" w:rsidRPr="006A03C3">
      <w:rPr>
        <w:szCs w:val="16"/>
        <w:lang w:val="fr-FR"/>
      </w:rPr>
      <w:t>Feuille de route pour la planification et la préparation de l’évaluation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7D6F" w14:textId="77777777" w:rsidR="0030717A" w:rsidRPr="00B45C74" w:rsidRDefault="0030717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552B2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041FB45" w14:textId="37C2C291" w:rsidR="0030717A" w:rsidRPr="003A3500" w:rsidRDefault="0030717A" w:rsidP="00E11AB6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</w:t>
    </w:r>
    <w:r w:rsidR="00E11AB6" w:rsidRPr="00F86A18">
      <w:rPr>
        <w:lang w:val="fr-FR"/>
      </w:rPr>
      <w:t>Étape</w:t>
    </w:r>
    <w:r w:rsidR="0012510B">
      <w:t xml:space="preserve"> 1. </w:t>
    </w:r>
    <w:r w:rsidR="00884B4C">
      <w:fldChar w:fldCharType="begin"/>
    </w:r>
    <w:r w:rsidR="00884B4C">
      <w:instrText xml:space="preserve"> STYLEREF  H1 \t  \* MERGEFORMAT </w:instrText>
    </w:r>
    <w:r w:rsidR="00884B4C">
      <w:fldChar w:fldCharType="separate"/>
    </w:r>
    <w:r w:rsidR="003552B2">
      <w:rPr>
        <w:noProof/>
      </w:rPr>
      <w:t>Feuille de route pour la planification et la préparation de l’évaluation</w:t>
    </w:r>
    <w:r w:rsidR="00884B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846D6" w14:textId="77777777" w:rsidR="00F7590D" w:rsidRDefault="00F7590D">
      <w:r>
        <w:separator/>
      </w:r>
    </w:p>
  </w:footnote>
  <w:footnote w:type="continuationSeparator" w:id="0">
    <w:p w14:paraId="79F0F1F2" w14:textId="77777777" w:rsidR="00F7590D" w:rsidRDefault="00F7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9586" w14:textId="0E99AB31" w:rsidR="0030717A" w:rsidRPr="00116D31" w:rsidRDefault="006A03C3" w:rsidP="006216F2">
    <w:pPr>
      <w:pStyle w:val="Header"/>
      <w:rPr>
        <w:sz w:val="14"/>
        <w:szCs w:val="14"/>
        <w:lang w:val="fr-FR"/>
      </w:rPr>
    </w:pPr>
    <w:r w:rsidRPr="00116D31">
      <w:rPr>
        <w:rStyle w:val="Pantone485"/>
        <w:sz w:val="14"/>
        <w:szCs w:val="14"/>
        <w:lang w:val="fr-FR"/>
      </w:rPr>
      <w:t>Mouvement international de la Croix-Rouge et du Croissant-Rouge</w:t>
    </w:r>
    <w:r w:rsidR="0030717A" w:rsidRPr="00116D31">
      <w:rPr>
        <w:rFonts w:cs="Caecilia-Light"/>
        <w:color w:val="FF0000"/>
        <w:sz w:val="14"/>
        <w:szCs w:val="14"/>
        <w:lang w:val="fr-FR"/>
      </w:rPr>
      <w:t xml:space="preserve"> </w:t>
    </w:r>
    <w:r w:rsidR="0030717A" w:rsidRPr="00116D31">
      <w:rPr>
        <w:rStyle w:val="PageNumber"/>
        <w:bCs/>
        <w:sz w:val="14"/>
        <w:szCs w:val="14"/>
        <w:lang w:val="fr-FR"/>
      </w:rPr>
      <w:t>I</w:t>
    </w:r>
    <w:r w:rsidR="0030717A" w:rsidRPr="00116D31">
      <w:rPr>
        <w:rStyle w:val="PageNumber"/>
        <w:b w:val="0"/>
        <w:bCs/>
        <w:color w:val="FF0000"/>
        <w:sz w:val="14"/>
        <w:szCs w:val="14"/>
        <w:lang w:val="fr-FR"/>
      </w:rPr>
      <w:t xml:space="preserve"> </w:t>
    </w:r>
    <w:r w:rsidR="00157E08" w:rsidRPr="00116D31">
      <w:rPr>
        <w:b/>
        <w:sz w:val="14"/>
        <w:szCs w:val="14"/>
        <w:lang w:val="fr-FR"/>
      </w:rPr>
      <w:t xml:space="preserve">Boîte à outils pour </w:t>
    </w:r>
    <w:r w:rsidR="006216F2" w:rsidRPr="00116D31">
      <w:rPr>
        <w:b/>
        <w:sz w:val="14"/>
        <w:szCs w:val="14"/>
        <w:lang w:val="fr-FR"/>
      </w:rPr>
      <w:t>les transferts monétaires</w:t>
    </w:r>
    <w:r w:rsidRPr="00116D31">
      <w:rPr>
        <w:b/>
        <w:sz w:val="14"/>
        <w:szCs w:val="14"/>
        <w:lang w:val="fr-FR"/>
      </w:rPr>
      <w:t xml:space="preserve">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802C8" w14:textId="268EF571" w:rsidR="0030717A" w:rsidRDefault="002F1CAB" w:rsidP="00050617">
    <w:pPr>
      <w:pStyle w:val="Header1"/>
    </w:pPr>
    <w:r>
      <w:rPr>
        <w:rFonts w:ascii="Arial Bold" w:hAnsi="Arial Bold"/>
        <w:noProof/>
        <w:color w:val="DC281E"/>
        <w:lang w:val="en-GB" w:eastAsia="en-GB"/>
      </w:rPr>
      <w:drawing>
        <wp:anchor distT="0" distB="0" distL="114300" distR="114300" simplePos="0" relativeHeight="251663360" behindDoc="0" locked="0" layoutInCell="1" allowOverlap="1" wp14:anchorId="02BDAAF8" wp14:editId="5EFC84D8">
          <wp:simplePos x="0" y="0"/>
          <wp:positionH relativeFrom="margin">
            <wp:posOffset>316865</wp:posOffset>
          </wp:positionH>
          <wp:positionV relativeFrom="margin">
            <wp:posOffset>-1280795</wp:posOffset>
          </wp:positionV>
          <wp:extent cx="630555" cy="735330"/>
          <wp:effectExtent l="0" t="0" r="0" b="7620"/>
          <wp:wrapSquare wrapText="bothSides"/>
          <wp:docPr id="2" name="Picture 2" descr="T:\Language\2015\French\Z_Jonathan\Références\Cash in emergencies\CICR logo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anguage\2015\French\Z_Jonathan\Références\Cash in emergencies\CICR logo-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F88FA" w14:textId="62CFDD7A" w:rsidR="0030717A" w:rsidRDefault="002F1CAB" w:rsidP="00050617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34823DD" wp14:editId="43D02845">
          <wp:simplePos x="0" y="0"/>
          <wp:positionH relativeFrom="margin">
            <wp:posOffset>2590165</wp:posOffset>
          </wp:positionH>
          <wp:positionV relativeFrom="margin">
            <wp:posOffset>-915670</wp:posOffset>
          </wp:positionV>
          <wp:extent cx="3187065" cy="308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French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06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069BE3" w14:textId="50036D56" w:rsidR="0030717A" w:rsidRDefault="0030717A" w:rsidP="00CB38F7">
    <w:pPr>
      <w:pStyle w:val="Header"/>
      <w:rPr>
        <w:color w:val="DC281E"/>
        <w:sz w:val="24"/>
        <w:szCs w:val="24"/>
      </w:rPr>
    </w:pPr>
  </w:p>
  <w:p w14:paraId="33972EBB" w14:textId="4CFB39D4" w:rsidR="0030717A" w:rsidRDefault="0030717A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14:paraId="49E8788D" w14:textId="258C1DD0" w:rsidR="0030717A" w:rsidRDefault="0030717A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14:paraId="76659109" w14:textId="10D3B56A" w:rsidR="0030717A" w:rsidRPr="002F1CAB" w:rsidRDefault="00C96DC5" w:rsidP="00C96DC5">
    <w:pPr>
      <w:pStyle w:val="Header1"/>
      <w:rPr>
        <w:rFonts w:ascii="Arial Bold" w:hAnsi="Arial Bold"/>
        <w:color w:val="DC281E"/>
        <w:lang w:val="fr-FR"/>
      </w:rPr>
    </w:pPr>
    <w:r>
      <w:rPr>
        <w:rFonts w:ascii="Arial Bold" w:hAnsi="Arial Bold"/>
        <w:color w:val="DC281E"/>
        <w:lang w:val="fr-FR"/>
      </w:rPr>
      <w:t>Boî</w:t>
    </w:r>
    <w:r w:rsidR="00E254CC">
      <w:rPr>
        <w:rFonts w:ascii="Arial Bold" w:hAnsi="Arial Bold"/>
        <w:color w:val="DC281E"/>
        <w:lang w:val="fr-FR"/>
      </w:rPr>
      <w:t xml:space="preserve">te à outils pour </w:t>
    </w:r>
    <w:r>
      <w:rPr>
        <w:rFonts w:ascii="Arial Bold" w:hAnsi="Arial Bold"/>
        <w:color w:val="DC281E"/>
        <w:lang w:val="fr-FR"/>
      </w:rPr>
      <w:t>les transferts monétaires</w:t>
    </w:r>
    <w:r w:rsidR="00E254CC">
      <w:rPr>
        <w:rFonts w:ascii="Arial Bold" w:hAnsi="Arial Bold"/>
        <w:color w:val="DC281E"/>
        <w:lang w:val="fr-FR"/>
      </w:rPr>
      <w:t xml:space="preserve"> </w:t>
    </w:r>
    <w:r w:rsidR="002F1CAB" w:rsidRPr="002F1CAB">
      <w:rPr>
        <w:rFonts w:ascii="Arial Bold" w:hAnsi="Arial Bold"/>
        <w:color w:val="DC281E"/>
        <w:lang w:val="fr-FR"/>
      </w:rPr>
      <w:t>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F"/>
    <w:rsid w:val="00020970"/>
    <w:rsid w:val="00022A8A"/>
    <w:rsid w:val="00043133"/>
    <w:rsid w:val="00047E33"/>
    <w:rsid w:val="00051D33"/>
    <w:rsid w:val="00077406"/>
    <w:rsid w:val="00092E4F"/>
    <w:rsid w:val="000A3F01"/>
    <w:rsid w:val="000A686F"/>
    <w:rsid w:val="000B6E91"/>
    <w:rsid w:val="000C44AA"/>
    <w:rsid w:val="000E3992"/>
    <w:rsid w:val="000E5094"/>
    <w:rsid w:val="000F4B6F"/>
    <w:rsid w:val="001147BB"/>
    <w:rsid w:val="00116D31"/>
    <w:rsid w:val="0012510B"/>
    <w:rsid w:val="00136C29"/>
    <w:rsid w:val="00153A50"/>
    <w:rsid w:val="00155F51"/>
    <w:rsid w:val="00157E08"/>
    <w:rsid w:val="0017621F"/>
    <w:rsid w:val="001D5C1A"/>
    <w:rsid w:val="001E142C"/>
    <w:rsid w:val="001E7FE3"/>
    <w:rsid w:val="00220213"/>
    <w:rsid w:val="0022150F"/>
    <w:rsid w:val="00233F6F"/>
    <w:rsid w:val="00234CB3"/>
    <w:rsid w:val="0025752B"/>
    <w:rsid w:val="00273676"/>
    <w:rsid w:val="0029124C"/>
    <w:rsid w:val="002A76ED"/>
    <w:rsid w:val="002B1145"/>
    <w:rsid w:val="002B6139"/>
    <w:rsid w:val="002C223B"/>
    <w:rsid w:val="002D55C9"/>
    <w:rsid w:val="002D5720"/>
    <w:rsid w:val="002F1CAB"/>
    <w:rsid w:val="0030717A"/>
    <w:rsid w:val="00310F7F"/>
    <w:rsid w:val="00341A56"/>
    <w:rsid w:val="003552B2"/>
    <w:rsid w:val="0038391F"/>
    <w:rsid w:val="003A0055"/>
    <w:rsid w:val="003A0AA4"/>
    <w:rsid w:val="003A64A4"/>
    <w:rsid w:val="003B30D2"/>
    <w:rsid w:val="003C2B6D"/>
    <w:rsid w:val="003D3486"/>
    <w:rsid w:val="003E7E9A"/>
    <w:rsid w:val="00416276"/>
    <w:rsid w:val="004168AD"/>
    <w:rsid w:val="00440CD9"/>
    <w:rsid w:val="00450203"/>
    <w:rsid w:val="00454DAB"/>
    <w:rsid w:val="004B2D32"/>
    <w:rsid w:val="004D55A0"/>
    <w:rsid w:val="004F2AC8"/>
    <w:rsid w:val="005075F6"/>
    <w:rsid w:val="00510A56"/>
    <w:rsid w:val="00521FA9"/>
    <w:rsid w:val="00542079"/>
    <w:rsid w:val="00542794"/>
    <w:rsid w:val="00551FBB"/>
    <w:rsid w:val="00556228"/>
    <w:rsid w:val="00571391"/>
    <w:rsid w:val="00574A2B"/>
    <w:rsid w:val="0057742C"/>
    <w:rsid w:val="0058196F"/>
    <w:rsid w:val="0059769B"/>
    <w:rsid w:val="005A3830"/>
    <w:rsid w:val="005C26EE"/>
    <w:rsid w:val="005D4AE0"/>
    <w:rsid w:val="005E451C"/>
    <w:rsid w:val="0060061B"/>
    <w:rsid w:val="006033C8"/>
    <w:rsid w:val="006167CF"/>
    <w:rsid w:val="006172A8"/>
    <w:rsid w:val="006216F2"/>
    <w:rsid w:val="00624427"/>
    <w:rsid w:val="00667746"/>
    <w:rsid w:val="00693228"/>
    <w:rsid w:val="006A03C3"/>
    <w:rsid w:val="006A3EF0"/>
    <w:rsid w:val="006D6F5D"/>
    <w:rsid w:val="006E099E"/>
    <w:rsid w:val="007371CE"/>
    <w:rsid w:val="00740A95"/>
    <w:rsid w:val="0075222F"/>
    <w:rsid w:val="00754777"/>
    <w:rsid w:val="0075528C"/>
    <w:rsid w:val="0077799D"/>
    <w:rsid w:val="0078339D"/>
    <w:rsid w:val="007B7E1A"/>
    <w:rsid w:val="007C04D6"/>
    <w:rsid w:val="007C242A"/>
    <w:rsid w:val="007C3BB4"/>
    <w:rsid w:val="007D0F31"/>
    <w:rsid w:val="007E0454"/>
    <w:rsid w:val="007E29AC"/>
    <w:rsid w:val="008217CD"/>
    <w:rsid w:val="00865F32"/>
    <w:rsid w:val="0088344B"/>
    <w:rsid w:val="00884B4C"/>
    <w:rsid w:val="008A009A"/>
    <w:rsid w:val="008A252B"/>
    <w:rsid w:val="008B2C14"/>
    <w:rsid w:val="008E0018"/>
    <w:rsid w:val="008E6B0E"/>
    <w:rsid w:val="00901BDF"/>
    <w:rsid w:val="00901E4A"/>
    <w:rsid w:val="00904994"/>
    <w:rsid w:val="009653F8"/>
    <w:rsid w:val="009A04E7"/>
    <w:rsid w:val="009A12E5"/>
    <w:rsid w:val="009E157A"/>
    <w:rsid w:val="009E4609"/>
    <w:rsid w:val="00A046A1"/>
    <w:rsid w:val="00A1794A"/>
    <w:rsid w:val="00A22FB8"/>
    <w:rsid w:val="00A30ABE"/>
    <w:rsid w:val="00A56CBC"/>
    <w:rsid w:val="00A72747"/>
    <w:rsid w:val="00A8271C"/>
    <w:rsid w:val="00A942B0"/>
    <w:rsid w:val="00AA24BB"/>
    <w:rsid w:val="00AB432F"/>
    <w:rsid w:val="00AB74B6"/>
    <w:rsid w:val="00AD1EBF"/>
    <w:rsid w:val="00B20155"/>
    <w:rsid w:val="00B23B74"/>
    <w:rsid w:val="00B30398"/>
    <w:rsid w:val="00B3382C"/>
    <w:rsid w:val="00B43B9E"/>
    <w:rsid w:val="00B60AFF"/>
    <w:rsid w:val="00BB3842"/>
    <w:rsid w:val="00BE63F5"/>
    <w:rsid w:val="00BF5230"/>
    <w:rsid w:val="00C15664"/>
    <w:rsid w:val="00C3147A"/>
    <w:rsid w:val="00C57695"/>
    <w:rsid w:val="00C6084E"/>
    <w:rsid w:val="00C66C49"/>
    <w:rsid w:val="00C96DC5"/>
    <w:rsid w:val="00CD4597"/>
    <w:rsid w:val="00CE668E"/>
    <w:rsid w:val="00D13FF3"/>
    <w:rsid w:val="00D2598E"/>
    <w:rsid w:val="00D44268"/>
    <w:rsid w:val="00D90668"/>
    <w:rsid w:val="00DA3863"/>
    <w:rsid w:val="00DA3FA7"/>
    <w:rsid w:val="00DB28D9"/>
    <w:rsid w:val="00DD1652"/>
    <w:rsid w:val="00DD26C4"/>
    <w:rsid w:val="00DD26D0"/>
    <w:rsid w:val="00DD4A10"/>
    <w:rsid w:val="00DE08BC"/>
    <w:rsid w:val="00E1165A"/>
    <w:rsid w:val="00E11AB6"/>
    <w:rsid w:val="00E14DDB"/>
    <w:rsid w:val="00E17A2F"/>
    <w:rsid w:val="00E216FE"/>
    <w:rsid w:val="00E254CC"/>
    <w:rsid w:val="00E34B2B"/>
    <w:rsid w:val="00E66A9A"/>
    <w:rsid w:val="00EB4D39"/>
    <w:rsid w:val="00F0055F"/>
    <w:rsid w:val="00F16C84"/>
    <w:rsid w:val="00F225AB"/>
    <w:rsid w:val="00F31192"/>
    <w:rsid w:val="00F66194"/>
    <w:rsid w:val="00F7590D"/>
    <w:rsid w:val="00F75A6E"/>
    <w:rsid w:val="00F82B82"/>
    <w:rsid w:val="00F86A18"/>
    <w:rsid w:val="00F906AD"/>
    <w:rsid w:val="00FB1A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6087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12510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1251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10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10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10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12510B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2510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10B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2510B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510B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12510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510B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10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2510B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12510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510B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1251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2510B"/>
    <w:rPr>
      <w:rFonts w:ascii="Arial" w:eastAsiaTheme="minorEastAsia" w:hAnsi="Arial" w:cs="Times New Roman"/>
      <w:b/>
      <w:sz w:val="40"/>
      <w:szCs w:val="52"/>
    </w:rPr>
  </w:style>
  <w:style w:type="character" w:styleId="CommentReference">
    <w:name w:val="annotation reference"/>
    <w:basedOn w:val="DefaultParagraphFont"/>
    <w:uiPriority w:val="99"/>
    <w:unhideWhenUsed/>
    <w:rsid w:val="0012510B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unhideWhenUsed/>
    <w:rsid w:val="0012510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2510B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10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510B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10B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12510B"/>
    <w:rPr>
      <w:b/>
    </w:rPr>
  </w:style>
  <w:style w:type="character" w:styleId="FollowedHyperlink">
    <w:name w:val="FollowedHyperlink"/>
    <w:basedOn w:val="DefaultParagraphFont"/>
    <w:uiPriority w:val="99"/>
    <w:unhideWhenUsed/>
    <w:rsid w:val="0012510B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12510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2510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2510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2510B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2510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2510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2510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2510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2510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2510B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2510B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12510B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2510B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2510B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2510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2510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2510B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12510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1251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10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10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10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12510B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2510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10B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2510B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510B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12510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510B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10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2510B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12510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510B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1251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2510B"/>
    <w:rPr>
      <w:rFonts w:ascii="Arial" w:eastAsiaTheme="minorEastAsia" w:hAnsi="Arial" w:cs="Times New Roman"/>
      <w:b/>
      <w:sz w:val="40"/>
      <w:szCs w:val="52"/>
    </w:rPr>
  </w:style>
  <w:style w:type="character" w:styleId="CommentReference">
    <w:name w:val="annotation reference"/>
    <w:basedOn w:val="DefaultParagraphFont"/>
    <w:uiPriority w:val="99"/>
    <w:unhideWhenUsed/>
    <w:rsid w:val="0012510B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unhideWhenUsed/>
    <w:rsid w:val="0012510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2510B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10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510B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10B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12510B"/>
    <w:rPr>
      <w:b/>
    </w:rPr>
  </w:style>
  <w:style w:type="character" w:styleId="FollowedHyperlink">
    <w:name w:val="FollowedHyperlink"/>
    <w:basedOn w:val="DefaultParagraphFont"/>
    <w:uiPriority w:val="99"/>
    <w:unhideWhenUsed/>
    <w:rsid w:val="0012510B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12510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2510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2510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2510B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2510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2510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2510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2510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2510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2510B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2510B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12510B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2510B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2510B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2510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2510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2510B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shlearning.org/downloads/les-transferts-monetaire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frc.org/Global/Publications/disasters/vca/how-to-do-vca-f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unocha.org/sites/dms/Documents/mira_final_version2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elihoodscentre.org/livelihoods/portal.portal?_nfpb=true&amp;_pageLabel=pages_documentDetail_page&amp;language=en&amp;nodeId=%2FLivelihoods%2F16011&amp;section=Publications&amp;l=e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772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Florence MAROT</cp:lastModifiedBy>
  <cp:revision>91</cp:revision>
  <cp:lastPrinted>2015-09-23T13:32:00Z</cp:lastPrinted>
  <dcterms:created xsi:type="dcterms:W3CDTF">2015-04-21T10:14:00Z</dcterms:created>
  <dcterms:modified xsi:type="dcterms:W3CDTF">2016-04-01T09:07:00Z</dcterms:modified>
</cp:coreProperties>
</file>