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7281" w14:textId="140131BC" w:rsidR="00310F7F" w:rsidRPr="00CD4039" w:rsidRDefault="00CD4039" w:rsidP="00E5101D">
      <w:pPr>
        <w:pStyle w:val="H1"/>
        <w:rPr>
          <w:lang w:val="fr-FR"/>
        </w:rPr>
      </w:pPr>
      <w:r w:rsidRPr="007C3BB4">
        <w:rPr>
          <w:rFonts w:cs="Arial"/>
          <w:lang w:val="fr-FR"/>
        </w:rPr>
        <w:t xml:space="preserve">Feuille de route </w:t>
      </w:r>
      <w:r w:rsidR="00E5101D">
        <w:rPr>
          <w:rFonts w:cs="Arial"/>
          <w:lang w:val="fr-FR"/>
        </w:rPr>
        <w:t xml:space="preserve">pour </w:t>
      </w:r>
      <w:r w:rsidR="00671DFF">
        <w:rPr>
          <w:rFonts w:cs="Arial"/>
          <w:lang w:val="fr-FR"/>
        </w:rPr>
        <w:t>une</w:t>
      </w:r>
      <w:r w:rsidRPr="007C3BB4">
        <w:rPr>
          <w:rFonts w:cs="Arial"/>
          <w:lang w:val="fr-FR"/>
        </w:rPr>
        <w:t xml:space="preserve"> </w:t>
      </w:r>
      <w:r w:rsidR="00671DFF">
        <w:rPr>
          <w:rFonts w:cs="Arial"/>
          <w:lang w:val="fr-FR"/>
        </w:rPr>
        <w:t>évaluation d</w:t>
      </w:r>
      <w:r>
        <w:rPr>
          <w:rFonts w:cs="Arial"/>
          <w:lang w:val="fr-FR"/>
        </w:rPr>
        <w:t xml:space="preserve">es communautés </w:t>
      </w:r>
      <w:r w:rsidR="00E5101D">
        <w:rPr>
          <w:rFonts w:cs="Arial"/>
          <w:lang w:val="fr-FR"/>
        </w:rPr>
        <w:t>tenant</w:t>
      </w:r>
      <w:r w:rsidR="00671DFF">
        <w:rPr>
          <w:rFonts w:cs="Arial"/>
          <w:lang w:val="fr-FR"/>
        </w:rPr>
        <w:t xml:space="preserve"> compte</w:t>
      </w:r>
      <w:r>
        <w:rPr>
          <w:rFonts w:cs="Arial"/>
          <w:lang w:val="fr-FR"/>
        </w:rPr>
        <w:t xml:space="preserve"> </w:t>
      </w:r>
      <w:r w:rsidRPr="00D24C12">
        <w:rPr>
          <w:rFonts w:cs="Arial"/>
          <w:lang w:val="fr-FR"/>
        </w:rPr>
        <w:t>des éléments liés aux transferts monétaires</w:t>
      </w:r>
    </w:p>
    <w:p w14:paraId="5A26D9A8" w14:textId="281FF487" w:rsidR="002B4DCC" w:rsidRPr="002B4DCC" w:rsidRDefault="005E24F5" w:rsidP="002B4DCC">
      <w:pPr>
        <w:pStyle w:val="H1"/>
        <w:ind w:left="-170"/>
        <w:rPr>
          <w:sz w:val="20"/>
          <w:szCs w:val="20"/>
        </w:rPr>
      </w:pPr>
      <w:r>
        <w:pict w14:anchorId="61B1A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95pt;height:249.75pt">
            <v:imagedata r:id="rId8" o:title="02-Assessment-rodmap-EN2"/>
          </v:shape>
        </w:pict>
      </w:r>
    </w:p>
    <w:p w14:paraId="62AADDA6" w14:textId="77777777" w:rsidR="00E66A9A" w:rsidRPr="00671DFF" w:rsidRDefault="00E66A9A" w:rsidP="00F52885">
      <w:pPr>
        <w:pStyle w:val="Heading2"/>
        <w:rPr>
          <w:lang w:val="fr-FR"/>
        </w:rPr>
      </w:pPr>
      <w:r w:rsidRPr="00671DFF">
        <w:rPr>
          <w:lang w:val="fr-FR"/>
        </w:rPr>
        <w:t>INTRODUCTION</w:t>
      </w:r>
    </w:p>
    <w:p w14:paraId="52B89936" w14:textId="3CD19D88" w:rsidR="00231111" w:rsidRPr="007076CD" w:rsidRDefault="00FF6031" w:rsidP="002E0169">
      <w:pPr>
        <w:rPr>
          <w:lang w:val="fr-FR"/>
        </w:rPr>
      </w:pPr>
      <w:r w:rsidRPr="00FF6031">
        <w:rPr>
          <w:lang w:val="fr-FR"/>
        </w:rPr>
        <w:t>Pour envisager les transferts monétaires comme un</w:t>
      </w:r>
      <w:r w:rsidR="00424FA8">
        <w:rPr>
          <w:lang w:val="fr-FR"/>
        </w:rPr>
        <w:t>e modalité/un</w:t>
      </w:r>
      <w:r w:rsidRPr="00FF6031">
        <w:rPr>
          <w:lang w:val="fr-FR"/>
        </w:rPr>
        <w:t xml:space="preserve"> mécanisme d’intervention possible, vous devez veiller à ce que votre évaluation </w:t>
      </w:r>
      <w:r>
        <w:rPr>
          <w:lang w:val="fr-FR"/>
        </w:rPr>
        <w:t xml:space="preserve">tienne </w:t>
      </w:r>
      <w:r w:rsidR="00424FA8">
        <w:rPr>
          <w:lang w:val="fr-FR"/>
        </w:rPr>
        <w:t xml:space="preserve">à chaque étape </w:t>
      </w:r>
      <w:r>
        <w:rPr>
          <w:lang w:val="fr-FR"/>
        </w:rPr>
        <w:t xml:space="preserve">compte des éléments </w:t>
      </w:r>
      <w:r w:rsidR="002039D3">
        <w:rPr>
          <w:lang w:val="fr-FR"/>
        </w:rPr>
        <w:t>relatifs</w:t>
      </w:r>
      <w:r>
        <w:rPr>
          <w:lang w:val="fr-FR"/>
        </w:rPr>
        <w:t xml:space="preserve"> </w:t>
      </w:r>
      <w:r w:rsidR="00424FA8">
        <w:rPr>
          <w:lang w:val="fr-FR"/>
        </w:rPr>
        <w:t>aux transferts monétaires</w:t>
      </w:r>
      <w:r>
        <w:rPr>
          <w:lang w:val="fr-FR"/>
        </w:rPr>
        <w:t xml:space="preserve">. </w:t>
      </w:r>
      <w:r w:rsidR="007076CD">
        <w:rPr>
          <w:lang w:val="fr-FR"/>
        </w:rPr>
        <w:t xml:space="preserve">Cette feuille de route vous aidera à collecter </w:t>
      </w:r>
      <w:r w:rsidR="007076CD" w:rsidRPr="00115E39">
        <w:rPr>
          <w:lang w:val="fr-FR"/>
        </w:rPr>
        <w:t xml:space="preserve">des informations </w:t>
      </w:r>
      <w:r w:rsidR="002E0169">
        <w:rPr>
          <w:lang w:val="fr-FR"/>
        </w:rPr>
        <w:t>relatives à l’argent</w:t>
      </w:r>
      <w:r w:rsidR="007076CD">
        <w:rPr>
          <w:lang w:val="fr-FR"/>
        </w:rPr>
        <w:t xml:space="preserve"> dans le cadre de l’évaluation menée au niveau communautaire.</w:t>
      </w:r>
      <w:r w:rsidR="00231111" w:rsidRPr="007076CD">
        <w:rPr>
          <w:lang w:val="fr-FR"/>
        </w:rPr>
        <w:t xml:space="preserve"> </w:t>
      </w:r>
    </w:p>
    <w:p w14:paraId="638FDB40" w14:textId="0BE8D396" w:rsidR="002514B1" w:rsidRPr="00C84535" w:rsidRDefault="007076CD" w:rsidP="002E0169">
      <w:pPr>
        <w:rPr>
          <w:lang w:val="fr-FR"/>
        </w:rPr>
      </w:pPr>
      <w:r>
        <w:rPr>
          <w:lang w:val="fr-FR"/>
        </w:rPr>
        <w:t xml:space="preserve">Pour les besoins </w:t>
      </w:r>
      <w:r w:rsidR="00E5101D">
        <w:rPr>
          <w:lang w:val="fr-FR"/>
        </w:rPr>
        <w:t>de la Boîte à outils</w:t>
      </w:r>
      <w:r w:rsidR="003836BB" w:rsidRPr="007076CD">
        <w:rPr>
          <w:lang w:val="fr-FR"/>
        </w:rPr>
        <w:t xml:space="preserve">, </w:t>
      </w:r>
      <w:r>
        <w:rPr>
          <w:lang w:val="fr-FR"/>
        </w:rPr>
        <w:t>l’évaluation</w:t>
      </w:r>
      <w:r w:rsidR="003836BB" w:rsidRPr="007076CD">
        <w:rPr>
          <w:lang w:val="fr-FR"/>
        </w:rPr>
        <w:t xml:space="preserve"> </w:t>
      </w:r>
      <w:r>
        <w:rPr>
          <w:lang w:val="fr-FR"/>
        </w:rPr>
        <w:t>des communautés a été divisée en quatre étapes</w:t>
      </w:r>
      <w:r w:rsidR="00424FA8">
        <w:rPr>
          <w:lang w:val="fr-FR"/>
        </w:rPr>
        <w:t xml:space="preserve"> subsidiaires</w:t>
      </w:r>
      <w:r>
        <w:rPr>
          <w:lang w:val="fr-FR"/>
        </w:rPr>
        <w:t xml:space="preserve"> </w:t>
      </w:r>
      <w:r w:rsidR="00871F64">
        <w:rPr>
          <w:lang w:val="fr-FR"/>
        </w:rPr>
        <w:t xml:space="preserve">non </w:t>
      </w:r>
      <w:r w:rsidR="0046178C">
        <w:rPr>
          <w:lang w:val="fr-FR"/>
        </w:rPr>
        <w:t>successives</w:t>
      </w:r>
      <w:r w:rsidR="00871F64">
        <w:rPr>
          <w:lang w:val="fr-FR"/>
        </w:rPr>
        <w:t>.</w:t>
      </w:r>
      <w:r w:rsidR="003836BB" w:rsidRPr="007076CD">
        <w:rPr>
          <w:lang w:val="fr-FR"/>
        </w:rPr>
        <w:t xml:space="preserve"> </w:t>
      </w:r>
      <w:r w:rsidR="00871F64" w:rsidRPr="00871F64">
        <w:rPr>
          <w:lang w:val="fr-FR"/>
        </w:rPr>
        <w:t>Pour chaque étape</w:t>
      </w:r>
      <w:r w:rsidR="00424FA8">
        <w:rPr>
          <w:lang w:val="fr-FR"/>
        </w:rPr>
        <w:t xml:space="preserve"> subsidiaire</w:t>
      </w:r>
      <w:r w:rsidR="00871F64" w:rsidRPr="00871F64">
        <w:rPr>
          <w:lang w:val="fr-FR"/>
        </w:rPr>
        <w:t xml:space="preserve">, vous trouverez une série d’outils vous permettant de collecter </w:t>
      </w:r>
      <w:r w:rsidR="002E0169" w:rsidRPr="00871F64">
        <w:rPr>
          <w:lang w:val="fr-FR"/>
        </w:rPr>
        <w:t xml:space="preserve">auprès des communautés </w:t>
      </w:r>
      <w:r w:rsidR="002E0169">
        <w:rPr>
          <w:lang w:val="fr-FR"/>
        </w:rPr>
        <w:t>et des ménages touchés par un choc</w:t>
      </w:r>
      <w:r w:rsidR="002E0169" w:rsidRPr="00871F64">
        <w:rPr>
          <w:lang w:val="fr-FR"/>
        </w:rPr>
        <w:t xml:space="preserve"> </w:t>
      </w:r>
      <w:r w:rsidR="00424FA8" w:rsidRPr="00871F64">
        <w:rPr>
          <w:lang w:val="fr-FR"/>
        </w:rPr>
        <w:t>des informations</w:t>
      </w:r>
      <w:r w:rsidR="00424FA8">
        <w:rPr>
          <w:lang w:val="fr-FR"/>
        </w:rPr>
        <w:t xml:space="preserve"> utiles</w:t>
      </w:r>
      <w:r w:rsidR="00424FA8" w:rsidRPr="00871F64">
        <w:rPr>
          <w:lang w:val="fr-FR"/>
        </w:rPr>
        <w:t xml:space="preserve"> </w:t>
      </w:r>
      <w:r w:rsidR="002E0169">
        <w:rPr>
          <w:lang w:val="fr-FR"/>
        </w:rPr>
        <w:t>pour les transferts monétaires</w:t>
      </w:r>
      <w:r w:rsidR="00871F64">
        <w:rPr>
          <w:lang w:val="fr-FR"/>
        </w:rPr>
        <w:t xml:space="preserve">. </w:t>
      </w:r>
      <w:r w:rsidR="00B74E95" w:rsidRPr="00B74E95">
        <w:rPr>
          <w:lang w:val="fr-FR"/>
        </w:rPr>
        <w:t>Les étapes</w:t>
      </w:r>
      <w:r w:rsidR="00424FA8">
        <w:rPr>
          <w:lang w:val="fr-FR"/>
        </w:rPr>
        <w:t xml:space="preserve"> subsidiaires</w:t>
      </w:r>
      <w:r w:rsidR="00B74E95" w:rsidRPr="00B74E95">
        <w:rPr>
          <w:lang w:val="fr-FR"/>
        </w:rPr>
        <w:t xml:space="preserve"> et les outils </w:t>
      </w:r>
      <w:r w:rsidR="00424FA8">
        <w:rPr>
          <w:lang w:val="fr-FR"/>
        </w:rPr>
        <w:t>proposés</w:t>
      </w:r>
      <w:r w:rsidR="00B74E95" w:rsidRPr="00B74E95">
        <w:rPr>
          <w:lang w:val="fr-FR"/>
        </w:rPr>
        <w:t xml:space="preserve"> ont été élaborés en partant de l’idée que </w:t>
      </w:r>
      <w:r w:rsidR="00B74E95">
        <w:rPr>
          <w:lang w:val="fr-FR"/>
        </w:rPr>
        <w:t xml:space="preserve">la plupart des </w:t>
      </w:r>
      <w:r w:rsidR="009F051C">
        <w:rPr>
          <w:lang w:val="fr-FR"/>
        </w:rPr>
        <w:t>méthodes</w:t>
      </w:r>
      <w:r w:rsidR="00B74E95">
        <w:rPr>
          <w:lang w:val="fr-FR"/>
        </w:rPr>
        <w:t xml:space="preserve"> et des outils d’évaluation </w:t>
      </w:r>
      <w:r w:rsidR="00172DBF">
        <w:rPr>
          <w:lang w:val="fr-FR"/>
        </w:rPr>
        <w:t>existants ne permettai</w:t>
      </w:r>
      <w:r w:rsidR="00B74E95">
        <w:rPr>
          <w:lang w:val="fr-FR"/>
        </w:rPr>
        <w:t xml:space="preserve">ent pas d’obtenir </w:t>
      </w:r>
      <w:r w:rsidR="002E0169">
        <w:rPr>
          <w:lang w:val="fr-FR"/>
        </w:rPr>
        <w:t>ce type d’informations</w:t>
      </w:r>
      <w:r w:rsidR="00B74E95">
        <w:rPr>
          <w:lang w:val="fr-FR"/>
        </w:rPr>
        <w:t>.</w:t>
      </w:r>
      <w:r w:rsidR="00C84535">
        <w:rPr>
          <w:lang w:val="fr-FR"/>
        </w:rPr>
        <w:t xml:space="preserve"> Ils comprennent une série de thèmes et de questio</w:t>
      </w:r>
      <w:r w:rsidR="00C313D0">
        <w:rPr>
          <w:lang w:val="fr-FR"/>
        </w:rPr>
        <w:t xml:space="preserve">ns </w:t>
      </w:r>
      <w:r w:rsidR="00172DBF">
        <w:rPr>
          <w:lang w:val="fr-FR"/>
        </w:rPr>
        <w:t>à</w:t>
      </w:r>
      <w:r w:rsidR="00C84535">
        <w:rPr>
          <w:lang w:val="fr-FR"/>
        </w:rPr>
        <w:t xml:space="preserve"> intégrer dans l’évaluation d’urgence </w:t>
      </w:r>
      <w:r w:rsidR="00172DBF">
        <w:rPr>
          <w:lang w:val="fr-FR"/>
        </w:rPr>
        <w:t>effectuée</w:t>
      </w:r>
      <w:r w:rsidR="00C84535">
        <w:rPr>
          <w:lang w:val="fr-FR"/>
        </w:rPr>
        <w:t xml:space="preserve"> aux niveaux des communautés et des ménages.</w:t>
      </w:r>
      <w:r w:rsidR="00231111" w:rsidRPr="00C84535">
        <w:rPr>
          <w:lang w:val="fr-FR"/>
        </w:rPr>
        <w:t xml:space="preserve"> </w:t>
      </w:r>
      <w:r w:rsidR="00C84535" w:rsidRPr="00C84535">
        <w:rPr>
          <w:lang w:val="fr-FR"/>
        </w:rPr>
        <w:t xml:space="preserve">Vous pouvez choisir d’utiliser un ou plusieurs des outils proposés, </w:t>
      </w:r>
      <w:r w:rsidR="00C84535">
        <w:rPr>
          <w:lang w:val="fr-FR"/>
        </w:rPr>
        <w:t>s</w:t>
      </w:r>
      <w:r w:rsidR="00C84535" w:rsidRPr="00C84535">
        <w:rPr>
          <w:lang w:val="fr-FR"/>
        </w:rPr>
        <w:t>elon le temps dont vou</w:t>
      </w:r>
      <w:r w:rsidR="002E4F34">
        <w:rPr>
          <w:lang w:val="fr-FR"/>
        </w:rPr>
        <w:t>s disposez et la profondeur de</w:t>
      </w:r>
      <w:r w:rsidR="00C84535">
        <w:rPr>
          <w:lang w:val="fr-FR"/>
        </w:rPr>
        <w:t xml:space="preserve"> votre analyse</w:t>
      </w:r>
      <w:r w:rsidR="003836BB" w:rsidRPr="00C84535">
        <w:rPr>
          <w:lang w:val="fr-FR"/>
        </w:rPr>
        <w:t>.</w:t>
      </w:r>
    </w:p>
    <w:p w14:paraId="5B03ED02" w14:textId="4129B148" w:rsidR="007804AA" w:rsidRPr="00436E8C" w:rsidRDefault="002B0F8B" w:rsidP="002E0169">
      <w:pPr>
        <w:rPr>
          <w:lang w:val="fr-FR"/>
        </w:rPr>
      </w:pPr>
      <w:r w:rsidRPr="002B0F8B">
        <w:rPr>
          <w:lang w:val="fr-FR"/>
        </w:rPr>
        <w:t xml:space="preserve">La première étape </w:t>
      </w:r>
      <w:r w:rsidR="00172DBF">
        <w:rPr>
          <w:lang w:val="fr-FR"/>
        </w:rPr>
        <w:t xml:space="preserve">subsidiaire </w:t>
      </w:r>
      <w:r w:rsidRPr="002B0F8B">
        <w:rPr>
          <w:lang w:val="fr-FR"/>
        </w:rPr>
        <w:t xml:space="preserve">peut vous aider à collecter des informations sur l’accès </w:t>
      </w:r>
      <w:r w:rsidR="00172DBF" w:rsidRPr="002B0F8B">
        <w:rPr>
          <w:lang w:val="fr-FR"/>
        </w:rPr>
        <w:t xml:space="preserve">des communautés et des ménages </w:t>
      </w:r>
      <w:r w:rsidR="00172DBF">
        <w:rPr>
          <w:lang w:val="fr-FR"/>
        </w:rPr>
        <w:t>à l’argent</w:t>
      </w:r>
      <w:r w:rsidR="00172DBF">
        <w:rPr>
          <w:lang w:val="fr-FR"/>
        </w:rPr>
        <w:t>, l’utilisation qu’ils en font</w:t>
      </w:r>
      <w:r w:rsidRPr="002B0F8B">
        <w:rPr>
          <w:lang w:val="fr-FR"/>
        </w:rPr>
        <w:t xml:space="preserve"> </w:t>
      </w:r>
      <w:r>
        <w:rPr>
          <w:lang w:val="fr-FR"/>
        </w:rPr>
        <w:t xml:space="preserve">et leurs préférences en </w:t>
      </w:r>
      <w:r w:rsidR="00B51FBA">
        <w:rPr>
          <w:lang w:val="fr-FR"/>
        </w:rPr>
        <w:t>matière d’aide monétaire</w:t>
      </w:r>
      <w:r>
        <w:rPr>
          <w:lang w:val="fr-FR"/>
        </w:rPr>
        <w:t>.</w:t>
      </w:r>
      <w:r w:rsidR="007804AA" w:rsidRPr="002B0F8B">
        <w:rPr>
          <w:lang w:val="fr-FR"/>
        </w:rPr>
        <w:t xml:space="preserve"> </w:t>
      </w:r>
      <w:r w:rsidRPr="002B0F8B">
        <w:rPr>
          <w:lang w:val="fr-FR"/>
        </w:rPr>
        <w:t xml:space="preserve">La deuxième peut vous aider à collecter des informations plus détaillées sur l’accès des communautés aux </w:t>
      </w:r>
      <w:r>
        <w:rPr>
          <w:lang w:val="fr-FR"/>
        </w:rPr>
        <w:t xml:space="preserve">principaux marchés, produits de base et services financiers. </w:t>
      </w:r>
      <w:r w:rsidRPr="002B0F8B">
        <w:rPr>
          <w:lang w:val="fr-FR"/>
        </w:rPr>
        <w:t>La troisième peut vous aider à identifier et</w:t>
      </w:r>
      <w:r w:rsidR="009F051C">
        <w:rPr>
          <w:lang w:val="fr-FR"/>
        </w:rPr>
        <w:t xml:space="preserve"> à</w:t>
      </w:r>
      <w:r w:rsidRPr="002B0F8B">
        <w:rPr>
          <w:lang w:val="fr-FR"/>
        </w:rPr>
        <w:t xml:space="preserve"> quantifier les besoins prio</w:t>
      </w:r>
      <w:r>
        <w:rPr>
          <w:lang w:val="fr-FR"/>
        </w:rPr>
        <w:t xml:space="preserve">ritaires </w:t>
      </w:r>
      <w:r w:rsidR="00436E8C">
        <w:rPr>
          <w:lang w:val="fr-FR"/>
        </w:rPr>
        <w:t xml:space="preserve">de la population touchée par le choc. </w:t>
      </w:r>
      <w:r w:rsidR="00436E8C" w:rsidRPr="00436E8C">
        <w:rPr>
          <w:lang w:val="fr-FR"/>
        </w:rPr>
        <w:t>Enfin, la quatrième et dernière étape vous aidera à organiser les informations</w:t>
      </w:r>
      <w:r w:rsidR="00436E8C">
        <w:rPr>
          <w:lang w:val="fr-FR"/>
        </w:rPr>
        <w:t xml:space="preserve"> </w:t>
      </w:r>
      <w:r w:rsidR="00436E8C" w:rsidRPr="00436E8C">
        <w:rPr>
          <w:lang w:val="fr-FR"/>
        </w:rPr>
        <w:t>que vous aure</w:t>
      </w:r>
      <w:r w:rsidR="00436E8C">
        <w:rPr>
          <w:lang w:val="fr-FR"/>
        </w:rPr>
        <w:t>z collectées aux niveaux des communautés et des ménages, ce qui facilitera leur intégration dans le rapport général d’évaluation.</w:t>
      </w:r>
    </w:p>
    <w:p w14:paraId="1EF93900" w14:textId="11FFB3FA" w:rsidR="0043228C" w:rsidRPr="002039D3" w:rsidRDefault="002039D3" w:rsidP="002039D3">
      <w:pPr>
        <w:rPr>
          <w:lang w:val="fr-FR"/>
        </w:rPr>
      </w:pPr>
      <w:r w:rsidRPr="002039D3">
        <w:rPr>
          <w:lang w:val="fr-FR"/>
        </w:rPr>
        <w:lastRenderedPageBreak/>
        <w:t>Les documents de référence vo</w:t>
      </w:r>
      <w:r w:rsidR="0086538D">
        <w:rPr>
          <w:lang w:val="fr-FR"/>
        </w:rPr>
        <w:t>u</w:t>
      </w:r>
      <w:r w:rsidRPr="002039D3">
        <w:rPr>
          <w:lang w:val="fr-FR"/>
        </w:rPr>
        <w:t>s fournissent des ressources supplémentaires qu</w:t>
      </w:r>
      <w:r w:rsidR="002E4F34">
        <w:rPr>
          <w:lang w:val="fr-FR"/>
        </w:rPr>
        <w:t>i peuvent vous être utiles lors</w:t>
      </w:r>
      <w:r w:rsidRPr="002039D3">
        <w:rPr>
          <w:lang w:val="fr-FR"/>
        </w:rPr>
        <w:t>que vous adaptez votre év</w:t>
      </w:r>
      <w:r>
        <w:rPr>
          <w:lang w:val="fr-FR"/>
        </w:rPr>
        <w:t xml:space="preserve">aluation des communautés pour qu’elle tienne compte des </w:t>
      </w:r>
      <w:r w:rsidRPr="00525203">
        <w:rPr>
          <w:lang w:val="fr-FR"/>
        </w:rPr>
        <w:t>éléments relatifs aux transferts monétaires.</w:t>
      </w:r>
      <w:r w:rsidR="003C42DE" w:rsidRPr="002039D3">
        <w:rPr>
          <w:lang w:val="fr-FR"/>
        </w:rPr>
        <w:t xml:space="preserve"> </w:t>
      </w:r>
    </w:p>
    <w:p w14:paraId="4F7A5FFD" w14:textId="67D64FF8" w:rsidR="00E66A9A" w:rsidRPr="007E00C6" w:rsidRDefault="001D5953" w:rsidP="00F52885">
      <w:pPr>
        <w:pStyle w:val="Heading2"/>
      </w:pPr>
      <w:r>
        <w:t>NORMES MINIMALES</w:t>
      </w:r>
    </w:p>
    <w:p w14:paraId="20CB25FB" w14:textId="1EACA694" w:rsidR="008512BB" w:rsidRPr="00EE2F01" w:rsidRDefault="00EE2F01" w:rsidP="00172DBF">
      <w:pPr>
        <w:pStyle w:val="Bullet1"/>
        <w:rPr>
          <w:lang w:val="fr-FR"/>
        </w:rPr>
      </w:pPr>
      <w:r w:rsidRPr="00EE2F01">
        <w:rPr>
          <w:lang w:val="fr-FR"/>
        </w:rPr>
        <w:t xml:space="preserve">Les informations sur l’accès </w:t>
      </w:r>
      <w:r w:rsidR="00172DBF" w:rsidRPr="00EE2F01">
        <w:rPr>
          <w:lang w:val="fr-FR"/>
        </w:rPr>
        <w:t xml:space="preserve">des communautés et des ménages </w:t>
      </w:r>
      <w:r w:rsidR="00172DBF">
        <w:rPr>
          <w:lang w:val="fr-FR"/>
        </w:rPr>
        <w:t>à l’argent</w:t>
      </w:r>
      <w:r w:rsidR="00172DBF">
        <w:rPr>
          <w:lang w:val="fr-FR"/>
        </w:rPr>
        <w:t xml:space="preserve">, l’utilisation qu’ils en font </w:t>
      </w:r>
      <w:r w:rsidR="004571F3">
        <w:rPr>
          <w:lang w:val="fr-FR"/>
        </w:rPr>
        <w:t>e</w:t>
      </w:r>
      <w:r w:rsidRPr="00EE2F01">
        <w:rPr>
          <w:lang w:val="fr-FR"/>
        </w:rPr>
        <w:t xml:space="preserve">t leurs préférences en </w:t>
      </w:r>
      <w:r w:rsidR="00172DBF">
        <w:rPr>
          <w:lang w:val="fr-FR"/>
        </w:rPr>
        <w:t>matière</w:t>
      </w:r>
      <w:r w:rsidRPr="00EE2F01">
        <w:rPr>
          <w:lang w:val="fr-FR"/>
        </w:rPr>
        <w:t xml:space="preserve"> </w:t>
      </w:r>
      <w:r w:rsidR="004571F3">
        <w:rPr>
          <w:lang w:val="fr-FR"/>
        </w:rPr>
        <w:t>d’aide</w:t>
      </w:r>
      <w:r w:rsidR="00172DBF">
        <w:rPr>
          <w:lang w:val="fr-FR"/>
        </w:rPr>
        <w:t xml:space="preserve"> monétaire</w:t>
      </w:r>
      <w:r w:rsidRPr="00EE2F01">
        <w:rPr>
          <w:lang w:val="fr-FR"/>
        </w:rPr>
        <w:t xml:space="preserve"> doivent être collectées </w:t>
      </w:r>
      <w:r>
        <w:rPr>
          <w:lang w:val="fr-FR"/>
        </w:rPr>
        <w:t xml:space="preserve">dans le cadre de </w:t>
      </w:r>
      <w:r w:rsidRPr="00EE2F01">
        <w:rPr>
          <w:lang w:val="fr-FR"/>
        </w:rPr>
        <w:t>l’évaluation.</w:t>
      </w:r>
    </w:p>
    <w:p w14:paraId="021E00A2" w14:textId="01A1A23D" w:rsidR="006B2B80" w:rsidRPr="00671DFF" w:rsidRDefault="00EE2F01" w:rsidP="00172DBF">
      <w:pPr>
        <w:pStyle w:val="Bullet1"/>
        <w:rPr>
          <w:lang w:val="fr-FR"/>
        </w:rPr>
      </w:pPr>
      <w:r w:rsidRPr="00EE2F01">
        <w:rPr>
          <w:lang w:val="fr-FR"/>
        </w:rPr>
        <w:t xml:space="preserve">Les informations sur l’accès et le recours </w:t>
      </w:r>
      <w:r w:rsidR="00172DBF">
        <w:rPr>
          <w:lang w:val="fr-FR"/>
        </w:rPr>
        <w:t xml:space="preserve">des communautés et des ménages </w:t>
      </w:r>
      <w:r w:rsidRPr="00EE2F01">
        <w:rPr>
          <w:lang w:val="fr-FR"/>
        </w:rPr>
        <w:t xml:space="preserve">aux marchés, </w:t>
      </w:r>
      <w:r w:rsidR="00F12B3D">
        <w:rPr>
          <w:lang w:val="fr-FR"/>
        </w:rPr>
        <w:t xml:space="preserve">aux </w:t>
      </w:r>
      <w:r w:rsidRPr="00EE2F01">
        <w:rPr>
          <w:lang w:val="fr-FR"/>
        </w:rPr>
        <w:t xml:space="preserve">produits de base et </w:t>
      </w:r>
      <w:r w:rsidR="00F12B3D">
        <w:rPr>
          <w:lang w:val="fr-FR"/>
        </w:rPr>
        <w:t xml:space="preserve">aux </w:t>
      </w:r>
      <w:r w:rsidRPr="00EE2F01">
        <w:rPr>
          <w:lang w:val="fr-FR"/>
        </w:rPr>
        <w:t xml:space="preserve">services financiers doivent </w:t>
      </w:r>
      <w:r>
        <w:rPr>
          <w:lang w:val="fr-FR"/>
        </w:rPr>
        <w:t>être collecté</w:t>
      </w:r>
      <w:r w:rsidR="009B2B19">
        <w:rPr>
          <w:lang w:val="fr-FR"/>
        </w:rPr>
        <w:t>e</w:t>
      </w:r>
      <w:r>
        <w:rPr>
          <w:lang w:val="fr-FR"/>
        </w:rPr>
        <w:t>s</w:t>
      </w:r>
      <w:r w:rsidR="00172DBF">
        <w:rPr>
          <w:lang w:val="fr-FR"/>
        </w:rPr>
        <w:t xml:space="preserve"> dès le départ</w:t>
      </w:r>
      <w:r>
        <w:rPr>
          <w:lang w:val="fr-FR"/>
        </w:rPr>
        <w:t>.</w:t>
      </w:r>
      <w:r w:rsidRPr="00EE2F01">
        <w:rPr>
          <w:lang w:val="fr-FR"/>
        </w:rPr>
        <w:t xml:space="preserve"> </w:t>
      </w:r>
    </w:p>
    <w:p w14:paraId="75A38E53" w14:textId="154E41CC" w:rsidR="00526A30" w:rsidRPr="00EE2F01" w:rsidRDefault="00EE2F01" w:rsidP="00EE2F01">
      <w:pPr>
        <w:pStyle w:val="Bullet1"/>
        <w:rPr>
          <w:lang w:val="fr-FR"/>
        </w:rPr>
      </w:pPr>
      <w:r w:rsidRPr="00EE2F01">
        <w:rPr>
          <w:rFonts w:cs="Times"/>
          <w:lang w:val="fr-FR"/>
        </w:rPr>
        <w:t>Les besoins prioritaires de la population touchée par le choc doivent être définis et quantifiés</w:t>
      </w:r>
      <w:r w:rsidR="00526A30" w:rsidRPr="00EE2F01">
        <w:rPr>
          <w:rFonts w:cs="Times"/>
          <w:lang w:val="fr-FR"/>
        </w:rPr>
        <w:t xml:space="preserve"> </w:t>
      </w:r>
      <w:r w:rsidRPr="00EE2F01">
        <w:rPr>
          <w:rFonts w:cs="Times"/>
          <w:lang w:val="fr-FR"/>
        </w:rPr>
        <w:t xml:space="preserve">en termes monétaires, sur la base des prix </w:t>
      </w:r>
      <w:r>
        <w:rPr>
          <w:rFonts w:cs="Times"/>
          <w:lang w:val="fr-FR"/>
        </w:rPr>
        <w:t>locaux</w:t>
      </w:r>
      <w:r w:rsidRPr="00EE2F01">
        <w:rPr>
          <w:rFonts w:cs="Times"/>
          <w:lang w:val="fr-FR"/>
        </w:rPr>
        <w:t>.</w:t>
      </w:r>
    </w:p>
    <w:p w14:paraId="6C046A01" w14:textId="4F5FECF5" w:rsidR="00A22FB8" w:rsidRPr="00362581" w:rsidRDefault="00362581" w:rsidP="00172DBF">
      <w:pPr>
        <w:pStyle w:val="Bullet1"/>
        <w:rPr>
          <w:lang w:val="fr-FR"/>
        </w:rPr>
      </w:pPr>
      <w:r w:rsidRPr="00362581">
        <w:rPr>
          <w:lang w:val="fr-FR"/>
        </w:rPr>
        <w:t xml:space="preserve">Les informations relatives aux transferts monétaires collectées </w:t>
      </w:r>
      <w:r w:rsidR="00172DBF">
        <w:rPr>
          <w:lang w:val="fr-FR"/>
        </w:rPr>
        <w:t>auprès</w:t>
      </w:r>
      <w:r w:rsidRPr="00362581">
        <w:rPr>
          <w:lang w:val="fr-FR"/>
        </w:rPr>
        <w:t xml:space="preserve"> des communautés et des ménages doivent </w:t>
      </w:r>
      <w:r>
        <w:rPr>
          <w:lang w:val="fr-FR"/>
        </w:rPr>
        <w:t>être intégrées dans le rapport d’évaluation standard</w:t>
      </w:r>
      <w:r w:rsidR="009C1364" w:rsidRPr="00362581">
        <w:rPr>
          <w:lang w:val="fr-FR"/>
        </w:rPr>
        <w:t>.</w:t>
      </w:r>
    </w:p>
    <w:p w14:paraId="17555BE7" w14:textId="101370FF" w:rsidR="00A22FB8" w:rsidRPr="00362581" w:rsidRDefault="00362581" w:rsidP="00362581">
      <w:pPr>
        <w:pStyle w:val="Heading2"/>
        <w:rPr>
          <w:lang w:val="fr-FR"/>
        </w:rPr>
      </w:pPr>
      <w:r w:rsidRPr="00362581">
        <w:rPr>
          <w:lang w:val="fr-FR"/>
        </w:rPr>
        <w:t xml:space="preserve">ÉTAPES </w:t>
      </w:r>
      <w:r w:rsidR="00172DBF">
        <w:rPr>
          <w:lang w:val="fr-FR"/>
        </w:rPr>
        <w:t xml:space="preserve">SUBSIDIAIRES </w:t>
      </w:r>
      <w:r w:rsidRPr="00362581">
        <w:rPr>
          <w:lang w:val="fr-FR"/>
        </w:rPr>
        <w:t>ET OUTILS</w:t>
      </w:r>
    </w:p>
    <w:p w14:paraId="4B2E4DF1" w14:textId="1665242E" w:rsidR="003B4D61" w:rsidRPr="00362581" w:rsidRDefault="00362581" w:rsidP="002E0169">
      <w:pPr>
        <w:pStyle w:val="Heading3"/>
        <w:rPr>
          <w:lang w:val="fr-FR"/>
        </w:rPr>
      </w:pPr>
      <w:r w:rsidRPr="00362581">
        <w:rPr>
          <w:lang w:val="fr-FR"/>
        </w:rPr>
        <w:t>Obtenir des informations</w:t>
      </w:r>
      <w:r>
        <w:rPr>
          <w:lang w:val="fr-FR"/>
        </w:rPr>
        <w:t xml:space="preserve"> relatives </w:t>
      </w:r>
      <w:r w:rsidR="00C151D4">
        <w:rPr>
          <w:lang w:val="fr-FR"/>
        </w:rPr>
        <w:t>à l’argent</w:t>
      </w:r>
      <w:r>
        <w:rPr>
          <w:lang w:val="fr-FR"/>
        </w:rPr>
        <w:t xml:space="preserve"> auprès de</w:t>
      </w:r>
      <w:r w:rsidR="002E0169">
        <w:rPr>
          <w:lang w:val="fr-FR"/>
        </w:rPr>
        <w:t>s</w:t>
      </w:r>
      <w:r>
        <w:rPr>
          <w:lang w:val="fr-FR"/>
        </w:rPr>
        <w:t xml:space="preserve"> communauté</w:t>
      </w:r>
      <w:r w:rsidR="002E0169">
        <w:rPr>
          <w:lang w:val="fr-FR"/>
        </w:rPr>
        <w:t>s</w:t>
      </w:r>
    </w:p>
    <w:p w14:paraId="519B5F45" w14:textId="34AF6716" w:rsidR="00222CD2" w:rsidRPr="00725B0C" w:rsidRDefault="00D71337" w:rsidP="002E0169">
      <w:pPr>
        <w:rPr>
          <w:lang w:val="fr-FR"/>
        </w:rPr>
      </w:pPr>
      <w:r w:rsidRPr="00D71337">
        <w:rPr>
          <w:lang w:val="fr-FR"/>
        </w:rPr>
        <w:t xml:space="preserve">L’évaluation d’urgence doit vous permettre de comprendre l’impact du choc sur la population touchée, notamment sur sa capacité </w:t>
      </w:r>
      <w:r w:rsidR="003170DD">
        <w:rPr>
          <w:lang w:val="fr-FR"/>
        </w:rPr>
        <w:t>de</w:t>
      </w:r>
      <w:r w:rsidRPr="00D71337">
        <w:rPr>
          <w:lang w:val="fr-FR"/>
        </w:rPr>
        <w:t xml:space="preserve"> </w:t>
      </w:r>
      <w:r w:rsidR="001E35FE">
        <w:rPr>
          <w:lang w:val="fr-FR"/>
        </w:rPr>
        <w:t>s</w:t>
      </w:r>
      <w:r w:rsidRPr="00D71337">
        <w:rPr>
          <w:lang w:val="fr-FR"/>
        </w:rPr>
        <w:t xml:space="preserve">atisfaire ses besoins fondamentaux et </w:t>
      </w:r>
      <w:r w:rsidR="003B0C17">
        <w:rPr>
          <w:lang w:val="fr-FR"/>
        </w:rPr>
        <w:t>d’</w:t>
      </w:r>
      <w:r w:rsidRPr="00D71337">
        <w:rPr>
          <w:lang w:val="fr-FR"/>
        </w:rPr>
        <w:t xml:space="preserve">accéder aux </w:t>
      </w:r>
      <w:r w:rsidR="004C5BC6">
        <w:rPr>
          <w:lang w:val="fr-FR"/>
        </w:rPr>
        <w:t>marché</w:t>
      </w:r>
      <w:r w:rsidRPr="00D71337">
        <w:rPr>
          <w:lang w:val="fr-FR"/>
        </w:rPr>
        <w:t xml:space="preserve">s et aux services </w:t>
      </w:r>
      <w:r>
        <w:rPr>
          <w:lang w:val="fr-FR"/>
        </w:rPr>
        <w:t>essentiels (y compris les services de téléphonie mobile et les services financiers</w:t>
      </w:r>
      <w:r w:rsidR="0043228C" w:rsidRPr="00D71337">
        <w:rPr>
          <w:lang w:val="fr-FR"/>
        </w:rPr>
        <w:t>)</w:t>
      </w:r>
      <w:r w:rsidR="003C42DE" w:rsidRPr="00D71337">
        <w:rPr>
          <w:lang w:val="fr-FR"/>
        </w:rPr>
        <w:t xml:space="preserve">. </w:t>
      </w:r>
      <w:r w:rsidR="004C5BC6" w:rsidRPr="004C5BC6">
        <w:rPr>
          <w:lang w:val="fr-FR"/>
        </w:rPr>
        <w:t xml:space="preserve">C’est sur cette base que vous pourrez prendre </w:t>
      </w:r>
      <w:r w:rsidR="002E0169" w:rsidRPr="004C5BC6">
        <w:rPr>
          <w:lang w:val="fr-FR"/>
        </w:rPr>
        <w:t>à court</w:t>
      </w:r>
      <w:r w:rsidR="002E0169">
        <w:rPr>
          <w:lang w:val="fr-FR"/>
        </w:rPr>
        <w:t xml:space="preserve"> terme et </w:t>
      </w:r>
      <w:r w:rsidR="002E0169">
        <w:rPr>
          <w:lang w:val="fr-FR"/>
        </w:rPr>
        <w:t>durant la phase d</w:t>
      </w:r>
      <w:r w:rsidR="002E0169">
        <w:rPr>
          <w:lang w:val="fr-FR"/>
        </w:rPr>
        <w:t>’analyse de l’intervention</w:t>
      </w:r>
      <w:r w:rsidR="002E0169" w:rsidRPr="004C5BC6">
        <w:rPr>
          <w:lang w:val="fr-FR"/>
        </w:rPr>
        <w:t xml:space="preserve"> </w:t>
      </w:r>
      <w:r w:rsidR="004C5BC6" w:rsidRPr="004C5BC6">
        <w:rPr>
          <w:lang w:val="fr-FR"/>
        </w:rPr>
        <w:t>des décisions sur la faisabilité et la pertinence des transferts monétaires</w:t>
      </w:r>
      <w:r w:rsidR="004C5BC6">
        <w:rPr>
          <w:lang w:val="fr-FR"/>
        </w:rPr>
        <w:t xml:space="preserve">. </w:t>
      </w:r>
      <w:r w:rsidR="004C5BC6" w:rsidRPr="009D446E">
        <w:rPr>
          <w:lang w:val="fr-FR"/>
        </w:rPr>
        <w:t>La faisabilité peut varier selon le groupe de population</w:t>
      </w:r>
      <w:r w:rsidR="009D446E" w:rsidRPr="009D446E">
        <w:rPr>
          <w:lang w:val="fr-FR"/>
        </w:rPr>
        <w:t xml:space="preserve">, </w:t>
      </w:r>
      <w:r w:rsidR="002E4F34">
        <w:rPr>
          <w:lang w:val="fr-FR"/>
        </w:rPr>
        <w:t xml:space="preserve">ce </w:t>
      </w:r>
      <w:r w:rsidR="009D446E" w:rsidRPr="009D446E">
        <w:rPr>
          <w:lang w:val="fr-FR"/>
        </w:rPr>
        <w:t>dont vous devrez peut-être tenir compte</w:t>
      </w:r>
      <w:r w:rsidR="009D446E">
        <w:rPr>
          <w:lang w:val="fr-FR"/>
        </w:rPr>
        <w:t xml:space="preserve"> </w:t>
      </w:r>
      <w:r w:rsidR="00C151D4">
        <w:rPr>
          <w:lang w:val="fr-FR"/>
        </w:rPr>
        <w:t>lorsque vous choisir</w:t>
      </w:r>
      <w:r w:rsidR="00817563">
        <w:rPr>
          <w:lang w:val="fr-FR"/>
        </w:rPr>
        <w:t>ez</w:t>
      </w:r>
      <w:r w:rsidR="009D446E">
        <w:rPr>
          <w:lang w:val="fr-FR"/>
        </w:rPr>
        <w:t xml:space="preserve"> un</w:t>
      </w:r>
      <w:r w:rsidR="009D446E" w:rsidRPr="009D446E">
        <w:rPr>
          <w:lang w:val="fr-FR"/>
        </w:rPr>
        <w:t xml:space="preserve"> type d’</w:t>
      </w:r>
      <w:r w:rsidR="009D446E">
        <w:rPr>
          <w:lang w:val="fr-FR"/>
        </w:rPr>
        <w:t>intervention et</w:t>
      </w:r>
      <w:r w:rsidR="009D446E" w:rsidRPr="009D446E">
        <w:rPr>
          <w:lang w:val="fr-FR"/>
        </w:rPr>
        <w:t xml:space="preserve"> </w:t>
      </w:r>
      <w:r w:rsidR="00C151D4">
        <w:rPr>
          <w:lang w:val="fr-FR"/>
        </w:rPr>
        <w:t>établir</w:t>
      </w:r>
      <w:r w:rsidR="00817563">
        <w:rPr>
          <w:lang w:val="fr-FR"/>
        </w:rPr>
        <w:t>ez</w:t>
      </w:r>
      <w:r w:rsidR="009D446E">
        <w:rPr>
          <w:lang w:val="fr-FR"/>
        </w:rPr>
        <w:t xml:space="preserve"> une stratégie</w:t>
      </w:r>
      <w:r w:rsidR="00725B0C">
        <w:rPr>
          <w:lang w:val="fr-FR"/>
        </w:rPr>
        <w:t xml:space="preserve"> de ciblage </w:t>
      </w:r>
      <w:r w:rsidR="000F4269" w:rsidRPr="00725B0C">
        <w:rPr>
          <w:lang w:val="fr-FR"/>
        </w:rPr>
        <w:t>(</w:t>
      </w:r>
      <w:r w:rsidR="00725B0C">
        <w:rPr>
          <w:lang w:val="fr-FR"/>
        </w:rPr>
        <w:t>m</w:t>
      </w:r>
      <w:r w:rsidR="00AF0822" w:rsidRPr="00725B0C">
        <w:rPr>
          <w:lang w:val="fr-FR"/>
        </w:rPr>
        <w:t xml:space="preserve">odule 3). </w:t>
      </w:r>
    </w:p>
    <w:p w14:paraId="6BD5153D" w14:textId="213F9CCC" w:rsidR="00EC7F80" w:rsidRPr="008A20A8" w:rsidRDefault="002E0169" w:rsidP="00FC2441">
      <w:pPr>
        <w:rPr>
          <w:lang w:val="fr-FR"/>
        </w:rPr>
      </w:pPr>
      <w:r>
        <w:rPr>
          <w:lang w:val="fr-FR"/>
        </w:rPr>
        <w:t>Les outils de cette étape subsidiaire</w:t>
      </w:r>
      <w:r w:rsidR="00817563" w:rsidRPr="00817563">
        <w:rPr>
          <w:lang w:val="fr-FR"/>
        </w:rPr>
        <w:t xml:space="preserve"> </w:t>
      </w:r>
      <w:r w:rsidR="00926FA0">
        <w:rPr>
          <w:lang w:val="fr-FR"/>
        </w:rPr>
        <w:t>proposent</w:t>
      </w:r>
      <w:r w:rsidR="00817563" w:rsidRPr="00817563">
        <w:rPr>
          <w:lang w:val="fr-FR"/>
        </w:rPr>
        <w:t xml:space="preserve"> </w:t>
      </w:r>
      <w:r w:rsidR="00732EED">
        <w:rPr>
          <w:lang w:val="fr-FR"/>
        </w:rPr>
        <w:t>une liste de</w:t>
      </w:r>
      <w:r w:rsidR="00817563" w:rsidRPr="00817563">
        <w:rPr>
          <w:lang w:val="fr-FR"/>
        </w:rPr>
        <w:t xml:space="preserve"> questions relati</w:t>
      </w:r>
      <w:r w:rsidR="00732EED">
        <w:rPr>
          <w:lang w:val="fr-FR"/>
        </w:rPr>
        <w:t xml:space="preserve">ves aux transferts monétaires qui peuvent être poser durant les </w:t>
      </w:r>
      <w:r w:rsidR="00817563">
        <w:rPr>
          <w:lang w:val="fr-FR"/>
        </w:rPr>
        <w:t xml:space="preserve">discussions de groupe et des entretiens avec les interlocuteurs clés aux niveaux des communautés et des ménages. </w:t>
      </w:r>
      <w:r w:rsidR="00817563" w:rsidRPr="00817563">
        <w:rPr>
          <w:lang w:val="fr-FR"/>
        </w:rPr>
        <w:t>L’outil</w:t>
      </w:r>
      <w:r>
        <w:rPr>
          <w:lang w:val="fr-FR"/>
        </w:rPr>
        <w:t xml:space="preserve"> </w:t>
      </w:r>
      <w:r w:rsidR="00D44572">
        <w:rPr>
          <w:lang w:val="fr-FR"/>
        </w:rPr>
        <w:t xml:space="preserve">destiné à </w:t>
      </w:r>
      <w:r w:rsidR="00BA6408">
        <w:rPr>
          <w:lang w:val="fr-FR"/>
        </w:rPr>
        <w:t>une utilisation</w:t>
      </w:r>
      <w:r w:rsidR="00D44572">
        <w:rPr>
          <w:lang w:val="fr-FR"/>
        </w:rPr>
        <w:t xml:space="preserve"> au niveau communautaire</w:t>
      </w:r>
      <w:r w:rsidR="00817563" w:rsidRPr="00817563">
        <w:rPr>
          <w:lang w:val="fr-FR"/>
        </w:rPr>
        <w:t xml:space="preserve"> est axé sur</w:t>
      </w:r>
      <w:r w:rsidR="00BA6408">
        <w:rPr>
          <w:lang w:val="fr-FR"/>
        </w:rPr>
        <w:t xml:space="preserve"> les éléments suivants : accès </w:t>
      </w:r>
      <w:r w:rsidR="00817563" w:rsidRPr="00817563">
        <w:rPr>
          <w:lang w:val="fr-FR"/>
        </w:rPr>
        <w:t>des communa</w:t>
      </w:r>
      <w:r w:rsidR="00BA6408">
        <w:rPr>
          <w:lang w:val="fr-FR"/>
        </w:rPr>
        <w:t xml:space="preserve">utés </w:t>
      </w:r>
      <w:r w:rsidR="007000EC">
        <w:rPr>
          <w:lang w:val="fr-FR"/>
        </w:rPr>
        <w:t>à l’argent,</w:t>
      </w:r>
      <w:r w:rsidR="00BA6408">
        <w:rPr>
          <w:lang w:val="fr-FR"/>
        </w:rPr>
        <w:t xml:space="preserve"> </w:t>
      </w:r>
      <w:r>
        <w:rPr>
          <w:lang w:val="fr-FR"/>
        </w:rPr>
        <w:t xml:space="preserve">utilisation qu’elles en font, </w:t>
      </w:r>
      <w:r w:rsidR="00BA6408">
        <w:rPr>
          <w:lang w:val="fr-FR"/>
        </w:rPr>
        <w:t>préférences</w:t>
      </w:r>
      <w:r w:rsidR="007000EC">
        <w:rPr>
          <w:lang w:val="fr-FR"/>
        </w:rPr>
        <w:t xml:space="preserve"> en matière d’aide </w:t>
      </w:r>
      <w:r w:rsidR="007000EC" w:rsidRPr="007000EC">
        <w:rPr>
          <w:lang w:val="fr-FR"/>
        </w:rPr>
        <w:t>monétaire</w:t>
      </w:r>
      <w:r w:rsidR="007000EC">
        <w:rPr>
          <w:lang w:val="fr-FR"/>
        </w:rPr>
        <w:t xml:space="preserve"> </w:t>
      </w:r>
      <w:r w:rsidR="00BA6408">
        <w:rPr>
          <w:lang w:val="fr-FR"/>
        </w:rPr>
        <w:t xml:space="preserve">et </w:t>
      </w:r>
      <w:r w:rsidR="00817563">
        <w:rPr>
          <w:lang w:val="fr-FR"/>
        </w:rPr>
        <w:t>problèmes</w:t>
      </w:r>
      <w:r w:rsidR="002E4F34">
        <w:rPr>
          <w:lang w:val="fr-FR"/>
        </w:rPr>
        <w:t xml:space="preserve"> potentiels liés à </w:t>
      </w:r>
      <w:r w:rsidR="007000EC">
        <w:rPr>
          <w:lang w:val="fr-FR"/>
        </w:rPr>
        <w:t>ce type d’</w:t>
      </w:r>
      <w:r w:rsidR="002E4F34">
        <w:rPr>
          <w:lang w:val="fr-FR"/>
        </w:rPr>
        <w:t>aide</w:t>
      </w:r>
      <w:r w:rsidR="00817563">
        <w:rPr>
          <w:lang w:val="fr-FR"/>
        </w:rPr>
        <w:t xml:space="preserve">. </w:t>
      </w:r>
      <w:r w:rsidR="00D44572" w:rsidRPr="00D44572">
        <w:rPr>
          <w:lang w:val="fr-FR"/>
        </w:rPr>
        <w:t xml:space="preserve">L’outil destiné à </w:t>
      </w:r>
      <w:r w:rsidR="00BA6408">
        <w:rPr>
          <w:lang w:val="fr-FR"/>
        </w:rPr>
        <w:t>une utilisation</w:t>
      </w:r>
      <w:r w:rsidR="00D44572" w:rsidRPr="00D44572">
        <w:rPr>
          <w:lang w:val="fr-FR"/>
        </w:rPr>
        <w:t xml:space="preserve"> au niveau des ménages est axé sur </w:t>
      </w:r>
      <w:r w:rsidR="00BA6408">
        <w:rPr>
          <w:lang w:val="fr-FR"/>
        </w:rPr>
        <w:t xml:space="preserve">les éléments suivants : </w:t>
      </w:r>
      <w:r w:rsidR="00D44572" w:rsidRPr="00D44572">
        <w:rPr>
          <w:lang w:val="fr-FR"/>
        </w:rPr>
        <w:t xml:space="preserve">accès </w:t>
      </w:r>
      <w:r w:rsidR="00DD6488">
        <w:rPr>
          <w:lang w:val="fr-FR"/>
        </w:rPr>
        <w:t>à l’argent, contrôle de l’argent</w:t>
      </w:r>
      <w:r w:rsidR="00BA6408">
        <w:rPr>
          <w:lang w:val="fr-FR"/>
        </w:rPr>
        <w:t xml:space="preserve">, </w:t>
      </w:r>
      <w:r w:rsidR="00D44572" w:rsidRPr="00D44572">
        <w:rPr>
          <w:lang w:val="fr-FR"/>
        </w:rPr>
        <w:t>utilisation des services financiers</w:t>
      </w:r>
      <w:r w:rsidR="00BA6408">
        <w:rPr>
          <w:lang w:val="fr-FR"/>
        </w:rPr>
        <w:t>,</w:t>
      </w:r>
      <w:r w:rsidR="00D44572" w:rsidRPr="00D44572">
        <w:rPr>
          <w:lang w:val="fr-FR"/>
        </w:rPr>
        <w:t xml:space="preserve"> </w:t>
      </w:r>
      <w:r w:rsidR="00FC2441">
        <w:rPr>
          <w:lang w:val="fr-FR"/>
        </w:rPr>
        <w:t>nombre</w:t>
      </w:r>
      <w:r>
        <w:rPr>
          <w:lang w:val="fr-FR"/>
        </w:rPr>
        <w:t xml:space="preserve"> de ménages disposant d’un</w:t>
      </w:r>
      <w:r w:rsidR="00BA6408">
        <w:rPr>
          <w:lang w:val="fr-FR"/>
        </w:rPr>
        <w:t xml:space="preserve"> téléphone </w:t>
      </w:r>
      <w:r w:rsidR="00A61559">
        <w:rPr>
          <w:lang w:val="fr-FR"/>
        </w:rPr>
        <w:t>portable et capacité d</w:t>
      </w:r>
      <w:r w:rsidR="008A20A8">
        <w:rPr>
          <w:lang w:val="fr-FR"/>
        </w:rPr>
        <w:t>’utiliser</w:t>
      </w:r>
      <w:r w:rsidR="00FC2441">
        <w:rPr>
          <w:lang w:val="fr-FR"/>
        </w:rPr>
        <w:t xml:space="preserve"> cette technologie</w:t>
      </w:r>
      <w:r w:rsidR="00BA6408">
        <w:rPr>
          <w:lang w:val="fr-FR"/>
        </w:rPr>
        <w:t>,</w:t>
      </w:r>
      <w:r w:rsidR="008A20A8">
        <w:rPr>
          <w:lang w:val="fr-FR"/>
        </w:rPr>
        <w:t xml:space="preserve"> </w:t>
      </w:r>
      <w:r w:rsidR="00FC2441">
        <w:rPr>
          <w:lang w:val="fr-FR"/>
        </w:rPr>
        <w:t>modalités d</w:t>
      </w:r>
      <w:r w:rsidR="00A61559">
        <w:rPr>
          <w:lang w:val="fr-FR"/>
        </w:rPr>
        <w:t>’aide monétaire</w:t>
      </w:r>
      <w:r w:rsidR="00FC2441">
        <w:rPr>
          <w:lang w:val="fr-FR"/>
        </w:rPr>
        <w:t xml:space="preserve"> déjà utilisées</w:t>
      </w:r>
      <w:r w:rsidR="00BA6408">
        <w:rPr>
          <w:lang w:val="fr-FR"/>
        </w:rPr>
        <w:t xml:space="preserve"> et </w:t>
      </w:r>
      <w:r w:rsidR="00FC2441">
        <w:rPr>
          <w:lang w:val="fr-FR"/>
        </w:rPr>
        <w:t>mécanisme</w:t>
      </w:r>
      <w:bookmarkStart w:id="0" w:name="_GoBack"/>
      <w:bookmarkEnd w:id="0"/>
      <w:r w:rsidR="008A20A8">
        <w:rPr>
          <w:lang w:val="fr-FR"/>
        </w:rPr>
        <w:t xml:space="preserve"> préféré.</w:t>
      </w:r>
      <w:r w:rsidR="00BA6408">
        <w:rPr>
          <w:lang w:val="fr-FR"/>
        </w:rPr>
        <w:t xml:space="preserve"> </w:t>
      </w:r>
      <w:r w:rsidR="00926FA0">
        <w:rPr>
          <w:lang w:val="fr-FR"/>
        </w:rPr>
        <w:t>P</w:t>
      </w:r>
      <w:r w:rsidR="00926FA0" w:rsidRPr="008A20A8">
        <w:rPr>
          <w:lang w:val="fr-FR"/>
        </w:rPr>
        <w:t>armi les questions proposées</w:t>
      </w:r>
      <w:r w:rsidR="00926FA0">
        <w:rPr>
          <w:lang w:val="fr-FR"/>
        </w:rPr>
        <w:t>, v</w:t>
      </w:r>
      <w:r w:rsidR="008A20A8" w:rsidRPr="008A20A8">
        <w:rPr>
          <w:lang w:val="fr-FR"/>
        </w:rPr>
        <w:t>ous pouvez choisir</w:t>
      </w:r>
      <w:r w:rsidR="00926FA0">
        <w:rPr>
          <w:lang w:val="fr-FR"/>
        </w:rPr>
        <w:t xml:space="preserve"> celles qui sont </w:t>
      </w:r>
      <w:r w:rsidR="008A20A8" w:rsidRPr="008A20A8">
        <w:rPr>
          <w:lang w:val="fr-FR"/>
        </w:rPr>
        <w:t>les plus pertinentes dans votre context</w:t>
      </w:r>
      <w:r w:rsidR="008A20A8">
        <w:rPr>
          <w:lang w:val="fr-FR"/>
        </w:rPr>
        <w:t>e, les adapter et les intégrer dans vos questionnaires d’évaluation.</w:t>
      </w:r>
      <w:r w:rsidR="00222CD2" w:rsidRPr="008A20A8">
        <w:rPr>
          <w:lang w:val="fr-FR"/>
        </w:rPr>
        <w:t xml:space="preserve"> </w:t>
      </w:r>
    </w:p>
    <w:p w14:paraId="611555AE" w14:textId="486431C2" w:rsidR="003B4D61" w:rsidRPr="002772EC" w:rsidRDefault="002772EC" w:rsidP="002772EC">
      <w:pPr>
        <w:pStyle w:val="Heading3"/>
        <w:rPr>
          <w:lang w:val="fr-FR"/>
        </w:rPr>
      </w:pPr>
      <w:r w:rsidRPr="002772EC">
        <w:rPr>
          <w:lang w:val="fr-FR"/>
        </w:rPr>
        <w:t>Savoir à quels marchés et à quels services financier</w:t>
      </w:r>
      <w:r>
        <w:rPr>
          <w:lang w:val="fr-FR"/>
        </w:rPr>
        <w:t xml:space="preserve">s la population touchée </w:t>
      </w:r>
      <w:r w:rsidR="00E67A29">
        <w:rPr>
          <w:lang w:val="fr-FR"/>
        </w:rPr>
        <w:t xml:space="preserve">a </w:t>
      </w:r>
      <w:r>
        <w:rPr>
          <w:lang w:val="fr-FR"/>
        </w:rPr>
        <w:t xml:space="preserve">accès </w:t>
      </w:r>
    </w:p>
    <w:p w14:paraId="0BD92556" w14:textId="5863DFA1" w:rsidR="003B4D61" w:rsidRPr="0087528C" w:rsidRDefault="00057C65" w:rsidP="00A87587">
      <w:pPr>
        <w:rPr>
          <w:lang w:val="fr-FR"/>
        </w:rPr>
      </w:pPr>
      <w:r w:rsidRPr="00057C65">
        <w:rPr>
          <w:lang w:val="fr-FR"/>
        </w:rPr>
        <w:t>Cette étape</w:t>
      </w:r>
      <w:r w:rsidR="00E67A29">
        <w:rPr>
          <w:lang w:val="fr-FR"/>
        </w:rPr>
        <w:t xml:space="preserve"> subsidiaire</w:t>
      </w:r>
      <w:r w:rsidRPr="00057C65">
        <w:rPr>
          <w:lang w:val="fr-FR"/>
        </w:rPr>
        <w:t xml:space="preserve"> </w:t>
      </w:r>
      <w:r w:rsidR="00E67A29">
        <w:rPr>
          <w:lang w:val="fr-FR"/>
        </w:rPr>
        <w:t>sert de base à</w:t>
      </w:r>
      <w:r w:rsidRPr="00057C65">
        <w:rPr>
          <w:lang w:val="fr-FR"/>
        </w:rPr>
        <w:t xml:space="preserve"> l’évaluation </w:t>
      </w:r>
      <w:r>
        <w:rPr>
          <w:lang w:val="fr-FR"/>
        </w:rPr>
        <w:t>des</w:t>
      </w:r>
      <w:r w:rsidRPr="00057C65">
        <w:rPr>
          <w:lang w:val="fr-FR"/>
        </w:rPr>
        <w:t xml:space="preserve"> marché</w:t>
      </w:r>
      <w:r>
        <w:rPr>
          <w:lang w:val="fr-FR"/>
        </w:rPr>
        <w:t>s</w:t>
      </w:r>
      <w:r w:rsidRPr="00057C65">
        <w:rPr>
          <w:lang w:val="fr-FR"/>
        </w:rPr>
        <w:t xml:space="preserve"> (étape 3) et </w:t>
      </w:r>
      <w:r w:rsidR="00A87587">
        <w:rPr>
          <w:lang w:val="fr-FR"/>
        </w:rPr>
        <w:t xml:space="preserve">à </w:t>
      </w:r>
      <w:r w:rsidRPr="00057C65">
        <w:rPr>
          <w:lang w:val="fr-FR"/>
        </w:rPr>
        <w:t>l’évaluation des capacités des services financiers (étape 4)</w:t>
      </w:r>
      <w:r w:rsidR="00D1005D" w:rsidRPr="00057C65">
        <w:rPr>
          <w:lang w:val="fr-FR"/>
        </w:rPr>
        <w:t>.</w:t>
      </w:r>
      <w:r w:rsidRPr="00057C65">
        <w:rPr>
          <w:lang w:val="fr-FR"/>
        </w:rPr>
        <w:t xml:space="preserve"> </w:t>
      </w:r>
      <w:r w:rsidRPr="002772EC">
        <w:rPr>
          <w:lang w:val="fr-FR"/>
        </w:rPr>
        <w:t xml:space="preserve">Elle permet d’une part de comprendre quels produits de base </w:t>
      </w:r>
      <w:r w:rsidR="002772EC" w:rsidRPr="002772EC">
        <w:rPr>
          <w:lang w:val="fr-FR"/>
        </w:rPr>
        <w:t>la population touché</w:t>
      </w:r>
      <w:r w:rsidR="002772EC">
        <w:rPr>
          <w:lang w:val="fr-FR"/>
        </w:rPr>
        <w:t>e</w:t>
      </w:r>
      <w:r w:rsidR="002772EC" w:rsidRPr="002772EC">
        <w:rPr>
          <w:lang w:val="fr-FR"/>
        </w:rPr>
        <w:t xml:space="preserve"> achète et quels sont les principaux </w:t>
      </w:r>
      <w:r w:rsidR="002772EC">
        <w:rPr>
          <w:lang w:val="fr-FR"/>
        </w:rPr>
        <w:t>marché</w:t>
      </w:r>
      <w:r w:rsidR="002772EC" w:rsidRPr="002772EC">
        <w:rPr>
          <w:lang w:val="fr-FR"/>
        </w:rPr>
        <w:t xml:space="preserve">s auxquels elle a </w:t>
      </w:r>
      <w:r w:rsidR="002772EC">
        <w:rPr>
          <w:lang w:val="fr-FR"/>
        </w:rPr>
        <w:t>a</w:t>
      </w:r>
      <w:r w:rsidR="002772EC" w:rsidRPr="002772EC">
        <w:rPr>
          <w:lang w:val="fr-FR"/>
        </w:rPr>
        <w:t>ccès</w:t>
      </w:r>
      <w:r w:rsidR="009E6F03">
        <w:rPr>
          <w:lang w:val="fr-FR"/>
        </w:rPr>
        <w:t>,</w:t>
      </w:r>
      <w:r w:rsidR="00CB478C">
        <w:rPr>
          <w:lang w:val="fr-FR"/>
        </w:rPr>
        <w:t xml:space="preserve"> et fournit d’autre part des indications sur </w:t>
      </w:r>
      <w:r w:rsidR="009E6F03">
        <w:rPr>
          <w:lang w:val="fr-FR"/>
        </w:rPr>
        <w:t>l’accès et le recours aux services financiers et à</w:t>
      </w:r>
      <w:r w:rsidR="00CB478C">
        <w:rPr>
          <w:lang w:val="fr-FR"/>
        </w:rPr>
        <w:t xml:space="preserve"> la</w:t>
      </w:r>
      <w:r w:rsidR="002772EC" w:rsidRPr="002772EC">
        <w:rPr>
          <w:lang w:val="fr-FR"/>
        </w:rPr>
        <w:t xml:space="preserve"> </w:t>
      </w:r>
      <w:r w:rsidR="00CB478C">
        <w:rPr>
          <w:lang w:val="fr-FR"/>
        </w:rPr>
        <w:t xml:space="preserve">téléphonie mobile. </w:t>
      </w:r>
      <w:r w:rsidR="00CB478C" w:rsidRPr="00CB478C">
        <w:rPr>
          <w:lang w:val="fr-FR"/>
        </w:rPr>
        <w:t xml:space="preserve">Ces informations indiquent quels marchés doivent être évalués (étape 3) et quels prestataires de services doivent faire l’objet d’une analyse plus approfondie (étape 4 et </w:t>
      </w:r>
      <w:r w:rsidR="00A87587">
        <w:rPr>
          <w:lang w:val="fr-FR"/>
        </w:rPr>
        <w:t>phase d</w:t>
      </w:r>
      <w:r w:rsidR="00CB478C" w:rsidRPr="00CB478C">
        <w:rPr>
          <w:lang w:val="fr-FR"/>
        </w:rPr>
        <w:t xml:space="preserve">’analyse de l’intervention). Les outils </w:t>
      </w:r>
      <w:r w:rsidR="00A87587">
        <w:rPr>
          <w:lang w:val="fr-FR"/>
        </w:rPr>
        <w:t>de cette étape subsidiaire</w:t>
      </w:r>
      <w:r w:rsidR="00CB478C" w:rsidRPr="00CB478C">
        <w:rPr>
          <w:lang w:val="fr-FR"/>
        </w:rPr>
        <w:t xml:space="preserve"> consistent en des questionnaires pouvant être utilisés </w:t>
      </w:r>
      <w:r w:rsidR="0087528C">
        <w:rPr>
          <w:lang w:val="fr-FR"/>
        </w:rPr>
        <w:t xml:space="preserve">pour collecter des informations spécifiques sur ces aspects </w:t>
      </w:r>
      <w:r w:rsidR="00A87587">
        <w:rPr>
          <w:lang w:val="fr-FR"/>
        </w:rPr>
        <w:t>durant les</w:t>
      </w:r>
      <w:r w:rsidR="00CB478C">
        <w:rPr>
          <w:lang w:val="fr-FR"/>
        </w:rPr>
        <w:t xml:space="preserve"> discussions de groupe avec les membres ou les représentants des communautés.</w:t>
      </w:r>
    </w:p>
    <w:p w14:paraId="247A01F3" w14:textId="3665BF4D" w:rsidR="003B4D61" w:rsidRPr="00057C65" w:rsidRDefault="00B23CB0" w:rsidP="00057C65">
      <w:pPr>
        <w:pStyle w:val="Heading3"/>
        <w:rPr>
          <w:lang w:val="fr-FR"/>
        </w:rPr>
      </w:pPr>
      <w:r w:rsidRPr="00057C65">
        <w:rPr>
          <w:lang w:val="fr-FR"/>
        </w:rPr>
        <w:t>Identif</w:t>
      </w:r>
      <w:r w:rsidR="00057C65" w:rsidRPr="00057C65">
        <w:rPr>
          <w:lang w:val="fr-FR"/>
        </w:rPr>
        <w:t>ier et quantifier les besoins prioritaires</w:t>
      </w:r>
    </w:p>
    <w:p w14:paraId="3FFEA3AF" w14:textId="19A6D8FC" w:rsidR="000F4269" w:rsidRPr="00FA1C3A" w:rsidRDefault="0087528C" w:rsidP="00A87587">
      <w:pPr>
        <w:rPr>
          <w:lang w:val="fr-FR"/>
        </w:rPr>
      </w:pPr>
      <w:r w:rsidRPr="0087528C">
        <w:rPr>
          <w:lang w:val="fr-FR"/>
        </w:rPr>
        <w:t xml:space="preserve">L’un des objectifs de l’évaluation est d’identifier les besoins prioritaires de la population </w:t>
      </w:r>
      <w:r>
        <w:rPr>
          <w:lang w:val="fr-FR"/>
        </w:rPr>
        <w:t xml:space="preserve">touchée par le choc. </w:t>
      </w:r>
      <w:r w:rsidRPr="002D1E76">
        <w:rPr>
          <w:lang w:val="fr-FR"/>
        </w:rPr>
        <w:t xml:space="preserve">Ces besoins peuvent </w:t>
      </w:r>
      <w:r w:rsidR="00671DFF">
        <w:rPr>
          <w:lang w:val="fr-FR"/>
        </w:rPr>
        <w:t xml:space="preserve">être </w:t>
      </w:r>
      <w:r w:rsidR="00A87587">
        <w:rPr>
          <w:lang w:val="fr-FR"/>
        </w:rPr>
        <w:t xml:space="preserve">regroupés dans des paniers de provisions – </w:t>
      </w:r>
      <w:r w:rsidR="00C96A3D">
        <w:rPr>
          <w:lang w:val="fr-FR"/>
        </w:rPr>
        <w:t>a</w:t>
      </w:r>
      <w:r w:rsidR="002D1E76" w:rsidRPr="002D1E76">
        <w:rPr>
          <w:lang w:val="fr-FR"/>
        </w:rPr>
        <w:t xml:space="preserve">rticles alimentaires et/ou non alimentaires, produits de base et/ou </w:t>
      </w:r>
      <w:r w:rsidR="002D1E76">
        <w:rPr>
          <w:lang w:val="fr-FR"/>
        </w:rPr>
        <w:t>moyens de subsistance, selon l’objectif de l’intervention</w:t>
      </w:r>
      <w:r w:rsidR="0028176F">
        <w:rPr>
          <w:lang w:val="fr-FR"/>
        </w:rPr>
        <w:t>.</w:t>
      </w:r>
      <w:r w:rsidR="000F4269" w:rsidRPr="002D1E76">
        <w:rPr>
          <w:lang w:val="fr-FR"/>
        </w:rPr>
        <w:t xml:space="preserve"> </w:t>
      </w:r>
      <w:r w:rsidR="00FA1C3A">
        <w:rPr>
          <w:lang w:val="fr-FR"/>
        </w:rPr>
        <w:t xml:space="preserve">Des </w:t>
      </w:r>
      <w:r w:rsidR="009E6F03">
        <w:rPr>
          <w:lang w:val="fr-FR"/>
        </w:rPr>
        <w:t>informations</w:t>
      </w:r>
      <w:r w:rsidR="00FA1C3A">
        <w:rPr>
          <w:lang w:val="fr-FR"/>
        </w:rPr>
        <w:t xml:space="preserve"> sur les articles à inclure dans ces paniers peuvent être tirées des données secondaires (</w:t>
      </w:r>
      <w:r w:rsidR="00FA1C3A" w:rsidRPr="00FA1C3A">
        <w:rPr>
          <w:lang w:val="fr-FR"/>
        </w:rPr>
        <w:t>notammen</w:t>
      </w:r>
      <w:r w:rsidR="00FA1C3A">
        <w:rPr>
          <w:lang w:val="fr-FR"/>
        </w:rPr>
        <w:t>t des enquêtes nationales sur les dépenses)</w:t>
      </w:r>
      <w:r w:rsidR="00C96A3D" w:rsidRPr="00FA1C3A">
        <w:rPr>
          <w:lang w:val="fr-FR"/>
        </w:rPr>
        <w:t xml:space="preserve"> </w:t>
      </w:r>
      <w:r w:rsidR="00A87587">
        <w:rPr>
          <w:lang w:val="fr-FR"/>
        </w:rPr>
        <w:t>ou obtenues sur le terrain (par</w:t>
      </w:r>
      <w:r w:rsidR="00FA1C3A">
        <w:rPr>
          <w:lang w:val="fr-FR"/>
        </w:rPr>
        <w:t xml:space="preserve"> ex. par le biais de discussions de groupe avec des représentants des différents groupes socioéconomiques</w:t>
      </w:r>
      <w:r w:rsidR="000F4269" w:rsidRPr="00FA1C3A">
        <w:rPr>
          <w:lang w:val="fr-FR"/>
        </w:rPr>
        <w:t xml:space="preserve">). </w:t>
      </w:r>
    </w:p>
    <w:p w14:paraId="26DA4C37" w14:textId="76F74761" w:rsidR="000F4269" w:rsidRPr="00414CAC" w:rsidRDefault="00FA1C3A" w:rsidP="00E95053">
      <w:pPr>
        <w:rPr>
          <w:lang w:val="fr-FR"/>
        </w:rPr>
      </w:pPr>
      <w:r w:rsidRPr="00FA1C3A">
        <w:rPr>
          <w:lang w:val="fr-FR"/>
        </w:rPr>
        <w:t>Une fois définis, les besoins prioritaires doivent être quantifiés en termes monétaires</w:t>
      </w:r>
      <w:r w:rsidR="00F17308">
        <w:rPr>
          <w:lang w:val="fr-FR"/>
        </w:rPr>
        <w:t>,</w:t>
      </w:r>
      <w:r w:rsidRPr="00FA1C3A">
        <w:rPr>
          <w:lang w:val="fr-FR"/>
        </w:rPr>
        <w:t xml:space="preserve"> sur la base des prix locaux</w:t>
      </w:r>
      <w:r w:rsidR="00F17308">
        <w:rPr>
          <w:lang w:val="fr-FR"/>
        </w:rPr>
        <w:t xml:space="preserve">, pour que les transferts monétaires puissent être envisagés dans la phase d’analyse de l’intervention. </w:t>
      </w:r>
      <w:r w:rsidR="00F17308" w:rsidRPr="00414CAC">
        <w:rPr>
          <w:lang w:val="fr-FR"/>
        </w:rPr>
        <w:t>La valeur ainsi obtenue sera intégrée dans le calcul des co</w:t>
      </w:r>
      <w:r w:rsidR="00414CAC" w:rsidRPr="00414CAC">
        <w:rPr>
          <w:lang w:val="fr-FR"/>
        </w:rPr>
        <w:t xml:space="preserve">ûts des différents mécanismes et modalités, ce </w:t>
      </w:r>
      <w:r w:rsidR="00414CAC" w:rsidRPr="00414CAC">
        <w:rPr>
          <w:lang w:val="fr-FR"/>
        </w:rPr>
        <w:lastRenderedPageBreak/>
        <w:t xml:space="preserve">qui permettra d’analyser </w:t>
      </w:r>
      <w:r w:rsidR="00C160AE">
        <w:rPr>
          <w:lang w:val="fr-FR"/>
        </w:rPr>
        <w:t>l’efficacité et la rentabilité</w:t>
      </w:r>
      <w:r w:rsidR="00414CAC" w:rsidRPr="00414CAC">
        <w:rPr>
          <w:lang w:val="fr-FR"/>
        </w:rPr>
        <w:t xml:space="preserve"> des différentes</w:t>
      </w:r>
      <w:r w:rsidR="00414CAC">
        <w:rPr>
          <w:lang w:val="fr-FR"/>
        </w:rPr>
        <w:t xml:space="preserve"> possibilités d’intervention et de déterminer </w:t>
      </w:r>
      <w:r w:rsidR="00E95053">
        <w:rPr>
          <w:lang w:val="fr-FR"/>
        </w:rPr>
        <w:t>le montant des transferts</w:t>
      </w:r>
      <w:r w:rsidR="00414CAC">
        <w:rPr>
          <w:lang w:val="fr-FR"/>
        </w:rPr>
        <w:t xml:space="preserve"> dans le cas où une aide </w:t>
      </w:r>
      <w:r w:rsidR="000B556C">
        <w:rPr>
          <w:lang w:val="fr-FR"/>
        </w:rPr>
        <w:t>monétaire</w:t>
      </w:r>
      <w:r w:rsidR="00E95053">
        <w:rPr>
          <w:lang w:val="fr-FR"/>
        </w:rPr>
        <w:t xml:space="preserve"> d’urgence est considérée comme</w:t>
      </w:r>
      <w:r w:rsidR="00414CAC">
        <w:rPr>
          <w:lang w:val="fr-FR"/>
        </w:rPr>
        <w:t xml:space="preserve"> appropriée.</w:t>
      </w:r>
      <w:r w:rsidR="000F4269" w:rsidRPr="00414CAC">
        <w:rPr>
          <w:lang w:val="fr-FR"/>
        </w:rPr>
        <w:t xml:space="preserve"> </w:t>
      </w:r>
    </w:p>
    <w:p w14:paraId="27F50B73" w14:textId="68F467E6" w:rsidR="003B4D61" w:rsidRPr="00C37894" w:rsidRDefault="00414CAC" w:rsidP="00843DA1">
      <w:pPr>
        <w:rPr>
          <w:lang w:val="fr-FR"/>
        </w:rPr>
      </w:pPr>
      <w:r w:rsidRPr="00414CAC">
        <w:rPr>
          <w:lang w:val="fr-FR"/>
        </w:rPr>
        <w:t>Dans cette étape</w:t>
      </w:r>
      <w:r w:rsidR="00843DA1">
        <w:rPr>
          <w:lang w:val="fr-FR"/>
        </w:rPr>
        <w:t xml:space="preserve"> subsidiaire</w:t>
      </w:r>
      <w:r w:rsidRPr="00414CAC">
        <w:rPr>
          <w:lang w:val="fr-FR"/>
        </w:rPr>
        <w:t xml:space="preserve">, vous trouverez un outil pouvant être utilisé aussi bien dans la phase d’évaluation, </w:t>
      </w:r>
      <w:r w:rsidR="000B556C">
        <w:rPr>
          <w:lang w:val="fr-FR"/>
        </w:rPr>
        <w:t>pour</w:t>
      </w:r>
      <w:r w:rsidRPr="00414CAC">
        <w:rPr>
          <w:lang w:val="fr-FR"/>
        </w:rPr>
        <w:t xml:space="preserve"> quantifier les besoins prioritaires, que dans la phase d’analyse</w:t>
      </w:r>
      <w:r>
        <w:rPr>
          <w:lang w:val="fr-FR"/>
        </w:rPr>
        <w:t xml:space="preserve"> de l’intervention, </w:t>
      </w:r>
      <w:r w:rsidR="000B556C">
        <w:rPr>
          <w:lang w:val="fr-FR"/>
        </w:rPr>
        <w:t>pour</w:t>
      </w:r>
      <w:r>
        <w:rPr>
          <w:lang w:val="fr-FR"/>
        </w:rPr>
        <w:t xml:space="preserve"> calculer </w:t>
      </w:r>
      <w:r w:rsidR="00843DA1">
        <w:rPr>
          <w:lang w:val="fr-FR"/>
        </w:rPr>
        <w:t xml:space="preserve">le montant des </w:t>
      </w:r>
      <w:r>
        <w:rPr>
          <w:lang w:val="fr-FR"/>
        </w:rPr>
        <w:t>éventuel</w:t>
      </w:r>
      <w:r w:rsidR="00843DA1">
        <w:rPr>
          <w:lang w:val="fr-FR"/>
        </w:rPr>
        <w:t>s</w:t>
      </w:r>
      <w:r>
        <w:rPr>
          <w:lang w:val="fr-FR"/>
        </w:rPr>
        <w:t xml:space="preserve"> transfert</w:t>
      </w:r>
      <w:r w:rsidR="00843DA1">
        <w:rPr>
          <w:lang w:val="fr-FR"/>
        </w:rPr>
        <w:t>s</w:t>
      </w:r>
      <w:r>
        <w:rPr>
          <w:lang w:val="fr-FR"/>
        </w:rPr>
        <w:t xml:space="preserve"> monétaire</w:t>
      </w:r>
      <w:r w:rsidR="00843DA1">
        <w:rPr>
          <w:lang w:val="fr-FR"/>
        </w:rPr>
        <w:t>s</w:t>
      </w:r>
      <w:r>
        <w:rPr>
          <w:lang w:val="fr-FR"/>
        </w:rPr>
        <w:t>.</w:t>
      </w:r>
      <w:r w:rsidR="000F4269" w:rsidRPr="00414CAC">
        <w:rPr>
          <w:lang w:val="fr-FR"/>
        </w:rPr>
        <w:t xml:space="preserve"> </w:t>
      </w:r>
    </w:p>
    <w:p w14:paraId="7EC51463" w14:textId="057BE3EC" w:rsidR="003B4D61" w:rsidRPr="003E5A9D" w:rsidRDefault="003E5A9D" w:rsidP="003E5A9D">
      <w:pPr>
        <w:pStyle w:val="Heading3"/>
        <w:rPr>
          <w:lang w:val="fr-FR"/>
        </w:rPr>
      </w:pPr>
      <w:r w:rsidRPr="003E5A9D">
        <w:rPr>
          <w:lang w:val="fr-FR"/>
        </w:rPr>
        <w:t>Consolider les résultats obtenus au niveau communautaire</w:t>
      </w:r>
    </w:p>
    <w:p w14:paraId="592F7125" w14:textId="6A7E8F39" w:rsidR="000F4269" w:rsidRPr="003E5A9D" w:rsidRDefault="003E5A9D" w:rsidP="00ED569D">
      <w:pPr>
        <w:spacing w:after="360"/>
        <w:rPr>
          <w:lang w:val="fr-FR"/>
        </w:rPr>
      </w:pPr>
      <w:r w:rsidRPr="003E5A9D">
        <w:rPr>
          <w:lang w:val="fr-FR"/>
        </w:rPr>
        <w:t xml:space="preserve">Les outils </w:t>
      </w:r>
      <w:r w:rsidR="00ED569D">
        <w:rPr>
          <w:lang w:val="fr-FR"/>
        </w:rPr>
        <w:t>de</w:t>
      </w:r>
      <w:r>
        <w:rPr>
          <w:lang w:val="fr-FR"/>
        </w:rPr>
        <w:t xml:space="preserve"> cette </w:t>
      </w:r>
      <w:r w:rsidRPr="003E5A9D">
        <w:rPr>
          <w:lang w:val="fr-FR"/>
        </w:rPr>
        <w:t>étape vous auront sans doute permis de collecter des informations très utiles sur les transferts monétaires aux niveau</w:t>
      </w:r>
      <w:r w:rsidR="000B556C">
        <w:rPr>
          <w:lang w:val="fr-FR"/>
        </w:rPr>
        <w:t>x</w:t>
      </w:r>
      <w:r w:rsidRPr="003E5A9D">
        <w:rPr>
          <w:lang w:val="fr-FR"/>
        </w:rPr>
        <w:t xml:space="preserve"> des communautés et des ménages. </w:t>
      </w:r>
      <w:r>
        <w:rPr>
          <w:lang w:val="fr-FR"/>
        </w:rPr>
        <w:t>L’outil de cette étape</w:t>
      </w:r>
      <w:r w:rsidR="00ED569D">
        <w:rPr>
          <w:lang w:val="fr-FR"/>
        </w:rPr>
        <w:t xml:space="preserve"> subsidiaire</w:t>
      </w:r>
      <w:r>
        <w:rPr>
          <w:lang w:val="fr-FR"/>
        </w:rPr>
        <w:t xml:space="preserve"> vous aidera à consolider et à organiser vos résultats et à intégrer des informations relatives aux transferts monétaires dans votre modè</w:t>
      </w:r>
      <w:r w:rsidR="004A7CD5">
        <w:rPr>
          <w:lang w:val="fr-FR"/>
        </w:rPr>
        <w:t>le de rapport d’évaluation</w:t>
      </w:r>
      <w:r w:rsidR="000F4269" w:rsidRPr="003E5A9D">
        <w:rPr>
          <w:lang w:val="fr-FR"/>
        </w:rPr>
        <w:t xml:space="preserve">.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F52885" w:rsidRPr="00786E37" w14:paraId="4D79E879" w14:textId="77777777" w:rsidTr="00F52885">
        <w:tc>
          <w:tcPr>
            <w:tcW w:w="9848" w:type="dxa"/>
          </w:tcPr>
          <w:p w14:paraId="39FFCFB7" w14:textId="3474217A" w:rsidR="00F52885" w:rsidRPr="00D2323A" w:rsidRDefault="00F52885" w:rsidP="00F52885">
            <w:pPr>
              <w:pStyle w:val="RefTitre"/>
              <w:rPr>
                <w:lang w:val="fr-FR"/>
              </w:rPr>
            </w:pPr>
            <w:r w:rsidRPr="00D2323A">
              <w:rPr>
                <w:lang w:val="fr-FR"/>
              </w:rPr>
              <w:t>DOCUMENTS</w:t>
            </w:r>
            <w:r w:rsidR="0087528C" w:rsidRPr="00D2323A">
              <w:rPr>
                <w:lang w:val="fr-FR"/>
              </w:rPr>
              <w:t xml:space="preserve"> DE RÉFÉRENCE</w:t>
            </w:r>
          </w:p>
          <w:p w14:paraId="25D05F79" w14:textId="1A58DB76" w:rsidR="00F52885" w:rsidRPr="00C577A8" w:rsidRDefault="004A7CD5" w:rsidP="002E7894">
            <w:pPr>
              <w:pStyle w:val="RefItem1"/>
              <w:rPr>
                <w:rFonts w:cs="Arial"/>
                <w:color w:val="0000D4"/>
                <w:szCs w:val="20"/>
                <w:u w:val="single"/>
                <w:lang w:val="fr-FR"/>
              </w:rPr>
            </w:pPr>
            <w:r w:rsidRPr="004A7CD5">
              <w:rPr>
                <w:rFonts w:cs="Arial"/>
                <w:szCs w:val="20"/>
                <w:lang w:val="fr-FR"/>
              </w:rPr>
              <w:t>Lignes directrices sur les programmes de transferts monétaires</w:t>
            </w:r>
            <w:r w:rsidR="002E7894">
              <w:rPr>
                <w:rFonts w:cs="Arial"/>
                <w:szCs w:val="20"/>
                <w:lang w:val="fr-FR"/>
              </w:rPr>
              <w:t xml:space="preserve">, </w:t>
            </w:r>
            <w:r w:rsidR="00786E37">
              <w:rPr>
                <w:rFonts w:cs="Arial"/>
                <w:szCs w:val="20"/>
                <w:lang w:val="fr-FR"/>
              </w:rPr>
              <w:t>Mouvement international</w:t>
            </w:r>
            <w:r>
              <w:rPr>
                <w:rFonts w:cs="Arial"/>
                <w:szCs w:val="20"/>
                <w:lang w:val="fr-FR"/>
              </w:rPr>
              <w:t xml:space="preserve"> de la Croix-Rouge et du Croissant-Rouge</w:t>
            </w:r>
            <w:r w:rsidR="002E7894">
              <w:rPr>
                <w:rFonts w:cs="Arial"/>
                <w:szCs w:val="20"/>
                <w:lang w:val="fr-FR"/>
              </w:rPr>
              <w:t xml:space="preserve"> (2008) </w:t>
            </w:r>
            <w:hyperlink r:id="rId9" w:history="1">
              <w:r w:rsidRPr="00C577A8">
                <w:rPr>
                  <w:rStyle w:val="Hyperlink"/>
                  <w:rFonts w:cs="Arial"/>
                  <w:szCs w:val="20"/>
                  <w:lang w:val="fr-FR"/>
                </w:rPr>
                <w:t>http://www.cashlearning.org/downloads/resources/guidelines/icrc-cashguidelines-fr-oct08.pdf</w:t>
              </w:r>
            </w:hyperlink>
          </w:p>
          <w:p w14:paraId="0696424B" w14:textId="7263ECA7" w:rsidR="00F52885" w:rsidRPr="00786E37" w:rsidRDefault="00F52885" w:rsidP="00786E37">
            <w:pPr>
              <w:pStyle w:val="RefItem1"/>
              <w:rPr>
                <w:color w:val="auto"/>
                <w:sz w:val="22"/>
                <w:lang w:val="en-GB"/>
              </w:rPr>
            </w:pPr>
            <w:r w:rsidRPr="00786E37">
              <w:rPr>
                <w:rFonts w:cs="Arial"/>
                <w:i/>
                <w:iCs/>
                <w:szCs w:val="20"/>
                <w:lang w:val="en-GB"/>
              </w:rPr>
              <w:t>Good Practice Review: Cash Transfer Programming in Emergencies</w:t>
            </w:r>
            <w:r w:rsidR="00EB6215" w:rsidRPr="00786E37">
              <w:rPr>
                <w:rFonts w:cs="Arial"/>
                <w:szCs w:val="20"/>
                <w:lang w:val="en-GB"/>
              </w:rPr>
              <w:t>,</w:t>
            </w:r>
            <w:r w:rsidRPr="00786E37">
              <w:rPr>
                <w:rFonts w:cs="Arial"/>
                <w:szCs w:val="20"/>
                <w:lang w:val="en-GB"/>
              </w:rPr>
              <w:t xml:space="preserve"> </w:t>
            </w:r>
            <w:r w:rsidR="00C577A8" w:rsidRPr="00786E37">
              <w:rPr>
                <w:rFonts w:cs="Arial"/>
                <w:szCs w:val="20"/>
                <w:lang w:val="en-GB"/>
              </w:rPr>
              <w:t>Humanitarian Practice Network</w:t>
            </w:r>
            <w:r w:rsidR="00EB6215" w:rsidRPr="00786E37">
              <w:rPr>
                <w:rFonts w:cs="Arial"/>
                <w:szCs w:val="20"/>
                <w:lang w:val="en-GB"/>
              </w:rPr>
              <w:t xml:space="preserve"> (2011)</w:t>
            </w:r>
            <w:r w:rsidR="00C577A8" w:rsidRPr="00786E37">
              <w:rPr>
                <w:rFonts w:cs="Arial"/>
                <w:szCs w:val="20"/>
                <w:lang w:val="en-GB"/>
              </w:rPr>
              <w:t xml:space="preserve"> </w:t>
            </w:r>
            <w:hyperlink r:id="rId10" w:history="1">
              <w:r w:rsidRPr="00786E37">
                <w:rPr>
                  <w:rStyle w:val="Hyperlink"/>
                  <w:rFonts w:cs="Arial"/>
                  <w:szCs w:val="20"/>
                  <w:lang w:val="en-GB"/>
                </w:rPr>
                <w:t>http://www.odihpn.org/documents%2Fgpr11.pdf</w:t>
              </w:r>
            </w:hyperlink>
            <w:r w:rsidR="00C577A8" w:rsidRPr="00786E37">
              <w:rPr>
                <w:rStyle w:val="Hyperlink"/>
                <w:rFonts w:cs="Arial"/>
                <w:szCs w:val="20"/>
                <w:u w:val="none"/>
                <w:lang w:val="en-GB"/>
              </w:rPr>
              <w:t xml:space="preserve"> </w:t>
            </w:r>
            <w:r w:rsidR="00C577A8" w:rsidRPr="00786E37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(</w:t>
            </w:r>
            <w:proofErr w:type="spellStart"/>
            <w:r w:rsidR="00C577A8" w:rsidRPr="00786E37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en</w:t>
            </w:r>
            <w:proofErr w:type="spellEnd"/>
            <w:r w:rsidR="00C577A8" w:rsidRPr="00786E37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 xml:space="preserve"> </w:t>
            </w:r>
            <w:proofErr w:type="spellStart"/>
            <w:r w:rsidR="00C577A8" w:rsidRPr="00786E37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anglais</w:t>
            </w:r>
            <w:proofErr w:type="spellEnd"/>
            <w:r w:rsidR="00C577A8" w:rsidRPr="00786E37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)</w:t>
            </w:r>
          </w:p>
        </w:tc>
      </w:tr>
    </w:tbl>
    <w:p w14:paraId="73F273EB" w14:textId="77777777" w:rsidR="00F52885" w:rsidRPr="00786E37" w:rsidRDefault="00F52885" w:rsidP="00F52885">
      <w:pPr>
        <w:rPr>
          <w:lang w:val="en-GB"/>
        </w:rPr>
      </w:pPr>
    </w:p>
    <w:sectPr w:rsidR="00F52885" w:rsidRPr="00786E37" w:rsidSect="002B4DC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27111" w15:done="0"/>
  <w15:commentEx w15:paraId="409AF7F0" w15:done="0"/>
  <w15:commentEx w15:paraId="5460D9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6DE5E" w14:textId="77777777" w:rsidR="006A292E" w:rsidRDefault="006A292E">
      <w:r>
        <w:separator/>
      </w:r>
    </w:p>
  </w:endnote>
  <w:endnote w:type="continuationSeparator" w:id="0">
    <w:p w14:paraId="55B3FBAD" w14:textId="77777777" w:rsidR="006A292E" w:rsidRDefault="006A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1AEDF" w14:textId="77777777" w:rsidR="002B4DCC" w:rsidRPr="00B45C74" w:rsidRDefault="002B4DC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E24F5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21807EF" w14:textId="55655147" w:rsidR="00057E7E" w:rsidRPr="00C577A8" w:rsidRDefault="00057E7E" w:rsidP="00C577A8">
    <w:pPr>
      <w:pStyle w:val="Footer"/>
      <w:rPr>
        <w:lang w:val="fr-FR"/>
      </w:rPr>
    </w:pPr>
    <w:r w:rsidRPr="00D2323A">
      <w:rPr>
        <w:b/>
        <w:lang w:val="fr-FR"/>
      </w:rPr>
      <w:t>Module 2.</w:t>
    </w:r>
    <w:r w:rsidRPr="00D2323A">
      <w:rPr>
        <w:lang w:val="fr-FR"/>
      </w:rPr>
      <w:t xml:space="preserve"> </w:t>
    </w:r>
    <w:r w:rsidR="00C577A8" w:rsidRPr="00C577A8">
      <w:rPr>
        <w:lang w:val="fr-FR"/>
      </w:rPr>
      <w:t>Étape</w:t>
    </w:r>
    <w:r w:rsidR="0020717B" w:rsidRPr="00C577A8">
      <w:rPr>
        <w:lang w:val="fr-FR"/>
      </w:rPr>
      <w:t xml:space="preserve"> 2. </w:t>
    </w:r>
    <w:r w:rsidR="00C577A8" w:rsidRPr="00C577A8">
      <w:rPr>
        <w:lang w:val="fr-FR"/>
      </w:rPr>
      <w:t xml:space="preserve">Feuille de route une évaluation des communautés qui tienne compte des éléments liés aux transferts monétaires </w:t>
    </w:r>
    <w:r w:rsidRPr="00057E7E">
      <w:fldChar w:fldCharType="begin"/>
    </w:r>
    <w:r w:rsidRPr="00C577A8">
      <w:rPr>
        <w:lang w:val="fr-FR"/>
      </w:rPr>
      <w:instrText xml:space="preserve"> STYLEREF  H1 \t  \* MERGEFORMAT </w:instrText>
    </w:r>
    <w:r w:rsidRPr="00057E7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EBDFA" w14:textId="77777777" w:rsidR="00057E7E" w:rsidRPr="00B45C74" w:rsidRDefault="00057E7E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E24F5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ECB1575" w14:textId="3A22BF2A" w:rsidR="00057E7E" w:rsidRPr="00057E7E" w:rsidRDefault="00057E7E" w:rsidP="00AD0EDC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="0020717B">
      <w:rPr>
        <w:b/>
      </w:rPr>
      <w:t xml:space="preserve"> </w:t>
    </w:r>
    <w:proofErr w:type="spellStart"/>
    <w:r w:rsidR="00AD0EDC">
      <w:t>Étape</w:t>
    </w:r>
    <w:proofErr w:type="spellEnd"/>
    <w:r w:rsidR="0020717B" w:rsidRPr="0020717B">
      <w:t xml:space="preserve"> 2.</w:t>
    </w:r>
    <w:r w:rsidRPr="00107E15">
      <w:t xml:space="preserve"> </w:t>
    </w:r>
    <w:r w:rsidR="005E24F5">
      <w:fldChar w:fldCharType="begin"/>
    </w:r>
    <w:r w:rsidR="005E24F5">
      <w:instrText xml:space="preserve"> STYLEREF  H1 \t  \* MERGEFORMAT </w:instrText>
    </w:r>
    <w:r w:rsidR="005E24F5">
      <w:fldChar w:fldCharType="separate"/>
    </w:r>
    <w:r w:rsidR="005E24F5" w:rsidRPr="005E24F5">
      <w:rPr>
        <w:bCs/>
        <w:noProof/>
      </w:rPr>
      <w:t>Feuille de route pour une</w:t>
    </w:r>
    <w:r w:rsidR="005E24F5">
      <w:rPr>
        <w:noProof/>
      </w:rPr>
      <w:t xml:space="preserve"> évaluation des communautés tenant compte des éléments liés aux transferts monétaires</w:t>
    </w:r>
    <w:r w:rsidR="005E24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4D92E" w14:textId="77777777" w:rsidR="006A292E" w:rsidRDefault="006A292E">
      <w:r>
        <w:separator/>
      </w:r>
    </w:p>
  </w:footnote>
  <w:footnote w:type="continuationSeparator" w:id="0">
    <w:p w14:paraId="2F943160" w14:textId="77777777" w:rsidR="006A292E" w:rsidRDefault="006A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A342" w14:textId="57CE4A51" w:rsidR="002B4DCC" w:rsidRPr="00F64C81" w:rsidRDefault="0087528C" w:rsidP="0087528C">
    <w:pPr>
      <w:pStyle w:val="Header"/>
      <w:rPr>
        <w:sz w:val="14"/>
        <w:szCs w:val="14"/>
        <w:lang w:val="fr-FR"/>
      </w:rPr>
    </w:pPr>
    <w:r w:rsidRPr="00F64C81">
      <w:rPr>
        <w:rStyle w:val="Pantone485"/>
        <w:sz w:val="14"/>
        <w:szCs w:val="14"/>
        <w:lang w:val="fr-FR"/>
      </w:rPr>
      <w:t xml:space="preserve">Mouvement international de la Croix-Rouge et du Croissant-Rouge </w:t>
    </w:r>
    <w:r w:rsidR="002B4DCC" w:rsidRPr="00F64C81">
      <w:rPr>
        <w:rStyle w:val="PageNumber"/>
        <w:bCs/>
        <w:sz w:val="14"/>
        <w:szCs w:val="14"/>
        <w:lang w:val="fr-FR"/>
      </w:rPr>
      <w:t>I</w:t>
    </w:r>
    <w:r w:rsidRPr="00F64C81">
      <w:rPr>
        <w:rStyle w:val="PageNumber"/>
        <w:color w:val="FF0000"/>
        <w:sz w:val="14"/>
        <w:szCs w:val="14"/>
        <w:lang w:val="fr-FR"/>
      </w:rPr>
      <w:t xml:space="preserve"> </w:t>
    </w:r>
    <w:r w:rsidRPr="00F64C81">
      <w:rPr>
        <w:b/>
        <w:sz w:val="14"/>
        <w:szCs w:val="14"/>
        <w:lang w:val="fr-FR"/>
      </w:rPr>
      <w:t>Manuel sur les transferts monétaires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B2CA5" w14:textId="77777777" w:rsidR="00CD4039" w:rsidRDefault="00CD4039" w:rsidP="00CD4039">
    <w:pPr>
      <w:pStyle w:val="Header1"/>
    </w:pPr>
    <w:r>
      <w:rPr>
        <w:rFonts w:ascii="Arial Bold" w:hAnsi="Arial Bold"/>
        <w:noProof/>
        <w:color w:val="DC281E"/>
        <w:lang w:val="en-GB" w:eastAsia="en-GB"/>
      </w:rPr>
      <w:drawing>
        <wp:anchor distT="0" distB="0" distL="114300" distR="114300" simplePos="0" relativeHeight="251660288" behindDoc="0" locked="0" layoutInCell="1" allowOverlap="1" wp14:anchorId="706D6F98" wp14:editId="59AFAC0A">
          <wp:simplePos x="0" y="0"/>
          <wp:positionH relativeFrom="margin">
            <wp:posOffset>316865</wp:posOffset>
          </wp:positionH>
          <wp:positionV relativeFrom="margin">
            <wp:posOffset>-1228725</wp:posOffset>
          </wp:positionV>
          <wp:extent cx="630555" cy="735330"/>
          <wp:effectExtent l="0" t="0" r="0" b="7620"/>
          <wp:wrapSquare wrapText="bothSides"/>
          <wp:docPr id="2" name="Picture 2" descr="T:\Language\2015\French\Z_Jonathan\Références\Cash in emergencies\CICR logo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anguage\2015\French\Z_Jonathan\Références\Cash in emergencies\CICR logo-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3C69CC" w14:textId="77777777" w:rsidR="00CD4039" w:rsidRDefault="00CD4039" w:rsidP="00CD4039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53B38F3" wp14:editId="6C049572">
          <wp:simplePos x="0" y="0"/>
          <wp:positionH relativeFrom="margin">
            <wp:posOffset>2590165</wp:posOffset>
          </wp:positionH>
          <wp:positionV relativeFrom="margin">
            <wp:posOffset>-808990</wp:posOffset>
          </wp:positionV>
          <wp:extent cx="3187065" cy="308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French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06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35EE5" w14:textId="77777777" w:rsidR="00CD4039" w:rsidRDefault="00CD4039" w:rsidP="00CD4039">
    <w:pPr>
      <w:pStyle w:val="Header"/>
      <w:rPr>
        <w:color w:val="DC281E"/>
        <w:sz w:val="24"/>
        <w:szCs w:val="24"/>
      </w:rPr>
    </w:pPr>
  </w:p>
  <w:p w14:paraId="5E4C6256" w14:textId="77777777" w:rsidR="00CD4039" w:rsidRDefault="00CD4039" w:rsidP="00CD4039">
    <w:pPr>
      <w:pStyle w:val="Header"/>
      <w:spacing w:line="240" w:lineRule="auto"/>
      <w:rPr>
        <w:b/>
        <w:color w:val="DC281E"/>
        <w:sz w:val="24"/>
        <w:szCs w:val="24"/>
      </w:rPr>
    </w:pPr>
  </w:p>
  <w:p w14:paraId="336573B4" w14:textId="77777777" w:rsidR="00CD4039" w:rsidRDefault="00CD4039" w:rsidP="00CD4039">
    <w:pPr>
      <w:pStyle w:val="Header"/>
      <w:spacing w:line="240" w:lineRule="auto"/>
      <w:rPr>
        <w:b/>
        <w:color w:val="DC281E"/>
        <w:sz w:val="24"/>
        <w:szCs w:val="24"/>
      </w:rPr>
    </w:pPr>
  </w:p>
  <w:p w14:paraId="63B7EEA0" w14:textId="378B7A68" w:rsidR="002B4DCC" w:rsidRPr="00CD4039" w:rsidRDefault="00C4139C" w:rsidP="00E5101D">
    <w:pPr>
      <w:pStyle w:val="Header1"/>
      <w:rPr>
        <w:rFonts w:ascii="Arial Bold" w:hAnsi="Arial Bold"/>
        <w:color w:val="DC281E"/>
        <w:lang w:val="fr-FR"/>
      </w:rPr>
    </w:pPr>
    <w:r>
      <w:rPr>
        <w:rFonts w:ascii="Arial Bold" w:hAnsi="Arial Bold"/>
        <w:color w:val="DC281E"/>
        <w:lang w:val="fr-FR"/>
      </w:rPr>
      <w:t xml:space="preserve">Boîte à outils pour </w:t>
    </w:r>
    <w:r w:rsidR="00E5101D">
      <w:rPr>
        <w:rFonts w:ascii="Arial Bold" w:hAnsi="Arial Bold"/>
        <w:color w:val="DC281E"/>
        <w:lang w:val="fr-FR"/>
      </w:rPr>
      <w:t>les transferts monétaires</w:t>
    </w:r>
    <w:r w:rsidR="00CD4039" w:rsidRPr="002F1CAB">
      <w:rPr>
        <w:rFonts w:ascii="Arial Bold" w:hAnsi="Arial Bold"/>
        <w:color w:val="DC281E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56E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9392B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BC61D7"/>
    <w:multiLevelType w:val="hybridMultilevel"/>
    <w:tmpl w:val="7A78EDE6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1751EC"/>
    <w:multiLevelType w:val="hybridMultilevel"/>
    <w:tmpl w:val="D4A2DDA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56F75"/>
    <w:multiLevelType w:val="hybridMultilevel"/>
    <w:tmpl w:val="5FEC3BEE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971EF"/>
    <w:multiLevelType w:val="hybridMultilevel"/>
    <w:tmpl w:val="FA4E0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3F03"/>
    <w:multiLevelType w:val="hybridMultilevel"/>
    <w:tmpl w:val="2B62B31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735E8"/>
    <w:multiLevelType w:val="hybridMultilevel"/>
    <w:tmpl w:val="A8A435C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32A81"/>
    <w:multiLevelType w:val="hybridMultilevel"/>
    <w:tmpl w:val="8C7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952B4"/>
    <w:multiLevelType w:val="hybridMultilevel"/>
    <w:tmpl w:val="22E0685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3C3D"/>
    <w:multiLevelType w:val="hybridMultilevel"/>
    <w:tmpl w:val="3B92B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1477B"/>
    <w:multiLevelType w:val="hybridMultilevel"/>
    <w:tmpl w:val="7D688CB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17A36"/>
    <w:multiLevelType w:val="hybridMultilevel"/>
    <w:tmpl w:val="9B3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B14FD"/>
    <w:multiLevelType w:val="hybridMultilevel"/>
    <w:tmpl w:val="A06CDB8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26C8E"/>
    <w:multiLevelType w:val="hybridMultilevel"/>
    <w:tmpl w:val="B6D8F0D4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4C36C6"/>
    <w:multiLevelType w:val="hybridMultilevel"/>
    <w:tmpl w:val="8D5C82F2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C817CF"/>
    <w:multiLevelType w:val="hybridMultilevel"/>
    <w:tmpl w:val="4FCCC65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A0A0B08"/>
    <w:multiLevelType w:val="hybridMultilevel"/>
    <w:tmpl w:val="CA3E531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D2D1A"/>
    <w:multiLevelType w:val="hybridMultilevel"/>
    <w:tmpl w:val="EDF46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46E76"/>
    <w:multiLevelType w:val="hybridMultilevel"/>
    <w:tmpl w:val="F796D27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D1CE0"/>
    <w:multiLevelType w:val="hybridMultilevel"/>
    <w:tmpl w:val="C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227D5"/>
    <w:multiLevelType w:val="hybridMultilevel"/>
    <w:tmpl w:val="A4DE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B6393"/>
    <w:multiLevelType w:val="hybridMultilevel"/>
    <w:tmpl w:val="A8A435C2"/>
    <w:lvl w:ilvl="0" w:tplc="AF5CCA7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A2DD8"/>
    <w:multiLevelType w:val="hybridMultilevel"/>
    <w:tmpl w:val="5FEC3BEE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F10D53"/>
    <w:multiLevelType w:val="hybridMultilevel"/>
    <w:tmpl w:val="A8A435C2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F4509"/>
    <w:multiLevelType w:val="hybridMultilevel"/>
    <w:tmpl w:val="C050411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B74F19"/>
    <w:multiLevelType w:val="hybridMultilevel"/>
    <w:tmpl w:val="8D5C82F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C02A8"/>
    <w:multiLevelType w:val="hybridMultilevel"/>
    <w:tmpl w:val="13307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7442C"/>
    <w:multiLevelType w:val="hybridMultilevel"/>
    <w:tmpl w:val="3E18AA5C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04900"/>
    <w:multiLevelType w:val="hybridMultilevel"/>
    <w:tmpl w:val="B6D8F0D4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02CD1"/>
    <w:multiLevelType w:val="hybridMultilevel"/>
    <w:tmpl w:val="CA3E531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D54C4F"/>
    <w:multiLevelType w:val="hybridMultilevel"/>
    <w:tmpl w:val="7D688CB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5A3B98"/>
    <w:multiLevelType w:val="hybridMultilevel"/>
    <w:tmpl w:val="D4A2DDAC"/>
    <w:lvl w:ilvl="0" w:tplc="E5429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4D1867"/>
    <w:multiLevelType w:val="hybridMultilevel"/>
    <w:tmpl w:val="C050411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991041"/>
    <w:multiLevelType w:val="hybridMultilevel"/>
    <w:tmpl w:val="A6409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3A580E"/>
    <w:multiLevelType w:val="hybridMultilevel"/>
    <w:tmpl w:val="A06CDB8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6615D1"/>
    <w:multiLevelType w:val="hybridMultilevel"/>
    <w:tmpl w:val="5AC8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6A16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917F87"/>
    <w:multiLevelType w:val="hybridMultilevel"/>
    <w:tmpl w:val="3E18AA5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B4014"/>
    <w:multiLevelType w:val="hybridMultilevel"/>
    <w:tmpl w:val="F796D27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F50707"/>
    <w:multiLevelType w:val="hybridMultilevel"/>
    <w:tmpl w:val="7A78EDE6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35"/>
  </w:num>
  <w:num w:numId="4">
    <w:abstractNumId w:val="30"/>
  </w:num>
  <w:num w:numId="5">
    <w:abstractNumId w:val="40"/>
  </w:num>
  <w:num w:numId="6">
    <w:abstractNumId w:val="4"/>
  </w:num>
  <w:num w:numId="7">
    <w:abstractNumId w:val="31"/>
  </w:num>
  <w:num w:numId="8">
    <w:abstractNumId w:val="19"/>
  </w:num>
  <w:num w:numId="9">
    <w:abstractNumId w:val="9"/>
  </w:num>
  <w:num w:numId="10">
    <w:abstractNumId w:val="26"/>
  </w:num>
  <w:num w:numId="11">
    <w:abstractNumId w:val="29"/>
  </w:num>
  <w:num w:numId="12">
    <w:abstractNumId w:val="6"/>
  </w:num>
  <w:num w:numId="13">
    <w:abstractNumId w:val="28"/>
  </w:num>
  <w:num w:numId="14">
    <w:abstractNumId w:val="2"/>
  </w:num>
  <w:num w:numId="15">
    <w:abstractNumId w:val="48"/>
  </w:num>
  <w:num w:numId="16">
    <w:abstractNumId w:val="34"/>
  </w:num>
  <w:num w:numId="17">
    <w:abstractNumId w:val="46"/>
  </w:num>
  <w:num w:numId="18">
    <w:abstractNumId w:val="21"/>
  </w:num>
  <w:num w:numId="19">
    <w:abstractNumId w:val="36"/>
  </w:num>
  <w:num w:numId="20">
    <w:abstractNumId w:val="16"/>
  </w:num>
  <w:num w:numId="21">
    <w:abstractNumId w:val="47"/>
  </w:num>
  <w:num w:numId="22">
    <w:abstractNumId w:val="23"/>
  </w:num>
  <w:num w:numId="23">
    <w:abstractNumId w:val="44"/>
  </w:num>
  <w:num w:numId="24">
    <w:abstractNumId w:val="17"/>
  </w:num>
  <w:num w:numId="25">
    <w:abstractNumId w:val="39"/>
  </w:num>
  <w:num w:numId="26">
    <w:abstractNumId w:val="15"/>
  </w:num>
  <w:num w:numId="27">
    <w:abstractNumId w:val="8"/>
  </w:num>
  <w:num w:numId="28">
    <w:abstractNumId w:val="14"/>
  </w:num>
  <w:num w:numId="29">
    <w:abstractNumId w:val="10"/>
  </w:num>
  <w:num w:numId="30">
    <w:abstractNumId w:val="11"/>
  </w:num>
  <w:num w:numId="31">
    <w:abstractNumId w:val="24"/>
  </w:num>
  <w:num w:numId="32">
    <w:abstractNumId w:val="3"/>
  </w:num>
  <w:num w:numId="33">
    <w:abstractNumId w:val="33"/>
  </w:num>
  <w:num w:numId="34">
    <w:abstractNumId w:val="12"/>
  </w:num>
  <w:num w:numId="35">
    <w:abstractNumId w:val="20"/>
  </w:num>
  <w:num w:numId="36">
    <w:abstractNumId w:val="43"/>
  </w:num>
  <w:num w:numId="37">
    <w:abstractNumId w:val="27"/>
  </w:num>
  <w:num w:numId="38">
    <w:abstractNumId w:val="7"/>
  </w:num>
  <w:num w:numId="39">
    <w:abstractNumId w:val="22"/>
  </w:num>
  <w:num w:numId="40">
    <w:abstractNumId w:val="45"/>
  </w:num>
  <w:num w:numId="41">
    <w:abstractNumId w:val="25"/>
  </w:num>
  <w:num w:numId="42">
    <w:abstractNumId w:val="5"/>
  </w:num>
  <w:num w:numId="43">
    <w:abstractNumId w:val="32"/>
  </w:num>
  <w:num w:numId="44">
    <w:abstractNumId w:val="13"/>
  </w:num>
  <w:num w:numId="45">
    <w:abstractNumId w:val="37"/>
  </w:num>
  <w:num w:numId="46">
    <w:abstractNumId w:val="41"/>
  </w:num>
  <w:num w:numId="47">
    <w:abstractNumId w:val="38"/>
  </w:num>
  <w:num w:numId="48">
    <w:abstractNumId w:val="1"/>
  </w:num>
  <w:num w:numId="4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F"/>
    <w:rsid w:val="0002510F"/>
    <w:rsid w:val="00032293"/>
    <w:rsid w:val="00057C65"/>
    <w:rsid w:val="00057E7E"/>
    <w:rsid w:val="000A19D1"/>
    <w:rsid w:val="000B556C"/>
    <w:rsid w:val="000B6209"/>
    <w:rsid w:val="000F4269"/>
    <w:rsid w:val="000F4B6F"/>
    <w:rsid w:val="00115E39"/>
    <w:rsid w:val="00136C29"/>
    <w:rsid w:val="00172DBF"/>
    <w:rsid w:val="001A2D12"/>
    <w:rsid w:val="001A4B0F"/>
    <w:rsid w:val="001D5953"/>
    <w:rsid w:val="001E0BBD"/>
    <w:rsid w:val="001E35FE"/>
    <w:rsid w:val="001E398C"/>
    <w:rsid w:val="002039D3"/>
    <w:rsid w:val="0020717B"/>
    <w:rsid w:val="00222CD2"/>
    <w:rsid w:val="00231111"/>
    <w:rsid w:val="002514B1"/>
    <w:rsid w:val="00273676"/>
    <w:rsid w:val="002772EC"/>
    <w:rsid w:val="0028176F"/>
    <w:rsid w:val="002B0F8B"/>
    <w:rsid w:val="002B1145"/>
    <w:rsid w:val="002B4DCC"/>
    <w:rsid w:val="002C223B"/>
    <w:rsid w:val="002D068D"/>
    <w:rsid w:val="002D1E76"/>
    <w:rsid w:val="002E0169"/>
    <w:rsid w:val="002E4F34"/>
    <w:rsid w:val="002E7894"/>
    <w:rsid w:val="00310F7F"/>
    <w:rsid w:val="003170DD"/>
    <w:rsid w:val="00362581"/>
    <w:rsid w:val="003712F5"/>
    <w:rsid w:val="003836BB"/>
    <w:rsid w:val="003B0C17"/>
    <w:rsid w:val="003B4D61"/>
    <w:rsid w:val="003C42DE"/>
    <w:rsid w:val="003E5A9D"/>
    <w:rsid w:val="00414CAC"/>
    <w:rsid w:val="00424FA8"/>
    <w:rsid w:val="0043228C"/>
    <w:rsid w:val="00436E8C"/>
    <w:rsid w:val="004556D4"/>
    <w:rsid w:val="004571F3"/>
    <w:rsid w:val="0046178C"/>
    <w:rsid w:val="0046464E"/>
    <w:rsid w:val="004A7CD5"/>
    <w:rsid w:val="004C1ADA"/>
    <w:rsid w:val="004C5BC6"/>
    <w:rsid w:val="004F2AC8"/>
    <w:rsid w:val="0050270B"/>
    <w:rsid w:val="00525203"/>
    <w:rsid w:val="00526A30"/>
    <w:rsid w:val="00551FBB"/>
    <w:rsid w:val="00576A1B"/>
    <w:rsid w:val="0059435E"/>
    <w:rsid w:val="005A7669"/>
    <w:rsid w:val="005B5961"/>
    <w:rsid w:val="005C26EE"/>
    <w:rsid w:val="005E24F5"/>
    <w:rsid w:val="00601FAE"/>
    <w:rsid w:val="00607C92"/>
    <w:rsid w:val="006167CF"/>
    <w:rsid w:val="006218BD"/>
    <w:rsid w:val="00671DFF"/>
    <w:rsid w:val="00676A42"/>
    <w:rsid w:val="006A292E"/>
    <w:rsid w:val="006B2B80"/>
    <w:rsid w:val="006B5896"/>
    <w:rsid w:val="006E0609"/>
    <w:rsid w:val="006E099E"/>
    <w:rsid w:val="006E747E"/>
    <w:rsid w:val="007000EC"/>
    <w:rsid w:val="007076CD"/>
    <w:rsid w:val="00725B0C"/>
    <w:rsid w:val="00732EED"/>
    <w:rsid w:val="007752EB"/>
    <w:rsid w:val="007804AA"/>
    <w:rsid w:val="007855E5"/>
    <w:rsid w:val="00786E37"/>
    <w:rsid w:val="00794CDB"/>
    <w:rsid w:val="007E0454"/>
    <w:rsid w:val="007E1C11"/>
    <w:rsid w:val="007F033C"/>
    <w:rsid w:val="00814396"/>
    <w:rsid w:val="00817563"/>
    <w:rsid w:val="008217CD"/>
    <w:rsid w:val="0082647D"/>
    <w:rsid w:val="00843DA1"/>
    <w:rsid w:val="008512BB"/>
    <w:rsid w:val="0086538D"/>
    <w:rsid w:val="00865F32"/>
    <w:rsid w:val="00871F64"/>
    <w:rsid w:val="00873DF7"/>
    <w:rsid w:val="0087528C"/>
    <w:rsid w:val="008A20A8"/>
    <w:rsid w:val="008E6A72"/>
    <w:rsid w:val="00901BDF"/>
    <w:rsid w:val="009032EF"/>
    <w:rsid w:val="00926FA0"/>
    <w:rsid w:val="00976C88"/>
    <w:rsid w:val="009A2C3C"/>
    <w:rsid w:val="009A33B0"/>
    <w:rsid w:val="009B2B19"/>
    <w:rsid w:val="009B7AB7"/>
    <w:rsid w:val="009C1364"/>
    <w:rsid w:val="009D28B0"/>
    <w:rsid w:val="009D446E"/>
    <w:rsid w:val="009E4609"/>
    <w:rsid w:val="009E6F03"/>
    <w:rsid w:val="009F051C"/>
    <w:rsid w:val="00A22FB8"/>
    <w:rsid w:val="00A5336D"/>
    <w:rsid w:val="00A61559"/>
    <w:rsid w:val="00A66B73"/>
    <w:rsid w:val="00A74C40"/>
    <w:rsid w:val="00A87587"/>
    <w:rsid w:val="00A942B0"/>
    <w:rsid w:val="00AA0CB0"/>
    <w:rsid w:val="00AD0EDC"/>
    <w:rsid w:val="00AF0822"/>
    <w:rsid w:val="00B22B19"/>
    <w:rsid w:val="00B23B74"/>
    <w:rsid w:val="00B23CB0"/>
    <w:rsid w:val="00B30398"/>
    <w:rsid w:val="00B43B9E"/>
    <w:rsid w:val="00B51FBA"/>
    <w:rsid w:val="00B74E95"/>
    <w:rsid w:val="00BA6408"/>
    <w:rsid w:val="00BD3B8D"/>
    <w:rsid w:val="00BF61F7"/>
    <w:rsid w:val="00C046C4"/>
    <w:rsid w:val="00C151D4"/>
    <w:rsid w:val="00C160AE"/>
    <w:rsid w:val="00C313D0"/>
    <w:rsid w:val="00C37894"/>
    <w:rsid w:val="00C4139C"/>
    <w:rsid w:val="00C416A9"/>
    <w:rsid w:val="00C577A8"/>
    <w:rsid w:val="00C6084E"/>
    <w:rsid w:val="00C638A0"/>
    <w:rsid w:val="00C84535"/>
    <w:rsid w:val="00C96A3D"/>
    <w:rsid w:val="00CB43AC"/>
    <w:rsid w:val="00CB478C"/>
    <w:rsid w:val="00CD4039"/>
    <w:rsid w:val="00CF77F1"/>
    <w:rsid w:val="00D1005D"/>
    <w:rsid w:val="00D139C7"/>
    <w:rsid w:val="00D2323A"/>
    <w:rsid w:val="00D24C12"/>
    <w:rsid w:val="00D2556E"/>
    <w:rsid w:val="00D44268"/>
    <w:rsid w:val="00D44572"/>
    <w:rsid w:val="00D6680B"/>
    <w:rsid w:val="00D70C54"/>
    <w:rsid w:val="00D71337"/>
    <w:rsid w:val="00D74E30"/>
    <w:rsid w:val="00D81822"/>
    <w:rsid w:val="00D90668"/>
    <w:rsid w:val="00D92D39"/>
    <w:rsid w:val="00DD6488"/>
    <w:rsid w:val="00DF20CC"/>
    <w:rsid w:val="00E14DDB"/>
    <w:rsid w:val="00E22574"/>
    <w:rsid w:val="00E5101D"/>
    <w:rsid w:val="00E66A9A"/>
    <w:rsid w:val="00E67A29"/>
    <w:rsid w:val="00E909CC"/>
    <w:rsid w:val="00E95053"/>
    <w:rsid w:val="00EB6215"/>
    <w:rsid w:val="00EC7F80"/>
    <w:rsid w:val="00ED569D"/>
    <w:rsid w:val="00ED72A3"/>
    <w:rsid w:val="00EE2F01"/>
    <w:rsid w:val="00F053FA"/>
    <w:rsid w:val="00F12B3D"/>
    <w:rsid w:val="00F17308"/>
    <w:rsid w:val="00F250D2"/>
    <w:rsid w:val="00F52885"/>
    <w:rsid w:val="00F54024"/>
    <w:rsid w:val="00F64C81"/>
    <w:rsid w:val="00FA1C3A"/>
    <w:rsid w:val="00FC2441"/>
    <w:rsid w:val="00FD7CCB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FD85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20717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2071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17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17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5">
    <w:name w:val="heading 5"/>
    <w:basedOn w:val="Normal"/>
    <w:next w:val="Normal"/>
    <w:link w:val="Heading5Char"/>
    <w:rsid w:val="00F053F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717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20717B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0717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17B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20717B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717B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2071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717B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17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0717B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20717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717B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2071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0717B"/>
    <w:rPr>
      <w:rFonts w:ascii="Arial" w:eastAsiaTheme="minorEastAsia" w:hAnsi="Arial" w:cs="Times New Roman"/>
      <w:b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20717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F053F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2071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17B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20717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20717B"/>
    <w:rPr>
      <w:rFonts w:ascii="Arial" w:eastAsiaTheme="minorEastAsia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0717B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717B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20717B"/>
    <w:rPr>
      <w:b/>
    </w:rPr>
  </w:style>
  <w:style w:type="paragraph" w:styleId="Revision">
    <w:name w:val="Revision"/>
    <w:hidden/>
    <w:uiPriority w:val="99"/>
    <w:semiHidden/>
    <w:rsid w:val="0020717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20717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20717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20717B"/>
    <w:pPr>
      <w:numPr>
        <w:numId w:val="4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20717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20717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20717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20717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20717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20717B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20717B"/>
    <w:pPr>
      <w:numPr>
        <w:numId w:val="45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20717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20717B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20717B"/>
    <w:pPr>
      <w:numPr>
        <w:numId w:val="4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20717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20717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0717B"/>
    <w:pPr>
      <w:keepNext/>
      <w:keepLines/>
      <w:framePr w:hSpace="141" w:wrap="around" w:vAnchor="text" w:hAnchor="margin" w:y="402"/>
      <w:numPr>
        <w:numId w:val="4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20717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2071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17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17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5">
    <w:name w:val="heading 5"/>
    <w:basedOn w:val="Normal"/>
    <w:next w:val="Normal"/>
    <w:link w:val="Heading5Char"/>
    <w:rsid w:val="00F053F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717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20717B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0717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17B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20717B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717B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2071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717B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17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0717B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20717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717B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2071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0717B"/>
    <w:rPr>
      <w:rFonts w:ascii="Arial" w:eastAsiaTheme="minorEastAsia" w:hAnsi="Arial" w:cs="Times New Roman"/>
      <w:b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20717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F053F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2071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17B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20717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20717B"/>
    <w:rPr>
      <w:rFonts w:ascii="Arial" w:eastAsiaTheme="minorEastAsia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0717B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717B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20717B"/>
    <w:rPr>
      <w:b/>
    </w:rPr>
  </w:style>
  <w:style w:type="paragraph" w:styleId="Revision">
    <w:name w:val="Revision"/>
    <w:hidden/>
    <w:uiPriority w:val="99"/>
    <w:semiHidden/>
    <w:rsid w:val="0020717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20717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20717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20717B"/>
    <w:pPr>
      <w:numPr>
        <w:numId w:val="4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20717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20717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20717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20717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20717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20717B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20717B"/>
    <w:pPr>
      <w:numPr>
        <w:numId w:val="45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20717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20717B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20717B"/>
    <w:pPr>
      <w:numPr>
        <w:numId w:val="4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20717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20717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0717B"/>
    <w:pPr>
      <w:keepNext/>
      <w:keepLines/>
      <w:framePr w:hSpace="141" w:wrap="around" w:vAnchor="text" w:hAnchor="margin" w:y="402"/>
      <w:numPr>
        <w:numId w:val="4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dihpn.org/documents%2Fgpr11.pdf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cashlearning.org/downloads/resources/guidelines/icrc-cashguidelines-fr-oct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1108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Florence MAROT</cp:lastModifiedBy>
  <cp:revision>76</cp:revision>
  <cp:lastPrinted>2015-09-23T22:14:00Z</cp:lastPrinted>
  <dcterms:created xsi:type="dcterms:W3CDTF">2015-05-28T10:35:00Z</dcterms:created>
  <dcterms:modified xsi:type="dcterms:W3CDTF">2016-04-04T16:13:00Z</dcterms:modified>
</cp:coreProperties>
</file>