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FBFEA" w14:textId="4C893148" w:rsidR="00310F7F" w:rsidRPr="00B8397D" w:rsidRDefault="00B8397D" w:rsidP="008E4CCE">
      <w:pPr>
        <w:pStyle w:val="H1"/>
        <w:rPr>
          <w:lang w:val="fr-FR"/>
        </w:rPr>
      </w:pPr>
      <w:r w:rsidRPr="00B8397D">
        <w:rPr>
          <w:lang w:val="fr-FR"/>
        </w:rPr>
        <w:t xml:space="preserve">Feuille de route pour l’évaluation rapide </w:t>
      </w:r>
      <w:r w:rsidR="0097352B">
        <w:rPr>
          <w:lang w:val="fr-FR"/>
        </w:rPr>
        <w:t>de</w:t>
      </w:r>
      <w:r w:rsidR="003B281D">
        <w:rPr>
          <w:lang w:val="fr-FR"/>
        </w:rPr>
        <w:t>s</w:t>
      </w:r>
      <w:r>
        <w:rPr>
          <w:lang w:val="fr-FR"/>
        </w:rPr>
        <w:t xml:space="preserve"> marché</w:t>
      </w:r>
      <w:r w:rsidR="003B281D">
        <w:rPr>
          <w:lang w:val="fr-FR"/>
        </w:rPr>
        <w:t>s</w:t>
      </w:r>
    </w:p>
    <w:p w14:paraId="0D3251E5" w14:textId="6A78408B" w:rsidR="00E66A9A" w:rsidRPr="00AE1D59" w:rsidRDefault="002C0D9E" w:rsidP="002A6C7E">
      <w:pPr>
        <w:ind w:left="-170"/>
        <w:rPr>
          <w:sz w:val="22"/>
        </w:rPr>
      </w:pPr>
      <w:r>
        <w:rPr>
          <w:sz w:val="22"/>
        </w:rPr>
        <w:pict w14:anchorId="62340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8pt;height:248.85pt">
            <v:imagedata r:id="rId9" o:title="02-Assessment-rodmap-EN3"/>
          </v:shape>
        </w:pict>
      </w:r>
    </w:p>
    <w:p w14:paraId="49B0E027" w14:textId="730665B0" w:rsidR="00C83F9A" w:rsidRPr="008C0651" w:rsidRDefault="00E66A9A" w:rsidP="002A6C7E">
      <w:pPr>
        <w:pStyle w:val="Heading2"/>
        <w:rPr>
          <w:lang w:val="fr-FR"/>
        </w:rPr>
      </w:pPr>
      <w:r w:rsidRPr="008C0651">
        <w:rPr>
          <w:lang w:val="fr-FR"/>
        </w:rPr>
        <w:t>INTRODUCTION</w:t>
      </w:r>
    </w:p>
    <w:p w14:paraId="5D4A3A43" w14:textId="761BB380" w:rsidR="00C83F9A" w:rsidRPr="008C0651" w:rsidRDefault="00B8397D" w:rsidP="00AD6302">
      <w:pPr>
        <w:rPr>
          <w:lang w:val="fr-FR"/>
        </w:rPr>
      </w:pPr>
      <w:r w:rsidRPr="00DC6C32">
        <w:rPr>
          <w:lang w:val="fr-FR"/>
        </w:rPr>
        <w:t>Dans les situations d’urgence, les évaluations de</w:t>
      </w:r>
      <w:r w:rsidR="003B281D">
        <w:rPr>
          <w:lang w:val="fr-FR"/>
        </w:rPr>
        <w:t>s</w:t>
      </w:r>
      <w:r w:rsidRPr="00DC6C32">
        <w:rPr>
          <w:lang w:val="fr-FR"/>
        </w:rPr>
        <w:t xml:space="preserve"> marché</w:t>
      </w:r>
      <w:r w:rsidR="003B281D">
        <w:rPr>
          <w:lang w:val="fr-FR"/>
        </w:rPr>
        <w:t>s</w:t>
      </w:r>
      <w:r w:rsidRPr="00DC6C32">
        <w:rPr>
          <w:lang w:val="fr-FR"/>
        </w:rPr>
        <w:t xml:space="preserve"> peuvent aider à </w:t>
      </w:r>
      <w:r w:rsidR="00DC6C32" w:rsidRPr="00DC6C32">
        <w:rPr>
          <w:lang w:val="fr-FR"/>
        </w:rPr>
        <w:t>déterminer</w:t>
      </w:r>
      <w:r w:rsidRPr="00DC6C32">
        <w:rPr>
          <w:lang w:val="fr-FR"/>
        </w:rPr>
        <w:t xml:space="preserve"> la capacité </w:t>
      </w:r>
      <w:r w:rsidR="003B281D">
        <w:rPr>
          <w:lang w:val="fr-FR"/>
        </w:rPr>
        <w:t>des</w:t>
      </w:r>
      <w:r w:rsidRPr="00DC6C32">
        <w:rPr>
          <w:lang w:val="fr-FR"/>
        </w:rPr>
        <w:t xml:space="preserve"> marché</w:t>
      </w:r>
      <w:r w:rsidR="003B281D">
        <w:rPr>
          <w:lang w:val="fr-FR"/>
        </w:rPr>
        <w:t>s</w:t>
      </w:r>
      <w:r w:rsidRPr="00DC6C32">
        <w:rPr>
          <w:lang w:val="fr-FR"/>
        </w:rPr>
        <w:t xml:space="preserve"> </w:t>
      </w:r>
      <w:r w:rsidR="003D61E6">
        <w:rPr>
          <w:lang w:val="fr-FR"/>
        </w:rPr>
        <w:t>de</w:t>
      </w:r>
      <w:r w:rsidRPr="00DC6C32">
        <w:rPr>
          <w:lang w:val="fr-FR"/>
        </w:rPr>
        <w:t xml:space="preserve"> </w:t>
      </w:r>
      <w:r w:rsidR="00DC6C32" w:rsidRPr="00DC6C32">
        <w:rPr>
          <w:lang w:val="fr-FR"/>
        </w:rPr>
        <w:t>répondre à la demande de la population touché</w:t>
      </w:r>
      <w:r w:rsidR="00DC6C32">
        <w:rPr>
          <w:lang w:val="fr-FR"/>
        </w:rPr>
        <w:t>e en produits de base et services prioritaires</w:t>
      </w:r>
      <w:r w:rsidR="00B95393" w:rsidRPr="00DC6C32">
        <w:rPr>
          <w:lang w:val="fr-FR"/>
        </w:rPr>
        <w:t xml:space="preserve">. </w:t>
      </w:r>
      <w:r w:rsidR="00DC6C32" w:rsidRPr="00DC6C32">
        <w:rPr>
          <w:lang w:val="fr-FR"/>
        </w:rPr>
        <w:t xml:space="preserve">Elles peuvent aussi vous aider à évaluer les </w:t>
      </w:r>
      <w:r w:rsidR="00DC6C32">
        <w:rPr>
          <w:lang w:val="fr-FR"/>
        </w:rPr>
        <w:t>effets négatifs</w:t>
      </w:r>
      <w:r w:rsidR="00DC6C32" w:rsidRPr="00DC6C32">
        <w:rPr>
          <w:lang w:val="fr-FR"/>
        </w:rPr>
        <w:t xml:space="preserve"> </w:t>
      </w:r>
      <w:r w:rsidR="00AD6302">
        <w:rPr>
          <w:lang w:val="fr-FR"/>
        </w:rPr>
        <w:t xml:space="preserve">qu’une </w:t>
      </w:r>
      <w:r w:rsidR="00DC6C32" w:rsidRPr="00DC6C32">
        <w:rPr>
          <w:lang w:val="fr-FR"/>
        </w:rPr>
        <w:t>intervention</w:t>
      </w:r>
      <w:r w:rsidR="00AD6302">
        <w:rPr>
          <w:lang w:val="fr-FR"/>
        </w:rPr>
        <w:t xml:space="preserve"> pourrait avoir</w:t>
      </w:r>
      <w:r w:rsidR="00DC6C32" w:rsidRPr="00DC6C32">
        <w:rPr>
          <w:lang w:val="fr-FR"/>
        </w:rPr>
        <w:t xml:space="preserve"> </w:t>
      </w:r>
      <w:r w:rsidR="00DC6C32">
        <w:rPr>
          <w:lang w:val="fr-FR"/>
        </w:rPr>
        <w:t>et à déterminer comment favoriser le relèvement.</w:t>
      </w:r>
      <w:r w:rsidR="00973CD7" w:rsidRPr="00DC6C32">
        <w:rPr>
          <w:lang w:val="fr-FR"/>
        </w:rPr>
        <w:t xml:space="preserve"> </w:t>
      </w:r>
      <w:r w:rsidR="00DC6C32" w:rsidRPr="0057544E">
        <w:rPr>
          <w:lang w:val="fr-FR"/>
        </w:rPr>
        <w:t xml:space="preserve">Cette feuille de route vous guidera tout au long du processus d’évaluation </w:t>
      </w:r>
      <w:r w:rsidR="0057544E" w:rsidRPr="0057544E">
        <w:rPr>
          <w:lang w:val="fr-FR"/>
        </w:rPr>
        <w:t xml:space="preserve">rapide </w:t>
      </w:r>
      <w:r w:rsidR="003B281D">
        <w:rPr>
          <w:lang w:val="fr-FR"/>
        </w:rPr>
        <w:t>des</w:t>
      </w:r>
      <w:r w:rsidR="0057544E" w:rsidRPr="0057544E">
        <w:rPr>
          <w:lang w:val="fr-FR"/>
        </w:rPr>
        <w:t xml:space="preserve"> marché</w:t>
      </w:r>
      <w:r w:rsidR="003B281D">
        <w:rPr>
          <w:lang w:val="fr-FR"/>
        </w:rPr>
        <w:t>s</w:t>
      </w:r>
      <w:r w:rsidR="0057544E">
        <w:rPr>
          <w:lang w:val="fr-FR"/>
        </w:rPr>
        <w:t xml:space="preserve"> que vous mènerez</w:t>
      </w:r>
      <w:r w:rsidR="0057544E" w:rsidRPr="0057544E">
        <w:rPr>
          <w:lang w:val="fr-FR"/>
        </w:rPr>
        <w:t xml:space="preserve"> après </w:t>
      </w:r>
      <w:r w:rsidR="0057544E">
        <w:rPr>
          <w:lang w:val="fr-FR"/>
        </w:rPr>
        <w:t>un</w:t>
      </w:r>
      <w:r w:rsidR="0057544E" w:rsidRPr="0057544E">
        <w:rPr>
          <w:lang w:val="fr-FR"/>
        </w:rPr>
        <w:t xml:space="preserve"> choc.</w:t>
      </w:r>
      <w:r w:rsidR="0057544E">
        <w:rPr>
          <w:lang w:val="fr-FR"/>
        </w:rPr>
        <w:t xml:space="preserve"> </w:t>
      </w:r>
    </w:p>
    <w:p w14:paraId="1A6E606A" w14:textId="61D9D43B" w:rsidR="00681C45" w:rsidRPr="002C6F26" w:rsidRDefault="008E62FF" w:rsidP="00AD6302">
      <w:pPr>
        <w:rPr>
          <w:lang w:val="fr-FR"/>
        </w:rPr>
      </w:pPr>
      <w:r>
        <w:rPr>
          <w:lang w:val="fr-FR"/>
        </w:rPr>
        <w:t>Pour les besoins de la B</w:t>
      </w:r>
      <w:r w:rsidR="002C6F26" w:rsidRPr="002C6F26">
        <w:rPr>
          <w:lang w:val="fr-FR"/>
        </w:rPr>
        <w:t xml:space="preserve">oîte à outils, le processus d’évaluation rapide </w:t>
      </w:r>
      <w:r w:rsidR="003B281D">
        <w:rPr>
          <w:lang w:val="fr-FR"/>
        </w:rPr>
        <w:t>des</w:t>
      </w:r>
      <w:r w:rsidR="002C6F26" w:rsidRPr="002C6F26">
        <w:rPr>
          <w:lang w:val="fr-FR"/>
        </w:rPr>
        <w:t xml:space="preserve"> marché</w:t>
      </w:r>
      <w:r w:rsidR="003B281D">
        <w:rPr>
          <w:lang w:val="fr-FR"/>
        </w:rPr>
        <w:t>s</w:t>
      </w:r>
      <w:r w:rsidR="002C6F26" w:rsidRPr="002C6F26">
        <w:rPr>
          <w:lang w:val="fr-FR"/>
        </w:rPr>
        <w:t xml:space="preserve"> a été divisé en trois étapes</w:t>
      </w:r>
      <w:r w:rsidR="00AD6302">
        <w:rPr>
          <w:lang w:val="fr-FR"/>
        </w:rPr>
        <w:t xml:space="preserve"> subsidiaires</w:t>
      </w:r>
      <w:r w:rsidR="002C6F26" w:rsidRPr="002C6F26">
        <w:rPr>
          <w:lang w:val="fr-FR"/>
        </w:rPr>
        <w:t>.</w:t>
      </w:r>
      <w:r w:rsidR="00334FBB">
        <w:rPr>
          <w:lang w:val="fr-FR"/>
        </w:rPr>
        <w:t xml:space="preserve"> La première vous aide</w:t>
      </w:r>
      <w:r w:rsidR="002C6F26">
        <w:rPr>
          <w:lang w:val="fr-FR"/>
        </w:rPr>
        <w:t xml:space="preserve"> à sélectionner les produits de base et les marchés </w:t>
      </w:r>
      <w:r w:rsidR="00334FBB">
        <w:rPr>
          <w:lang w:val="fr-FR"/>
        </w:rPr>
        <w:t>qui doivent être évalués</w:t>
      </w:r>
      <w:r w:rsidR="002C6F26">
        <w:rPr>
          <w:lang w:val="fr-FR"/>
        </w:rPr>
        <w:t>.</w:t>
      </w:r>
      <w:r w:rsidR="00351033" w:rsidRPr="002C6F26">
        <w:rPr>
          <w:lang w:val="fr-FR"/>
        </w:rPr>
        <w:t xml:space="preserve"> </w:t>
      </w:r>
      <w:r w:rsidR="002C6F26">
        <w:rPr>
          <w:lang w:val="fr-FR"/>
        </w:rPr>
        <w:t>La deuxième facilite la collecte et la consolidation des informations</w:t>
      </w:r>
      <w:r w:rsidR="000418DB">
        <w:rPr>
          <w:lang w:val="fr-FR"/>
        </w:rPr>
        <w:t xml:space="preserve"> </w:t>
      </w:r>
      <w:r w:rsidR="00334FBB">
        <w:rPr>
          <w:lang w:val="fr-FR"/>
        </w:rPr>
        <w:t>pertinentes</w:t>
      </w:r>
      <w:r w:rsidR="002C6F26">
        <w:rPr>
          <w:lang w:val="fr-FR"/>
        </w:rPr>
        <w:t xml:space="preserve"> </w:t>
      </w:r>
      <w:r w:rsidR="00AD6302">
        <w:rPr>
          <w:lang w:val="fr-FR"/>
        </w:rPr>
        <w:t>collectées</w:t>
      </w:r>
      <w:r w:rsidR="000418DB">
        <w:rPr>
          <w:lang w:val="fr-FR"/>
        </w:rPr>
        <w:t xml:space="preserve"> sur les</w:t>
      </w:r>
      <w:r w:rsidR="002C6F26">
        <w:rPr>
          <w:lang w:val="fr-FR"/>
        </w:rPr>
        <w:t xml:space="preserve"> marchés sélectionnés. </w:t>
      </w:r>
      <w:r w:rsidR="002C6F26" w:rsidRPr="002C6F26">
        <w:rPr>
          <w:lang w:val="fr-FR"/>
        </w:rPr>
        <w:t>La troisième étape</w:t>
      </w:r>
      <w:r w:rsidR="00AD6302">
        <w:rPr>
          <w:lang w:val="fr-FR"/>
        </w:rPr>
        <w:t xml:space="preserve"> subsidiaire</w:t>
      </w:r>
      <w:r w:rsidR="002C6F26" w:rsidRPr="002C6F26">
        <w:rPr>
          <w:lang w:val="fr-FR"/>
        </w:rPr>
        <w:t xml:space="preserve"> guide votre analyse et vous aide à tirer des conclusions quant à la capacité </w:t>
      </w:r>
      <w:r w:rsidR="003B281D">
        <w:rPr>
          <w:lang w:val="fr-FR"/>
        </w:rPr>
        <w:t>des</w:t>
      </w:r>
      <w:r w:rsidR="002C6F26" w:rsidRPr="002C6F26">
        <w:rPr>
          <w:lang w:val="fr-FR"/>
        </w:rPr>
        <w:t xml:space="preserve"> marché</w:t>
      </w:r>
      <w:r w:rsidR="003B281D">
        <w:rPr>
          <w:lang w:val="fr-FR"/>
        </w:rPr>
        <w:t>s</w:t>
      </w:r>
      <w:r w:rsidR="002C6F26" w:rsidRPr="002C6F26">
        <w:rPr>
          <w:lang w:val="fr-FR"/>
        </w:rPr>
        <w:t>.</w:t>
      </w:r>
    </w:p>
    <w:p w14:paraId="21941621" w14:textId="5E0E8EA4" w:rsidR="00C83F9A" w:rsidRPr="0071194B" w:rsidRDefault="002C6F26" w:rsidP="00AD6302">
      <w:pPr>
        <w:rPr>
          <w:rFonts w:cs="O¯øœ!Ÿ"/>
          <w:lang w:val="fr-FR"/>
        </w:rPr>
      </w:pPr>
      <w:r w:rsidRPr="002C6F26">
        <w:rPr>
          <w:lang w:val="fr-FR"/>
        </w:rPr>
        <w:t>Le processus et les outil</w:t>
      </w:r>
      <w:r w:rsidR="008F055D">
        <w:rPr>
          <w:lang w:val="fr-FR"/>
        </w:rPr>
        <w:t xml:space="preserve">s </w:t>
      </w:r>
      <w:r w:rsidR="00AD6302">
        <w:rPr>
          <w:lang w:val="fr-FR"/>
        </w:rPr>
        <w:t>proposées</w:t>
      </w:r>
      <w:r w:rsidR="008F055D">
        <w:rPr>
          <w:lang w:val="fr-FR"/>
        </w:rPr>
        <w:t xml:space="preserve"> ici sont tiré</w:t>
      </w:r>
      <w:r w:rsidRPr="002C6F26">
        <w:rPr>
          <w:lang w:val="fr-FR"/>
        </w:rPr>
        <w:t xml:space="preserve">s </w:t>
      </w:r>
      <w:r>
        <w:rPr>
          <w:lang w:val="fr-FR"/>
        </w:rPr>
        <w:t>des Lignes directrices pour l’évaluation rapide des marchés</w:t>
      </w:r>
      <w:r w:rsidR="00681C45" w:rsidRPr="00681C45">
        <w:rPr>
          <w:rStyle w:val="FootnoteReference"/>
          <w:sz w:val="22"/>
          <w:szCs w:val="22"/>
        </w:rPr>
        <w:footnoteReference w:id="1"/>
      </w:r>
      <w:r w:rsidR="00C93C39" w:rsidRPr="002C6F26">
        <w:rPr>
          <w:lang w:val="fr-FR"/>
        </w:rPr>
        <w:t xml:space="preserve">. </w:t>
      </w:r>
      <w:r>
        <w:rPr>
          <w:lang w:val="fr-FR"/>
        </w:rPr>
        <w:t xml:space="preserve">Vous pouvez suivre ces lignes directrices, si le temps et les ressources disponibles vous le permettent, ou </w:t>
      </w:r>
      <w:r w:rsidR="00FF24AD">
        <w:rPr>
          <w:lang w:val="fr-FR"/>
        </w:rPr>
        <w:t xml:space="preserve">utiliser une autre méthode </w:t>
      </w:r>
      <w:r w:rsidR="008F055D">
        <w:rPr>
          <w:lang w:val="fr-FR"/>
        </w:rPr>
        <w:t xml:space="preserve">approfondie, telle que </w:t>
      </w:r>
      <w:r w:rsidR="00EE78C1">
        <w:rPr>
          <w:lang w:val="fr-FR"/>
        </w:rPr>
        <w:t xml:space="preserve">les </w:t>
      </w:r>
      <w:r w:rsidR="00FF24AD">
        <w:rPr>
          <w:rFonts w:cs="Arial"/>
          <w:lang w:val="fr-FR"/>
        </w:rPr>
        <w:t>Lignes directrices</w:t>
      </w:r>
      <w:r w:rsidR="00EE78C1" w:rsidRPr="008F055D">
        <w:rPr>
          <w:rFonts w:cs="Arial"/>
          <w:lang w:val="fr-FR"/>
        </w:rPr>
        <w:t xml:space="preserve"> pour </w:t>
      </w:r>
      <w:r w:rsidR="00FF24AD">
        <w:rPr>
          <w:rFonts w:cs="Arial"/>
          <w:lang w:val="fr-FR"/>
        </w:rPr>
        <w:t>l’analyse</w:t>
      </w:r>
      <w:r w:rsidR="00EE78C1" w:rsidRPr="008F055D">
        <w:rPr>
          <w:rFonts w:cs="Arial"/>
          <w:lang w:val="fr-FR"/>
        </w:rPr>
        <w:t xml:space="preserve"> des march</w:t>
      </w:r>
      <w:r w:rsidR="00EE78C1">
        <w:rPr>
          <w:rFonts w:cs="Arial"/>
          <w:lang w:val="fr-FR"/>
        </w:rPr>
        <w:t>é</w:t>
      </w:r>
      <w:r w:rsidR="00EE78C1" w:rsidRPr="008F055D">
        <w:rPr>
          <w:rFonts w:cs="Arial"/>
          <w:lang w:val="fr-FR"/>
        </w:rPr>
        <w:t>s</w:t>
      </w:r>
      <w:r w:rsidR="00FF24AD">
        <w:rPr>
          <w:rFonts w:cs="Arial"/>
          <w:lang w:val="fr-FR"/>
        </w:rPr>
        <w:t xml:space="preserve"> dans le cycle d’un projet (MAG)</w:t>
      </w:r>
      <w:r w:rsidR="00EE78C1">
        <w:rPr>
          <w:rFonts w:cs="Arial"/>
          <w:lang w:val="fr-FR"/>
        </w:rPr>
        <w:t xml:space="preserve"> ou </w:t>
      </w:r>
      <w:r w:rsidR="00FF24AD">
        <w:rPr>
          <w:rFonts w:cs="Arial"/>
          <w:lang w:val="fr-FR"/>
        </w:rPr>
        <w:t xml:space="preserve">le Guide pratique pour la cartographie et l’analyse des marchés dans le cycle d’un projet (EMMA). </w:t>
      </w:r>
      <w:r w:rsidR="00FF24AD" w:rsidRPr="0071194B">
        <w:rPr>
          <w:rFonts w:cs="Arial"/>
          <w:lang w:val="fr-FR"/>
        </w:rPr>
        <w:t xml:space="preserve">Vous trouverez </w:t>
      </w:r>
      <w:r w:rsidR="0071194B" w:rsidRPr="0071194B">
        <w:rPr>
          <w:rFonts w:cs="Arial"/>
          <w:lang w:val="fr-FR"/>
        </w:rPr>
        <w:t xml:space="preserve">ces outils ainsi que d’autres méthodes </w:t>
      </w:r>
      <w:r w:rsidR="00DF7161">
        <w:rPr>
          <w:rFonts w:cs="Arial"/>
          <w:lang w:val="fr-FR"/>
        </w:rPr>
        <w:t>d’évaluation</w:t>
      </w:r>
      <w:r w:rsidR="0071194B" w:rsidRPr="0071194B">
        <w:rPr>
          <w:rFonts w:cs="Arial"/>
          <w:lang w:val="fr-FR"/>
        </w:rPr>
        <w:t xml:space="preserve"> de</w:t>
      </w:r>
      <w:r w:rsidR="00DF7161">
        <w:rPr>
          <w:rFonts w:cs="Arial"/>
          <w:lang w:val="fr-FR"/>
        </w:rPr>
        <w:t>s</w:t>
      </w:r>
      <w:r w:rsidR="0071194B" w:rsidRPr="0071194B">
        <w:rPr>
          <w:rFonts w:cs="Arial"/>
          <w:lang w:val="fr-FR"/>
        </w:rPr>
        <w:t xml:space="preserve"> marché</w:t>
      </w:r>
      <w:r w:rsidR="00DF7161">
        <w:rPr>
          <w:rFonts w:cs="Arial"/>
          <w:lang w:val="fr-FR"/>
        </w:rPr>
        <w:t>s</w:t>
      </w:r>
      <w:r w:rsidR="0071194B" w:rsidRPr="0071194B">
        <w:rPr>
          <w:rFonts w:cs="Arial"/>
          <w:lang w:val="fr-FR"/>
        </w:rPr>
        <w:t xml:space="preserve"> </w:t>
      </w:r>
      <w:r w:rsidR="0071194B">
        <w:rPr>
          <w:rFonts w:cs="Arial"/>
          <w:lang w:val="fr-FR"/>
        </w:rPr>
        <w:t>dans les documents de référence indiqués à la fin de la feuille de route.</w:t>
      </w:r>
    </w:p>
    <w:p w14:paraId="4E297FEC" w14:textId="3E7559F7" w:rsidR="00E66A9A" w:rsidRPr="007E00C6" w:rsidRDefault="0071194B" w:rsidP="0071194B">
      <w:pPr>
        <w:pStyle w:val="Heading2"/>
        <w:keepLines/>
      </w:pPr>
      <w:r>
        <w:lastRenderedPageBreak/>
        <w:t>NORMES MINIMALES</w:t>
      </w:r>
    </w:p>
    <w:p w14:paraId="4B831A6C" w14:textId="3AFFE979" w:rsidR="002A7A1F" w:rsidRPr="0071194B" w:rsidRDefault="0071194B" w:rsidP="009356EE">
      <w:pPr>
        <w:pStyle w:val="Bullet1"/>
        <w:keepNext/>
        <w:keepLines/>
        <w:rPr>
          <w:lang w:val="fr-FR"/>
        </w:rPr>
      </w:pPr>
      <w:r w:rsidRPr="0071194B">
        <w:rPr>
          <w:lang w:val="fr-FR"/>
        </w:rPr>
        <w:t xml:space="preserve">Concentrez-vous sur les produits de base, les services et les marchés qui répondent aux besoins prioritaires </w:t>
      </w:r>
      <w:r>
        <w:rPr>
          <w:lang w:val="fr-FR"/>
        </w:rPr>
        <w:t>des ménages et leur permettent de renforcer leurs moyens de subsistance.</w:t>
      </w:r>
    </w:p>
    <w:p w14:paraId="73C041DD" w14:textId="0BF855F4" w:rsidR="00387C2A" w:rsidRPr="009356EE" w:rsidRDefault="009356EE" w:rsidP="00DF7161">
      <w:pPr>
        <w:pStyle w:val="Bullet1"/>
        <w:keepNext/>
        <w:keepLines/>
        <w:rPr>
          <w:lang w:val="fr-FR"/>
        </w:rPr>
      </w:pPr>
      <w:r w:rsidRPr="009356EE">
        <w:rPr>
          <w:lang w:val="fr-FR"/>
        </w:rPr>
        <w:t>Fondez votre analyse sur des données secondaires</w:t>
      </w:r>
      <w:r>
        <w:rPr>
          <w:lang w:val="fr-FR"/>
        </w:rPr>
        <w:t xml:space="preserve"> et</w:t>
      </w:r>
      <w:r w:rsidRPr="009356EE">
        <w:rPr>
          <w:lang w:val="fr-FR"/>
        </w:rPr>
        <w:t xml:space="preserve"> des informations </w:t>
      </w:r>
      <w:r>
        <w:rPr>
          <w:lang w:val="fr-FR"/>
        </w:rPr>
        <w:t xml:space="preserve">de première main collectées auprès de la population touchée et d’autres </w:t>
      </w:r>
      <w:r w:rsidR="00DF7161">
        <w:rPr>
          <w:lang w:val="fr-FR"/>
        </w:rPr>
        <w:t>informateurs</w:t>
      </w:r>
      <w:r>
        <w:rPr>
          <w:lang w:val="fr-FR"/>
        </w:rPr>
        <w:t xml:space="preserve"> clés </w:t>
      </w:r>
      <w:r w:rsidR="00DF7161">
        <w:rPr>
          <w:lang w:val="fr-FR"/>
        </w:rPr>
        <w:t>des</w:t>
      </w:r>
      <w:r>
        <w:rPr>
          <w:lang w:val="fr-FR"/>
        </w:rPr>
        <w:t xml:space="preserve"> marché</w:t>
      </w:r>
      <w:r w:rsidR="00DF7161">
        <w:rPr>
          <w:lang w:val="fr-FR"/>
        </w:rPr>
        <w:t>s</w:t>
      </w:r>
      <w:r>
        <w:rPr>
          <w:lang w:val="fr-FR"/>
        </w:rPr>
        <w:t>.</w:t>
      </w:r>
      <w:r w:rsidR="00387C2A" w:rsidRPr="009356EE">
        <w:rPr>
          <w:lang w:val="fr-FR"/>
        </w:rPr>
        <w:t xml:space="preserve"> </w:t>
      </w:r>
    </w:p>
    <w:p w14:paraId="6B3D3D14" w14:textId="3B2CD447" w:rsidR="00234CB3" w:rsidRPr="009356EE" w:rsidRDefault="009356EE" w:rsidP="009356EE">
      <w:pPr>
        <w:pStyle w:val="Bullet1"/>
        <w:keepNext/>
        <w:keepLines/>
        <w:rPr>
          <w:lang w:val="fr-FR"/>
        </w:rPr>
      </w:pPr>
      <w:r w:rsidRPr="009356EE">
        <w:rPr>
          <w:lang w:val="fr-FR"/>
        </w:rPr>
        <w:t>Recoupez les informations p</w:t>
      </w:r>
      <w:r>
        <w:rPr>
          <w:lang w:val="fr-FR"/>
        </w:rPr>
        <w:t>rovenant de différentes sources</w:t>
      </w:r>
      <w:r w:rsidR="00334FBB">
        <w:rPr>
          <w:lang w:val="fr-FR"/>
        </w:rPr>
        <w:t>.</w:t>
      </w:r>
    </w:p>
    <w:p w14:paraId="57EA9D74" w14:textId="66C8E631" w:rsidR="00D06CD4" w:rsidRPr="00E119AB" w:rsidRDefault="00BB6172" w:rsidP="00F90D88">
      <w:pPr>
        <w:pStyle w:val="Bullet1"/>
        <w:rPr>
          <w:lang w:val="fr-FR"/>
        </w:rPr>
      </w:pPr>
      <w:r w:rsidRPr="00F90D88">
        <w:rPr>
          <w:lang w:val="fr-FR"/>
        </w:rPr>
        <w:t xml:space="preserve">Consulter le département de la logistique, étant donné qu’il </w:t>
      </w:r>
      <w:r w:rsidR="00F90D88">
        <w:rPr>
          <w:lang w:val="fr-FR"/>
        </w:rPr>
        <w:t>a</w:t>
      </w:r>
      <w:r w:rsidR="00F90D88" w:rsidRPr="00F90D88">
        <w:rPr>
          <w:lang w:val="fr-FR"/>
        </w:rPr>
        <w:t xml:space="preserve"> généralement de bonnes connaissances des marchés locaux et l’habitude </w:t>
      </w:r>
      <w:r w:rsidR="00F90D88">
        <w:rPr>
          <w:lang w:val="fr-FR"/>
        </w:rPr>
        <w:t>de traiter avec les négociants.</w:t>
      </w:r>
      <w:r w:rsidR="002D522A" w:rsidRPr="00F90D88">
        <w:rPr>
          <w:lang w:val="fr-FR"/>
        </w:rPr>
        <w:t xml:space="preserve"> </w:t>
      </w:r>
    </w:p>
    <w:p w14:paraId="1BB77B59" w14:textId="70B74554" w:rsidR="002A7A1F" w:rsidRPr="00F90D88" w:rsidRDefault="00F90D88" w:rsidP="00F90D88">
      <w:pPr>
        <w:pStyle w:val="Bullet1"/>
        <w:rPr>
          <w:lang w:val="fr-FR"/>
        </w:rPr>
      </w:pPr>
      <w:r w:rsidRPr="00F90D88">
        <w:rPr>
          <w:lang w:val="fr-FR"/>
        </w:rPr>
        <w:t xml:space="preserve">Utilisez des cartes pour représenter graphiquement la manière dont les marchés sont organisés et l’impact que le choc a eu sur eux. </w:t>
      </w:r>
    </w:p>
    <w:p w14:paraId="0EDE036B" w14:textId="14814A42" w:rsidR="00C53138" w:rsidRPr="00F90D88" w:rsidRDefault="00F90D88" w:rsidP="00CE1B10">
      <w:pPr>
        <w:pStyle w:val="Bullet1"/>
        <w:rPr>
          <w:rFonts w:cs="Times"/>
          <w:lang w:val="fr-FR"/>
        </w:rPr>
      </w:pPr>
      <w:r w:rsidRPr="00F90D88">
        <w:rPr>
          <w:rFonts w:cs="Gill Sans"/>
          <w:lang w:val="fr-FR"/>
        </w:rPr>
        <w:t xml:space="preserve">Lorsque vous tirez des conclusions </w:t>
      </w:r>
      <w:r>
        <w:rPr>
          <w:rFonts w:cs="Gill Sans"/>
          <w:lang w:val="fr-FR"/>
        </w:rPr>
        <w:t>ou</w:t>
      </w:r>
      <w:r w:rsidRPr="00F90D88">
        <w:rPr>
          <w:rFonts w:cs="Gill Sans"/>
          <w:lang w:val="fr-FR"/>
        </w:rPr>
        <w:t xml:space="preserve"> formulez des recommandations, indiquez clairement les </w:t>
      </w:r>
      <w:r>
        <w:rPr>
          <w:rFonts w:cs="Gill Sans"/>
          <w:lang w:val="fr-FR"/>
        </w:rPr>
        <w:t xml:space="preserve">éléments (y compris les risques) sur </w:t>
      </w:r>
      <w:r w:rsidR="00AD6302">
        <w:rPr>
          <w:rFonts w:cs="Gill Sans"/>
          <w:lang w:val="fr-FR"/>
        </w:rPr>
        <w:t>lesquel</w:t>
      </w:r>
      <w:r w:rsidR="002A2661">
        <w:rPr>
          <w:rFonts w:cs="Gill Sans"/>
          <w:lang w:val="fr-FR"/>
        </w:rPr>
        <w:t xml:space="preserve">s </w:t>
      </w:r>
      <w:r w:rsidR="00094534">
        <w:rPr>
          <w:rFonts w:cs="Gill Sans"/>
          <w:lang w:val="fr-FR"/>
        </w:rPr>
        <w:t>elles</w:t>
      </w:r>
      <w:r>
        <w:rPr>
          <w:rFonts w:cs="Gill Sans"/>
          <w:lang w:val="fr-FR"/>
        </w:rPr>
        <w:t xml:space="preserve"> </w:t>
      </w:r>
      <w:r w:rsidR="00CE1B10">
        <w:rPr>
          <w:rFonts w:cs="Gill Sans"/>
          <w:lang w:val="fr-FR"/>
        </w:rPr>
        <w:t>s’appuient</w:t>
      </w:r>
      <w:r>
        <w:rPr>
          <w:rFonts w:cs="Gill Sans"/>
          <w:lang w:val="fr-FR"/>
        </w:rPr>
        <w:t>.</w:t>
      </w:r>
      <w:r w:rsidR="00BE5227" w:rsidRPr="00F90D88">
        <w:rPr>
          <w:rFonts w:cs="Gill Sans"/>
          <w:lang w:val="fr-FR"/>
        </w:rPr>
        <w:t xml:space="preserve"> </w:t>
      </w:r>
    </w:p>
    <w:p w14:paraId="36BC10D5" w14:textId="13ECFA42" w:rsidR="00A22FB8" w:rsidRPr="0097352B" w:rsidRDefault="0097352B" w:rsidP="0097352B">
      <w:pPr>
        <w:pStyle w:val="Heading2"/>
        <w:rPr>
          <w:lang w:val="fr-FR"/>
        </w:rPr>
      </w:pPr>
      <w:r w:rsidRPr="0097352B">
        <w:rPr>
          <w:lang w:val="fr-FR"/>
        </w:rPr>
        <w:t>ÉTAPES</w:t>
      </w:r>
      <w:r w:rsidR="00AD6302">
        <w:rPr>
          <w:lang w:val="fr-FR"/>
        </w:rPr>
        <w:t xml:space="preserve"> SUBSIDIAIRES</w:t>
      </w:r>
      <w:r w:rsidRPr="0097352B">
        <w:rPr>
          <w:lang w:val="fr-FR"/>
        </w:rPr>
        <w:t xml:space="preserve"> ET OUTILS</w:t>
      </w:r>
    </w:p>
    <w:p w14:paraId="1F69763B" w14:textId="72E5174F" w:rsidR="00681C45" w:rsidRPr="0097352B" w:rsidRDefault="0097352B" w:rsidP="00DE682D">
      <w:pPr>
        <w:pStyle w:val="Heading3"/>
        <w:rPr>
          <w:rFonts w:cs="O¯øœ!Ÿ"/>
          <w:szCs w:val="22"/>
          <w:lang w:val="fr-FR"/>
        </w:rPr>
      </w:pPr>
      <w:r w:rsidRPr="0097352B">
        <w:rPr>
          <w:lang w:val="fr-FR"/>
        </w:rPr>
        <w:t xml:space="preserve">Identifier les produits de base et </w:t>
      </w:r>
      <w:r w:rsidR="00DE682D">
        <w:rPr>
          <w:lang w:val="fr-FR"/>
        </w:rPr>
        <w:t xml:space="preserve">les </w:t>
      </w:r>
      <w:r w:rsidRPr="0097352B">
        <w:rPr>
          <w:lang w:val="fr-FR"/>
        </w:rPr>
        <w:t>marchés</w:t>
      </w:r>
      <w:r w:rsidR="00681C45" w:rsidRPr="0097352B">
        <w:rPr>
          <w:lang w:val="fr-FR"/>
        </w:rPr>
        <w:t xml:space="preserve"> </w:t>
      </w:r>
      <w:r w:rsidR="00DE682D">
        <w:rPr>
          <w:lang w:val="fr-FR"/>
        </w:rPr>
        <w:t>clés</w:t>
      </w:r>
    </w:p>
    <w:p w14:paraId="0A0C89B9" w14:textId="23398B5A" w:rsidR="00EE180B" w:rsidRPr="00396C88" w:rsidRDefault="00537734" w:rsidP="002C0D9E">
      <w:pPr>
        <w:rPr>
          <w:lang w:val="fr-FR"/>
        </w:rPr>
      </w:pPr>
      <w:r w:rsidRPr="00537734">
        <w:rPr>
          <w:lang w:val="fr-FR"/>
        </w:rPr>
        <w:t xml:space="preserve">Effectuer une analyse rapide des marchés au lendemain d’un choc peut être difficile, la situation </w:t>
      </w:r>
      <w:r>
        <w:rPr>
          <w:lang w:val="fr-FR"/>
        </w:rPr>
        <w:t>ayant tendance</w:t>
      </w:r>
      <w:r w:rsidRPr="00537734">
        <w:rPr>
          <w:lang w:val="fr-FR"/>
        </w:rPr>
        <w:t xml:space="preserve"> </w:t>
      </w:r>
      <w:r>
        <w:rPr>
          <w:lang w:val="fr-FR"/>
        </w:rPr>
        <w:t>à évoluer très</w:t>
      </w:r>
      <w:r w:rsidRPr="00537734">
        <w:rPr>
          <w:lang w:val="fr-FR"/>
        </w:rPr>
        <w:t xml:space="preserve"> rapidement </w:t>
      </w:r>
      <w:r>
        <w:rPr>
          <w:lang w:val="fr-FR"/>
        </w:rPr>
        <w:t xml:space="preserve">et les informations n’étant pas toujours facilement accessibles ni fiables. </w:t>
      </w:r>
      <w:r w:rsidR="00DE682D" w:rsidRPr="00DE682D">
        <w:rPr>
          <w:lang w:val="fr-FR"/>
        </w:rPr>
        <w:t xml:space="preserve">Pour identifier les produits de base et les marchés clés, </w:t>
      </w:r>
      <w:r w:rsidR="00DE682D">
        <w:rPr>
          <w:lang w:val="fr-FR"/>
        </w:rPr>
        <w:t>vous pouvez consulter les données secondaires collectées dur</w:t>
      </w:r>
      <w:r w:rsidR="00334FBB">
        <w:rPr>
          <w:lang w:val="fr-FR"/>
        </w:rPr>
        <w:t>ant</w:t>
      </w:r>
      <w:r w:rsidR="00DE682D">
        <w:rPr>
          <w:lang w:val="fr-FR"/>
        </w:rPr>
        <w:t xml:space="preserve"> la planification et la préparation (étape 1) et les informations recueillies auprès des communautés et des ménages (étape 2)</w:t>
      </w:r>
      <w:r w:rsidR="00D9309B" w:rsidRPr="00DE682D">
        <w:rPr>
          <w:lang w:val="fr-FR"/>
        </w:rPr>
        <w:t xml:space="preserve">. </w:t>
      </w:r>
      <w:r w:rsidR="001A69C0" w:rsidRPr="00396C88">
        <w:rPr>
          <w:lang w:val="fr-FR"/>
        </w:rPr>
        <w:t xml:space="preserve">Vous devrez </w:t>
      </w:r>
      <w:r w:rsidR="00AD6302">
        <w:rPr>
          <w:lang w:val="fr-FR"/>
        </w:rPr>
        <w:t>faire la différence</w:t>
      </w:r>
      <w:r w:rsidR="001A69C0" w:rsidRPr="00396C88">
        <w:rPr>
          <w:lang w:val="fr-FR"/>
        </w:rPr>
        <w:t xml:space="preserve"> entre les marchés de produits de base </w:t>
      </w:r>
      <w:r w:rsidR="002C0D9E">
        <w:rPr>
          <w:lang w:val="fr-FR"/>
        </w:rPr>
        <w:t>destinés aux</w:t>
      </w:r>
      <w:r w:rsidR="001A69C0" w:rsidRPr="00396C88">
        <w:rPr>
          <w:lang w:val="fr-FR"/>
        </w:rPr>
        <w:t xml:space="preserve"> ménages, tels que la nourriture</w:t>
      </w:r>
      <w:r w:rsidR="00396C88" w:rsidRPr="00396C88">
        <w:rPr>
          <w:lang w:val="fr-FR"/>
        </w:rPr>
        <w:t xml:space="preserve"> et d’autres articles de première nécessité, et ceux répondant à des besoins</w:t>
      </w:r>
      <w:r w:rsidR="00204F85">
        <w:rPr>
          <w:lang w:val="fr-FR"/>
        </w:rPr>
        <w:t xml:space="preserve"> résultant du choc</w:t>
      </w:r>
      <w:r w:rsidR="00396C88" w:rsidRPr="00396C88">
        <w:rPr>
          <w:lang w:val="fr-FR"/>
        </w:rPr>
        <w:t xml:space="preserve"> plus spécifiques</w:t>
      </w:r>
      <w:r w:rsidR="00396C88">
        <w:rPr>
          <w:lang w:val="fr-FR"/>
        </w:rPr>
        <w:t xml:space="preserve"> </w:t>
      </w:r>
      <w:r w:rsidR="00204F85">
        <w:rPr>
          <w:lang w:val="fr-FR"/>
        </w:rPr>
        <w:t>à</w:t>
      </w:r>
      <w:r w:rsidR="00396C88">
        <w:rPr>
          <w:lang w:val="fr-FR"/>
        </w:rPr>
        <w:t xml:space="preserve"> certains secteurs, notamment les besoins en matière d’hébergement d’urgence. </w:t>
      </w:r>
      <w:r w:rsidR="003D5766">
        <w:rPr>
          <w:lang w:val="fr-FR"/>
        </w:rPr>
        <w:t>Il existe d</w:t>
      </w:r>
      <w:r w:rsidR="00396C88">
        <w:rPr>
          <w:lang w:val="fr-FR"/>
        </w:rPr>
        <w:t xml:space="preserve">ifférents outils </w:t>
      </w:r>
      <w:r w:rsidR="00DF7161">
        <w:rPr>
          <w:lang w:val="fr-FR"/>
        </w:rPr>
        <w:t>d’évaluation</w:t>
      </w:r>
      <w:r w:rsidR="00396C88">
        <w:rPr>
          <w:lang w:val="fr-FR"/>
        </w:rPr>
        <w:t xml:space="preserve"> de</w:t>
      </w:r>
      <w:r w:rsidR="00DF7161">
        <w:rPr>
          <w:lang w:val="fr-FR"/>
        </w:rPr>
        <w:t>s</w:t>
      </w:r>
      <w:r w:rsidR="00396C88">
        <w:rPr>
          <w:lang w:val="fr-FR"/>
        </w:rPr>
        <w:t xml:space="preserve"> marché</w:t>
      </w:r>
      <w:r w:rsidR="00DF7161">
        <w:rPr>
          <w:lang w:val="fr-FR"/>
        </w:rPr>
        <w:t>s</w:t>
      </w:r>
      <w:r w:rsidR="003D5766">
        <w:rPr>
          <w:lang w:val="fr-FR"/>
        </w:rPr>
        <w:t>,</w:t>
      </w:r>
      <w:r w:rsidR="00396C88">
        <w:rPr>
          <w:lang w:val="fr-FR"/>
        </w:rPr>
        <w:t xml:space="preserve"> </w:t>
      </w:r>
      <w:r w:rsidR="003D5766">
        <w:rPr>
          <w:lang w:val="fr-FR"/>
        </w:rPr>
        <w:t>selon le type</w:t>
      </w:r>
      <w:r w:rsidR="00396C88">
        <w:rPr>
          <w:lang w:val="fr-FR"/>
        </w:rPr>
        <w:t xml:space="preserve"> de biens et services</w:t>
      </w:r>
      <w:r w:rsidR="003D5766">
        <w:rPr>
          <w:lang w:val="fr-FR"/>
        </w:rPr>
        <w:t xml:space="preserve"> concerné.</w:t>
      </w:r>
      <w:r w:rsidR="00692702" w:rsidRPr="00396C88">
        <w:rPr>
          <w:lang w:val="fr-FR"/>
        </w:rPr>
        <w:t xml:space="preserve"> </w:t>
      </w:r>
    </w:p>
    <w:p w14:paraId="11428CF9" w14:textId="157BA2E1" w:rsidR="001B386A" w:rsidRPr="00E126D0" w:rsidRDefault="003D5766" w:rsidP="002C0D9E">
      <w:pPr>
        <w:rPr>
          <w:lang w:val="fr-FR"/>
        </w:rPr>
      </w:pPr>
      <w:r w:rsidRPr="003D5766">
        <w:rPr>
          <w:lang w:val="fr-FR"/>
        </w:rPr>
        <w:t>En outre</w:t>
      </w:r>
      <w:r w:rsidR="002D522A" w:rsidRPr="003D5766">
        <w:rPr>
          <w:lang w:val="fr-FR"/>
        </w:rPr>
        <w:t xml:space="preserve">, </w:t>
      </w:r>
      <w:r w:rsidRPr="003D5766">
        <w:rPr>
          <w:lang w:val="fr-FR"/>
        </w:rPr>
        <w:t xml:space="preserve">vous pouvez mener des discussions avec les </w:t>
      </w:r>
      <w:r w:rsidR="007B706C">
        <w:rPr>
          <w:lang w:val="fr-FR"/>
        </w:rPr>
        <w:t>informateurs</w:t>
      </w:r>
      <w:r w:rsidRPr="003D5766">
        <w:rPr>
          <w:lang w:val="fr-FR"/>
        </w:rPr>
        <w:t xml:space="preserve"> clés </w:t>
      </w:r>
      <w:r w:rsidR="00EF632B">
        <w:rPr>
          <w:lang w:val="fr-FR"/>
        </w:rPr>
        <w:t>des</w:t>
      </w:r>
      <w:r w:rsidRPr="003D5766">
        <w:rPr>
          <w:lang w:val="fr-FR"/>
        </w:rPr>
        <w:t xml:space="preserve"> marché</w:t>
      </w:r>
      <w:r w:rsidR="00EF632B">
        <w:rPr>
          <w:lang w:val="fr-FR"/>
        </w:rPr>
        <w:t>s</w:t>
      </w:r>
      <w:r w:rsidRPr="003D5766">
        <w:rPr>
          <w:lang w:val="fr-FR"/>
        </w:rPr>
        <w:t xml:space="preserve"> pour </w:t>
      </w:r>
      <w:r>
        <w:rPr>
          <w:lang w:val="fr-FR"/>
        </w:rPr>
        <w:t>vérifier</w:t>
      </w:r>
      <w:r w:rsidRPr="003D5766">
        <w:rPr>
          <w:lang w:val="fr-FR"/>
        </w:rPr>
        <w:t xml:space="preserve"> et compléter ces informations</w:t>
      </w:r>
      <w:r>
        <w:rPr>
          <w:lang w:val="fr-FR"/>
        </w:rPr>
        <w:t>.</w:t>
      </w:r>
      <w:r w:rsidR="00D9309B" w:rsidRPr="003D5766">
        <w:rPr>
          <w:lang w:val="fr-FR"/>
        </w:rPr>
        <w:t xml:space="preserve"> </w:t>
      </w:r>
      <w:r w:rsidRPr="003D5766">
        <w:rPr>
          <w:lang w:val="fr-FR"/>
        </w:rPr>
        <w:t xml:space="preserve">Vous trouverez, parmi les outils proposés pour </w:t>
      </w:r>
      <w:r w:rsidR="002C0D9E">
        <w:rPr>
          <w:lang w:val="fr-FR"/>
        </w:rPr>
        <w:t>cette étape subsidiaire</w:t>
      </w:r>
      <w:r w:rsidRPr="003D5766">
        <w:rPr>
          <w:lang w:val="fr-FR"/>
        </w:rPr>
        <w:t xml:space="preserve">, un questionnaire pouvant </w:t>
      </w:r>
      <w:r>
        <w:rPr>
          <w:lang w:val="fr-FR"/>
        </w:rPr>
        <w:t xml:space="preserve">être utilisé dans le cadre des discussions de groupe menées avec les </w:t>
      </w:r>
      <w:r w:rsidR="007B706C">
        <w:rPr>
          <w:lang w:val="fr-FR"/>
        </w:rPr>
        <w:t>informateurs</w:t>
      </w:r>
      <w:r>
        <w:rPr>
          <w:lang w:val="fr-FR"/>
        </w:rPr>
        <w:t xml:space="preserve"> clés </w:t>
      </w:r>
      <w:r w:rsidR="00922C5A">
        <w:rPr>
          <w:lang w:val="fr-FR"/>
        </w:rPr>
        <w:t>des</w:t>
      </w:r>
      <w:r>
        <w:rPr>
          <w:lang w:val="fr-FR"/>
        </w:rPr>
        <w:t xml:space="preserve"> marché</w:t>
      </w:r>
      <w:r w:rsidR="00922C5A">
        <w:rPr>
          <w:lang w:val="fr-FR"/>
        </w:rPr>
        <w:t>s</w:t>
      </w:r>
      <w:r>
        <w:rPr>
          <w:lang w:val="fr-FR"/>
        </w:rPr>
        <w:t xml:space="preserve">, ainsi qu’un guide pour la cartographie des marchés. </w:t>
      </w:r>
      <w:r w:rsidR="007B706C" w:rsidRPr="007B706C">
        <w:rPr>
          <w:lang w:val="fr-FR"/>
        </w:rPr>
        <w:t xml:space="preserve">Des cartes préliminaires des marchés peuvent être très utiles pour identifier les informateurs clés à consulter </w:t>
      </w:r>
      <w:r w:rsidR="007B706C">
        <w:rPr>
          <w:lang w:val="fr-FR"/>
        </w:rPr>
        <w:t>et les</w:t>
      </w:r>
      <w:r w:rsidR="007B706C" w:rsidRPr="007B706C">
        <w:rPr>
          <w:lang w:val="fr-FR"/>
        </w:rPr>
        <w:t xml:space="preserve"> </w:t>
      </w:r>
      <w:r w:rsidR="002C0D9E">
        <w:rPr>
          <w:lang w:val="fr-FR"/>
        </w:rPr>
        <w:t>goulets d’étranglement</w:t>
      </w:r>
      <w:r w:rsidR="007B706C">
        <w:rPr>
          <w:lang w:val="fr-FR"/>
        </w:rPr>
        <w:t xml:space="preserve"> à examiner </w:t>
      </w:r>
      <w:r w:rsidR="002C0D9E">
        <w:rPr>
          <w:lang w:val="fr-FR"/>
        </w:rPr>
        <w:t>sur le terrain</w:t>
      </w:r>
      <w:r w:rsidR="007B706C">
        <w:rPr>
          <w:lang w:val="fr-FR"/>
        </w:rPr>
        <w:t>.</w:t>
      </w:r>
      <w:r w:rsidR="007B706C" w:rsidRPr="007B706C">
        <w:rPr>
          <w:lang w:val="fr-FR"/>
        </w:rPr>
        <w:t xml:space="preserve"> </w:t>
      </w:r>
      <w:r w:rsidR="007B706C" w:rsidRPr="00E126D0">
        <w:rPr>
          <w:lang w:val="fr-FR"/>
        </w:rPr>
        <w:t xml:space="preserve">Les </w:t>
      </w:r>
      <w:r w:rsidR="00E126D0" w:rsidRPr="00E126D0">
        <w:rPr>
          <w:lang w:val="fr-FR"/>
        </w:rPr>
        <w:t xml:space="preserve">cartes des marchés facilitent la représentation et la compréhension de la structure </w:t>
      </w:r>
      <w:r w:rsidR="002C0D9E">
        <w:rPr>
          <w:lang w:val="fr-FR"/>
        </w:rPr>
        <w:t>d’un système de marché</w:t>
      </w:r>
      <w:r w:rsidR="00E126D0" w:rsidRPr="00E126D0">
        <w:rPr>
          <w:lang w:val="fr-FR"/>
        </w:rPr>
        <w:t>.</w:t>
      </w:r>
      <w:r w:rsidR="00E126D0">
        <w:rPr>
          <w:lang w:val="fr-FR"/>
        </w:rPr>
        <w:t xml:space="preserve"> </w:t>
      </w:r>
      <w:r w:rsidR="00E126D0" w:rsidRPr="00E126D0">
        <w:rPr>
          <w:lang w:val="fr-FR"/>
        </w:rPr>
        <w:t xml:space="preserve">Elles doivent être constamment mises à jour, </w:t>
      </w:r>
      <w:r w:rsidR="00E126D0">
        <w:rPr>
          <w:lang w:val="fr-FR"/>
        </w:rPr>
        <w:t xml:space="preserve">étant donné que </w:t>
      </w:r>
      <w:r w:rsidR="00E126D0" w:rsidRPr="00E126D0">
        <w:rPr>
          <w:lang w:val="fr-FR"/>
        </w:rPr>
        <w:t>les informations relatives au</w:t>
      </w:r>
      <w:r w:rsidR="00D772CF">
        <w:rPr>
          <w:lang w:val="fr-FR"/>
        </w:rPr>
        <w:t>x</w:t>
      </w:r>
      <w:r w:rsidR="00E126D0" w:rsidRPr="00E126D0">
        <w:rPr>
          <w:lang w:val="fr-FR"/>
        </w:rPr>
        <w:t xml:space="preserve"> </w:t>
      </w:r>
      <w:r w:rsidR="00D772CF" w:rsidRPr="00E126D0">
        <w:rPr>
          <w:lang w:val="fr-FR"/>
        </w:rPr>
        <w:t>marché</w:t>
      </w:r>
      <w:r w:rsidR="00D772CF">
        <w:rPr>
          <w:lang w:val="fr-FR"/>
        </w:rPr>
        <w:t>s</w:t>
      </w:r>
      <w:r w:rsidR="00E126D0" w:rsidRPr="00E126D0">
        <w:rPr>
          <w:lang w:val="fr-FR"/>
        </w:rPr>
        <w:t xml:space="preserve"> proviennent de différentes sources. </w:t>
      </w:r>
    </w:p>
    <w:p w14:paraId="365662D9" w14:textId="2D452D7F" w:rsidR="00681C45" w:rsidRPr="00E126D0" w:rsidRDefault="00E126D0" w:rsidP="00230CBA">
      <w:pPr>
        <w:pStyle w:val="Heading3"/>
        <w:rPr>
          <w:lang w:val="fr-FR"/>
        </w:rPr>
      </w:pPr>
      <w:r w:rsidRPr="00E126D0">
        <w:rPr>
          <w:lang w:val="fr-FR"/>
        </w:rPr>
        <w:t>Collecter des informations relatives au marché</w:t>
      </w:r>
    </w:p>
    <w:p w14:paraId="4407D890" w14:textId="27DE26B4" w:rsidR="00681C45" w:rsidRPr="00D319FD" w:rsidRDefault="008E3CDF" w:rsidP="002C0D9E">
      <w:pPr>
        <w:rPr>
          <w:lang w:val="fr-FR"/>
        </w:rPr>
      </w:pPr>
      <w:r w:rsidRPr="008E3CDF">
        <w:rPr>
          <w:lang w:val="fr-FR"/>
        </w:rPr>
        <w:t xml:space="preserve">Une fois que les produits de base et les marchés clés ont été identifiés, des discussions avec les informateurs </w:t>
      </w:r>
      <w:r>
        <w:rPr>
          <w:lang w:val="fr-FR"/>
        </w:rPr>
        <w:t xml:space="preserve">et les négociants </w:t>
      </w:r>
      <w:r w:rsidRPr="008E3CDF">
        <w:rPr>
          <w:lang w:val="fr-FR"/>
        </w:rPr>
        <w:t xml:space="preserve">clés </w:t>
      </w:r>
      <w:r w:rsidR="00DF7161">
        <w:rPr>
          <w:lang w:val="fr-FR"/>
        </w:rPr>
        <w:t>des</w:t>
      </w:r>
      <w:r w:rsidRPr="008E3CDF">
        <w:rPr>
          <w:lang w:val="fr-FR"/>
        </w:rPr>
        <w:t xml:space="preserve"> marché</w:t>
      </w:r>
      <w:r w:rsidR="00DF7161">
        <w:rPr>
          <w:lang w:val="fr-FR"/>
        </w:rPr>
        <w:t>s</w:t>
      </w:r>
      <w:r w:rsidRPr="008E3CDF">
        <w:rPr>
          <w:lang w:val="fr-FR"/>
        </w:rPr>
        <w:t xml:space="preserve"> </w:t>
      </w:r>
      <w:r>
        <w:rPr>
          <w:lang w:val="fr-FR"/>
        </w:rPr>
        <w:t xml:space="preserve">peuvent vous permettre d’avoir une </w:t>
      </w:r>
      <w:r w:rsidR="00DA5629">
        <w:rPr>
          <w:lang w:val="fr-FR"/>
        </w:rPr>
        <w:t>compréhension globale</w:t>
      </w:r>
      <w:r>
        <w:rPr>
          <w:lang w:val="fr-FR"/>
        </w:rPr>
        <w:t xml:space="preserve"> </w:t>
      </w:r>
      <w:r w:rsidR="00DA5629">
        <w:rPr>
          <w:lang w:val="fr-FR"/>
        </w:rPr>
        <w:t xml:space="preserve">de la situation </w:t>
      </w:r>
      <w:r w:rsidR="003E6AB9">
        <w:rPr>
          <w:lang w:val="fr-FR"/>
        </w:rPr>
        <w:t>des</w:t>
      </w:r>
      <w:r w:rsidR="00DA5629">
        <w:rPr>
          <w:lang w:val="fr-FR"/>
        </w:rPr>
        <w:t xml:space="preserve"> marché</w:t>
      </w:r>
      <w:r w:rsidR="003E6AB9">
        <w:rPr>
          <w:lang w:val="fr-FR"/>
        </w:rPr>
        <w:t>s</w:t>
      </w:r>
      <w:r w:rsidR="00DA5629">
        <w:rPr>
          <w:lang w:val="fr-FR"/>
        </w:rPr>
        <w:t>, et notamment de vous faire une idée des produits de base clés.</w:t>
      </w:r>
      <w:r w:rsidR="003B2DBC" w:rsidRPr="008E3CDF">
        <w:rPr>
          <w:lang w:val="fr-FR"/>
        </w:rPr>
        <w:t xml:space="preserve"> </w:t>
      </w:r>
      <w:r w:rsidR="00DA5629" w:rsidRPr="00DA5629">
        <w:rPr>
          <w:lang w:val="fr-FR"/>
        </w:rPr>
        <w:t>Le département de logistique peut jouer un rôle important dans le choix des informateurs clés avec lesquels mener des entretiens, étant donné qu’il conna</w:t>
      </w:r>
      <w:r w:rsidR="00DA5629">
        <w:rPr>
          <w:lang w:val="fr-FR"/>
        </w:rPr>
        <w:t xml:space="preserve">ît les négociants locaux et entretient des contacts avec eux (en particulier avec les grossistes). </w:t>
      </w:r>
      <w:r w:rsidR="00DA5629" w:rsidRPr="00EA11A5">
        <w:rPr>
          <w:lang w:val="fr-FR"/>
        </w:rPr>
        <w:t xml:space="preserve">Vous trouverez, parmi les outils proposés pour </w:t>
      </w:r>
      <w:r w:rsidR="002C0D9E">
        <w:rPr>
          <w:lang w:val="fr-FR"/>
        </w:rPr>
        <w:t>cette étape subsidiaire</w:t>
      </w:r>
      <w:r w:rsidR="00DA5629" w:rsidRPr="00EA11A5">
        <w:rPr>
          <w:lang w:val="fr-FR"/>
        </w:rPr>
        <w:t xml:space="preserve">, </w:t>
      </w:r>
      <w:r w:rsidR="00EA11A5" w:rsidRPr="00EA11A5">
        <w:rPr>
          <w:lang w:val="fr-FR"/>
        </w:rPr>
        <w:t xml:space="preserve">des questionnaires pouvant guider vos discussions (ou entretiens) avec les informateurs et </w:t>
      </w:r>
      <w:r w:rsidR="00EA11A5">
        <w:rPr>
          <w:lang w:val="fr-FR"/>
        </w:rPr>
        <w:t xml:space="preserve">les </w:t>
      </w:r>
      <w:r w:rsidR="00EA11A5" w:rsidRPr="00EA11A5">
        <w:rPr>
          <w:lang w:val="fr-FR"/>
        </w:rPr>
        <w:t>négociants</w:t>
      </w:r>
      <w:r w:rsidR="00EA11A5">
        <w:rPr>
          <w:lang w:val="fr-FR"/>
        </w:rPr>
        <w:t xml:space="preserve"> clés, ainsi qu’une série de questions pouvant vous aider à consolider les informations recueillies et à tirer des conclusions à la fin des visites que vous effectuez sur chaque marché.</w:t>
      </w:r>
      <w:r w:rsidR="00EA11A5" w:rsidRPr="00EA11A5">
        <w:rPr>
          <w:lang w:val="fr-FR"/>
        </w:rPr>
        <w:t xml:space="preserve"> Vous trouverez également une liste de questions accompagnées de critères que les négociants doivent remplir pour participer aux programmes de </w:t>
      </w:r>
      <w:r w:rsidR="00D319FD">
        <w:rPr>
          <w:lang w:val="fr-FR"/>
        </w:rPr>
        <w:t>distribution de bons.</w:t>
      </w:r>
    </w:p>
    <w:p w14:paraId="7C0BE506" w14:textId="17ACDFEE" w:rsidR="00681C45" w:rsidRPr="000418DB" w:rsidRDefault="000418DB" w:rsidP="000418DB">
      <w:pPr>
        <w:pStyle w:val="Heading3"/>
        <w:rPr>
          <w:rFonts w:cs="O¯øœ!Ÿ"/>
          <w:szCs w:val="22"/>
          <w:lang w:val="fr-FR"/>
        </w:rPr>
      </w:pPr>
      <w:r w:rsidRPr="000418DB">
        <w:rPr>
          <w:lang w:val="fr-FR"/>
        </w:rPr>
        <w:t>Consolider les résultats obtenus pour chaque marché</w:t>
      </w:r>
    </w:p>
    <w:p w14:paraId="395A4946" w14:textId="72882548" w:rsidR="000F6AF9" w:rsidRDefault="000418DB" w:rsidP="002C0D9E">
      <w:pPr>
        <w:rPr>
          <w:lang w:val="fr-FR"/>
        </w:rPr>
      </w:pPr>
      <w:r w:rsidRPr="000418DB">
        <w:rPr>
          <w:lang w:val="fr-FR"/>
        </w:rPr>
        <w:t xml:space="preserve">Selon que les différents marchés </w:t>
      </w:r>
      <w:r w:rsidR="00204F85">
        <w:rPr>
          <w:lang w:val="fr-FR"/>
        </w:rPr>
        <w:t>ont la capacité</w:t>
      </w:r>
      <w:r w:rsidRPr="000418DB">
        <w:rPr>
          <w:lang w:val="fr-FR"/>
        </w:rPr>
        <w:t xml:space="preserve"> ou non de </w:t>
      </w:r>
      <w:r w:rsidR="00BB2316">
        <w:rPr>
          <w:lang w:val="fr-FR"/>
        </w:rPr>
        <w:t>fournir des produits de base clés en quantité suffisante et de manière opportune à la population touchée par le choc, vous : i)</w:t>
      </w:r>
      <w:r w:rsidRPr="000418DB">
        <w:rPr>
          <w:lang w:val="fr-FR"/>
        </w:rPr>
        <w:t xml:space="preserve"> </w:t>
      </w:r>
      <w:r w:rsidR="009F317D">
        <w:rPr>
          <w:lang w:val="fr-FR"/>
        </w:rPr>
        <w:t xml:space="preserve">déterminerez le potentiel </w:t>
      </w:r>
      <w:r w:rsidR="005833CE">
        <w:rPr>
          <w:lang w:val="fr-FR"/>
        </w:rPr>
        <w:t>pour des programmes de transferts monétaires</w:t>
      </w:r>
      <w:r w:rsidR="009F317D">
        <w:rPr>
          <w:lang w:val="fr-FR"/>
        </w:rPr>
        <w:t xml:space="preserve"> </w:t>
      </w:r>
      <w:r w:rsidR="005833CE">
        <w:rPr>
          <w:lang w:val="fr-FR"/>
        </w:rPr>
        <w:t xml:space="preserve">et </w:t>
      </w:r>
      <w:r w:rsidR="00B6785E" w:rsidRPr="000418DB">
        <w:rPr>
          <w:lang w:val="fr-FR"/>
        </w:rPr>
        <w:t xml:space="preserve">ii) </w:t>
      </w:r>
      <w:r w:rsidR="005833CE">
        <w:rPr>
          <w:lang w:val="fr-FR"/>
        </w:rPr>
        <w:t>recommand</w:t>
      </w:r>
      <w:r w:rsidR="00204F85">
        <w:rPr>
          <w:lang w:val="fr-FR"/>
        </w:rPr>
        <w:t xml:space="preserve">erez des </w:t>
      </w:r>
      <w:r w:rsidR="002C0D9E">
        <w:rPr>
          <w:lang w:val="fr-FR"/>
        </w:rPr>
        <w:t>solutions</w:t>
      </w:r>
      <w:r w:rsidR="00204F85">
        <w:rPr>
          <w:lang w:val="fr-FR"/>
        </w:rPr>
        <w:t xml:space="preserve"> d’intervention</w:t>
      </w:r>
      <w:r w:rsidR="005833CE">
        <w:rPr>
          <w:lang w:val="fr-FR"/>
        </w:rPr>
        <w:t xml:space="preserve"> possibles à examiner lors de l’analyse de l’intervention.</w:t>
      </w:r>
      <w:r w:rsidR="00B6785E" w:rsidRPr="000418DB">
        <w:rPr>
          <w:lang w:val="fr-FR"/>
        </w:rPr>
        <w:t xml:space="preserve"> </w:t>
      </w:r>
      <w:r w:rsidR="00813287" w:rsidRPr="004D0CE3">
        <w:rPr>
          <w:lang w:val="fr-FR"/>
        </w:rPr>
        <w:t xml:space="preserve">Prenez en compte le fait que </w:t>
      </w:r>
      <w:r w:rsidR="004D0CE3" w:rsidRPr="004D0CE3">
        <w:rPr>
          <w:lang w:val="fr-FR"/>
        </w:rPr>
        <w:t xml:space="preserve">vos recommandations devront être confrontées à d’autres aspects, </w:t>
      </w:r>
      <w:r w:rsidR="004D0CE3">
        <w:rPr>
          <w:lang w:val="fr-FR"/>
        </w:rPr>
        <w:t>tel</w:t>
      </w:r>
      <w:r w:rsidR="004D0CE3" w:rsidRPr="004D0CE3">
        <w:rPr>
          <w:lang w:val="fr-FR"/>
        </w:rPr>
        <w:t xml:space="preserve">s que les objectifs, l’efficacité et la rentabilité </w:t>
      </w:r>
      <w:r w:rsidR="004D0CE3">
        <w:rPr>
          <w:lang w:val="fr-FR"/>
        </w:rPr>
        <w:t>du</w:t>
      </w:r>
      <w:r w:rsidR="004D0CE3" w:rsidRPr="004D0CE3">
        <w:rPr>
          <w:lang w:val="fr-FR"/>
        </w:rPr>
        <w:t xml:space="preserve"> programme</w:t>
      </w:r>
      <w:r w:rsidR="004D0CE3">
        <w:rPr>
          <w:lang w:val="fr-FR"/>
        </w:rPr>
        <w:t xml:space="preserve">, les capacités </w:t>
      </w:r>
    </w:p>
    <w:p w14:paraId="0C9DDEC6" w14:textId="77777777" w:rsidR="000F6AF9" w:rsidRDefault="000F6AF9" w:rsidP="00204F85">
      <w:pPr>
        <w:rPr>
          <w:lang w:val="fr-FR"/>
        </w:rPr>
      </w:pPr>
    </w:p>
    <w:p w14:paraId="1F780196" w14:textId="77777777" w:rsidR="000F6AF9" w:rsidRDefault="000F6AF9" w:rsidP="00204F85">
      <w:pPr>
        <w:rPr>
          <w:lang w:val="fr-FR"/>
        </w:rPr>
      </w:pPr>
    </w:p>
    <w:p w14:paraId="380C08B8" w14:textId="4E54C199" w:rsidR="009A2228" w:rsidRPr="004D0CE3" w:rsidRDefault="004D0CE3" w:rsidP="002C0D9E">
      <w:pPr>
        <w:rPr>
          <w:rFonts w:cs="Calibri"/>
          <w:lang w:val="fr-FR"/>
        </w:rPr>
      </w:pPr>
      <w:r>
        <w:rPr>
          <w:lang w:val="fr-FR"/>
        </w:rPr>
        <w:t xml:space="preserve">de l’organisation, les préférences des bénéficiaires et les questions de sécurité, qui peuvent </w:t>
      </w:r>
      <w:r w:rsidR="008E4CCE">
        <w:rPr>
          <w:lang w:val="fr-FR"/>
        </w:rPr>
        <w:t xml:space="preserve">avoir une influence sur la décision finale concernant la meilleure </w:t>
      </w:r>
      <w:r w:rsidR="002C0D9E">
        <w:rPr>
          <w:lang w:val="fr-FR"/>
        </w:rPr>
        <w:t>solution</w:t>
      </w:r>
      <w:r w:rsidR="008E4CCE">
        <w:rPr>
          <w:lang w:val="fr-FR"/>
        </w:rPr>
        <w:t xml:space="preserve"> d’intervention. </w:t>
      </w:r>
    </w:p>
    <w:p w14:paraId="3BB3AC9A" w14:textId="651EAA6B" w:rsidR="00351033" w:rsidRDefault="008E4CCE" w:rsidP="002C0D9E">
      <w:pPr>
        <w:rPr>
          <w:lang w:val="fr-FR"/>
        </w:rPr>
      </w:pPr>
      <w:r w:rsidRPr="008E4CCE">
        <w:rPr>
          <w:lang w:val="fr-FR"/>
        </w:rPr>
        <w:t>Vous tro</w:t>
      </w:r>
      <w:r w:rsidR="00204F85">
        <w:rPr>
          <w:lang w:val="fr-FR"/>
        </w:rPr>
        <w:t>uverez, parmi les outils proposé</w:t>
      </w:r>
      <w:r w:rsidRPr="008E4CCE">
        <w:rPr>
          <w:lang w:val="fr-FR"/>
        </w:rPr>
        <w:t xml:space="preserve">s pour </w:t>
      </w:r>
      <w:r w:rsidR="002C0D9E">
        <w:rPr>
          <w:lang w:val="fr-FR"/>
        </w:rPr>
        <w:t>cette étape subsidiaire</w:t>
      </w:r>
      <w:r w:rsidRPr="008E4CCE">
        <w:rPr>
          <w:lang w:val="fr-FR"/>
        </w:rPr>
        <w:t xml:space="preserve">, un arbre de conclusion, qui peut vous aider à déterminer </w:t>
      </w:r>
      <w:r>
        <w:rPr>
          <w:lang w:val="fr-FR"/>
        </w:rPr>
        <w:t>les</w:t>
      </w:r>
      <w:r w:rsidRPr="008E4CCE">
        <w:rPr>
          <w:lang w:val="fr-FR"/>
        </w:rPr>
        <w:t xml:space="preserve"> capacité</w:t>
      </w:r>
      <w:r>
        <w:rPr>
          <w:lang w:val="fr-FR"/>
        </w:rPr>
        <w:t xml:space="preserve">s </w:t>
      </w:r>
      <w:r w:rsidR="003E6AB9">
        <w:rPr>
          <w:lang w:val="fr-FR"/>
        </w:rPr>
        <w:t>des</w:t>
      </w:r>
      <w:r>
        <w:rPr>
          <w:lang w:val="fr-FR"/>
        </w:rPr>
        <w:t xml:space="preserve"> marché</w:t>
      </w:r>
      <w:r w:rsidR="003E6AB9">
        <w:rPr>
          <w:lang w:val="fr-FR"/>
        </w:rPr>
        <w:t>s</w:t>
      </w:r>
      <w:r>
        <w:rPr>
          <w:lang w:val="fr-FR"/>
        </w:rPr>
        <w:t xml:space="preserve">. </w:t>
      </w:r>
      <w:r w:rsidRPr="008E4CCE">
        <w:rPr>
          <w:lang w:val="fr-FR"/>
        </w:rPr>
        <w:t xml:space="preserve">Cet arbre de conclusion doit être utilisé </w:t>
      </w:r>
      <w:r>
        <w:rPr>
          <w:lang w:val="fr-FR"/>
        </w:rPr>
        <w:t xml:space="preserve">conjointement avec les questionnaires de </w:t>
      </w:r>
      <w:r w:rsidR="002C0D9E">
        <w:rPr>
          <w:lang w:val="fr-FR"/>
        </w:rPr>
        <w:t>l’</w:t>
      </w:r>
      <w:r>
        <w:rPr>
          <w:lang w:val="fr-FR"/>
        </w:rPr>
        <w:t>étape</w:t>
      </w:r>
      <w:r w:rsidR="002C0D9E">
        <w:rPr>
          <w:lang w:val="fr-FR"/>
        </w:rPr>
        <w:t xml:space="preserve"> subsidiaire</w:t>
      </w:r>
      <w:r>
        <w:rPr>
          <w:lang w:val="fr-FR"/>
        </w:rPr>
        <w:t xml:space="preserve"> 2. </w:t>
      </w:r>
      <w:r w:rsidRPr="008E4CCE">
        <w:rPr>
          <w:lang w:val="fr-FR"/>
        </w:rPr>
        <w:t>Vous trouverez également un modèle de rapport, qui</w:t>
      </w:r>
      <w:r>
        <w:rPr>
          <w:lang w:val="fr-FR"/>
        </w:rPr>
        <w:t xml:space="preserve"> vous permet</w:t>
      </w:r>
      <w:r w:rsidRPr="008E4CCE">
        <w:rPr>
          <w:lang w:val="fr-FR"/>
        </w:rPr>
        <w:t xml:space="preserve"> de consolider </w:t>
      </w:r>
      <w:r>
        <w:rPr>
          <w:lang w:val="fr-FR"/>
        </w:rPr>
        <w:t>les informations que vous avez recueillies et les conclusions que vous avez tirées tout au long de l’évaluation ra</w:t>
      </w:r>
      <w:r w:rsidR="00204F85">
        <w:rPr>
          <w:lang w:val="fr-FR"/>
        </w:rPr>
        <w:t>p</w:t>
      </w:r>
      <w:r>
        <w:rPr>
          <w:lang w:val="fr-FR"/>
        </w:rPr>
        <w:t>ide de</w:t>
      </w:r>
      <w:r w:rsidR="000F6AF9">
        <w:rPr>
          <w:lang w:val="fr-FR"/>
        </w:rPr>
        <w:t>s</w:t>
      </w:r>
      <w:r>
        <w:rPr>
          <w:lang w:val="fr-FR"/>
        </w:rPr>
        <w:t xml:space="preserve"> marché</w:t>
      </w:r>
      <w:r w:rsidR="000F6AF9">
        <w:rPr>
          <w:lang w:val="fr-FR"/>
        </w:rPr>
        <w:t>s</w:t>
      </w:r>
      <w:r>
        <w:rPr>
          <w:lang w:val="fr-FR"/>
        </w:rPr>
        <w:t>.</w:t>
      </w:r>
      <w:r w:rsidR="009A2228" w:rsidRPr="008E4CCE">
        <w:rPr>
          <w:lang w:val="fr-FR"/>
        </w:rPr>
        <w:t xml:space="preserve"> </w:t>
      </w:r>
    </w:p>
    <w:p w14:paraId="59E19F0C" w14:textId="77777777" w:rsidR="000F6AF9" w:rsidRPr="008E4CCE" w:rsidRDefault="000F6AF9" w:rsidP="003E6AB9">
      <w:pPr>
        <w:rPr>
          <w:lang w:val="fr-FR"/>
        </w:rPr>
      </w:pP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A463BF" w:rsidRPr="002C0D9E" w14:paraId="2F93EC3F" w14:textId="77777777" w:rsidTr="00A463BF">
        <w:tc>
          <w:tcPr>
            <w:tcW w:w="9848" w:type="dxa"/>
          </w:tcPr>
          <w:p w14:paraId="0D833CCE" w14:textId="7CD5E139" w:rsidR="00A463BF" w:rsidRPr="00E119AB" w:rsidRDefault="00A463BF" w:rsidP="004314BA">
            <w:pPr>
              <w:pStyle w:val="RefTitre"/>
              <w:rPr>
                <w:lang w:val="fr-FR"/>
              </w:rPr>
            </w:pPr>
            <w:r w:rsidRPr="00E119AB">
              <w:rPr>
                <w:lang w:val="fr-FR"/>
              </w:rPr>
              <w:t>DOCUMENTS</w:t>
            </w:r>
            <w:r w:rsidR="008C0651" w:rsidRPr="00E119AB">
              <w:rPr>
                <w:lang w:val="fr-FR"/>
              </w:rPr>
              <w:t xml:space="preserve"> DE RÉFÉRENCE</w:t>
            </w:r>
          </w:p>
          <w:p w14:paraId="7EC071A4" w14:textId="4A039387" w:rsidR="00A463BF" w:rsidRPr="008C0651" w:rsidRDefault="008C0651" w:rsidP="00EE78C1">
            <w:pPr>
              <w:pStyle w:val="RefItem1"/>
              <w:keepNext/>
              <w:rPr>
                <w:rFonts w:cs="Arial"/>
                <w:szCs w:val="20"/>
                <w:lang w:val="fr-FR"/>
              </w:rPr>
            </w:pPr>
            <w:r w:rsidRPr="000F6AF9">
              <w:rPr>
                <w:rFonts w:cs="Arial"/>
                <w:szCs w:val="20"/>
                <w:lang w:val="fr-FR"/>
              </w:rPr>
              <w:t xml:space="preserve">Évaluation rapide des marchés : Lignes directrices </w:t>
            </w:r>
            <w:r w:rsidR="00EE78C1" w:rsidRPr="000F6AF9">
              <w:rPr>
                <w:rFonts w:cs="Arial"/>
                <w:szCs w:val="20"/>
                <w:lang w:val="fr-FR"/>
              </w:rPr>
              <w:t>(</w:t>
            </w:r>
            <w:r w:rsidR="008F055D" w:rsidRPr="000F6AF9">
              <w:rPr>
                <w:rFonts w:cs="Arial"/>
                <w:szCs w:val="20"/>
                <w:lang w:val="fr-FR"/>
              </w:rPr>
              <w:t>2015</w:t>
            </w:r>
            <w:r w:rsidRPr="000F6AF9">
              <w:rPr>
                <w:rFonts w:cs="Arial"/>
                <w:szCs w:val="20"/>
                <w:lang w:val="fr-FR"/>
              </w:rPr>
              <w:t>)</w:t>
            </w:r>
            <w:r w:rsidR="00EE78C1">
              <w:rPr>
                <w:rFonts w:cs="Arial"/>
                <w:szCs w:val="20"/>
                <w:lang w:val="fr-FR"/>
              </w:rPr>
              <w:t xml:space="preserve"> </w:t>
            </w:r>
            <w:r w:rsidRPr="00EE78C1">
              <w:rPr>
                <w:rFonts w:cs="Arial"/>
                <w:szCs w:val="20"/>
                <w:lang w:val="fr-FR"/>
              </w:rPr>
              <w:t>(</w:t>
            </w:r>
            <w:r w:rsidRPr="008C0651">
              <w:rPr>
                <w:rFonts w:cs="Arial"/>
                <w:szCs w:val="20"/>
                <w:lang w:val="fr-FR"/>
              </w:rPr>
              <w:t>Mouvement international de la Croix-Rouge et du Croissant-Rouge</w:t>
            </w:r>
            <w:r w:rsidR="008F055D">
              <w:rPr>
                <w:rFonts w:cs="Arial"/>
                <w:szCs w:val="20"/>
                <w:lang w:val="fr-FR"/>
              </w:rPr>
              <w:t>)</w:t>
            </w:r>
          </w:p>
          <w:p w14:paraId="37D4935E" w14:textId="216DB640" w:rsidR="00A463BF" w:rsidRPr="008F055D" w:rsidRDefault="00A463BF" w:rsidP="00087B13">
            <w:pPr>
              <w:pStyle w:val="RefItem1"/>
              <w:keepNext/>
              <w:rPr>
                <w:rFonts w:cs="Arial"/>
                <w:szCs w:val="20"/>
                <w:lang w:val="fr-FR"/>
              </w:rPr>
            </w:pPr>
            <w:proofErr w:type="spellStart"/>
            <w:r w:rsidRPr="000F6AF9">
              <w:rPr>
                <w:rFonts w:cs="Arial"/>
                <w:i/>
                <w:iCs/>
                <w:szCs w:val="20"/>
                <w:lang w:val="fr-FR"/>
              </w:rPr>
              <w:t>Market</w:t>
            </w:r>
            <w:proofErr w:type="spellEnd"/>
            <w:r w:rsidRPr="000F6AF9">
              <w:rPr>
                <w:rFonts w:cs="Arial"/>
                <w:i/>
                <w:iCs/>
                <w:szCs w:val="20"/>
                <w:lang w:val="fr-FR"/>
              </w:rPr>
              <w:t xml:space="preserve"> </w:t>
            </w:r>
            <w:proofErr w:type="spellStart"/>
            <w:r w:rsidRPr="000F6AF9">
              <w:rPr>
                <w:rFonts w:cs="Arial"/>
                <w:i/>
                <w:iCs/>
                <w:szCs w:val="20"/>
                <w:lang w:val="fr-FR"/>
              </w:rPr>
              <w:t>Analysis</w:t>
            </w:r>
            <w:proofErr w:type="spellEnd"/>
            <w:r w:rsidRPr="000F6AF9">
              <w:rPr>
                <w:rFonts w:cs="Arial"/>
                <w:i/>
                <w:iCs/>
                <w:szCs w:val="20"/>
                <w:lang w:val="fr-FR"/>
              </w:rPr>
              <w:t xml:space="preserve"> Guidance</w:t>
            </w:r>
            <w:r w:rsidR="00BC4914" w:rsidRPr="000F6AF9">
              <w:rPr>
                <w:rFonts w:cs="Arial"/>
                <w:i/>
                <w:iCs/>
                <w:szCs w:val="20"/>
                <w:lang w:val="fr-FR"/>
              </w:rPr>
              <w:t xml:space="preserve"> (MAG)</w:t>
            </w:r>
            <w:r w:rsidR="00087B13" w:rsidRPr="000F6AF9">
              <w:rPr>
                <w:rFonts w:cs="Arial"/>
                <w:szCs w:val="20"/>
                <w:lang w:val="fr-FR"/>
              </w:rPr>
              <w:t>,</w:t>
            </w:r>
            <w:r w:rsidRPr="000F6AF9">
              <w:rPr>
                <w:rFonts w:cs="Arial"/>
                <w:i/>
                <w:iCs/>
                <w:szCs w:val="20"/>
                <w:lang w:val="fr-FR"/>
              </w:rPr>
              <w:t xml:space="preserve"> </w:t>
            </w:r>
            <w:r w:rsidR="008C0651" w:rsidRPr="000F6AF9">
              <w:rPr>
                <w:rFonts w:cs="Arial"/>
                <w:szCs w:val="20"/>
                <w:lang w:val="fr-FR"/>
              </w:rPr>
              <w:t>Mouvement international de la Croix-Rouge et du Croissant-</w:t>
            </w:r>
            <w:r w:rsidR="001B31DF" w:rsidRPr="000F6AF9">
              <w:rPr>
                <w:rFonts w:cs="Arial"/>
                <w:szCs w:val="20"/>
                <w:lang w:val="fr-FR"/>
              </w:rPr>
              <w:t xml:space="preserve">Rouge </w:t>
            </w:r>
            <w:r w:rsidR="00087B13" w:rsidRPr="000F6AF9">
              <w:rPr>
                <w:rFonts w:cs="Arial"/>
                <w:szCs w:val="20"/>
                <w:lang w:val="fr-FR"/>
              </w:rPr>
              <w:t>(2014</w:t>
            </w:r>
            <w:r w:rsidR="001B31DF" w:rsidRPr="000F6AF9">
              <w:rPr>
                <w:rFonts w:cs="Arial"/>
                <w:szCs w:val="20"/>
                <w:lang w:val="fr-FR"/>
              </w:rPr>
              <w:t xml:space="preserve">) </w:t>
            </w:r>
            <w:r w:rsidR="00EE78C1" w:rsidRPr="000F6AF9">
              <w:rPr>
                <w:rFonts w:cs="Arial"/>
                <w:szCs w:val="20"/>
                <w:lang w:val="fr-FR"/>
              </w:rPr>
              <w:t>(en anglais)</w:t>
            </w:r>
          </w:p>
          <w:p w14:paraId="7126617A" w14:textId="2830DAED" w:rsidR="00A463BF" w:rsidRPr="00EE78C1" w:rsidRDefault="00FF24AD" w:rsidP="001B31DF">
            <w:pPr>
              <w:pStyle w:val="RefItem1"/>
              <w:keepNext/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>EMMA : le guide pratique. Analyse et cartographie des marchés en état d’urgence</w:t>
            </w:r>
            <w:r w:rsidR="001B31DF">
              <w:rPr>
                <w:rFonts w:cs="Arial"/>
                <w:szCs w:val="20"/>
                <w:lang w:val="fr-FR"/>
              </w:rPr>
              <w:t xml:space="preserve"> (2010)</w:t>
            </w:r>
            <w:r>
              <w:rPr>
                <w:rFonts w:cs="Arial"/>
                <w:szCs w:val="20"/>
                <w:lang w:val="fr-FR"/>
              </w:rPr>
              <w:t xml:space="preserve"> </w:t>
            </w:r>
            <w:hyperlink r:id="rId10" w:history="1">
              <w:r w:rsidR="00A463BF" w:rsidRPr="00EE78C1">
                <w:rPr>
                  <w:rStyle w:val="Hyperlink"/>
                  <w:rFonts w:eastAsia="Times New Roman" w:cs="Arial"/>
                  <w:szCs w:val="20"/>
                  <w:lang w:val="fr-FR"/>
                </w:rPr>
                <w:t>http://emma-toolkit.org</w:t>
              </w:r>
            </w:hyperlink>
            <w:r w:rsidR="00A463BF" w:rsidRPr="00EE78C1">
              <w:rPr>
                <w:rFonts w:cs="Arial"/>
                <w:szCs w:val="20"/>
                <w:lang w:val="fr-FR"/>
              </w:rPr>
              <w:t xml:space="preserve"> </w:t>
            </w:r>
          </w:p>
          <w:p w14:paraId="68766779" w14:textId="67EFBDF6" w:rsidR="00A463BF" w:rsidRPr="00BA78ED" w:rsidRDefault="002C0D9E" w:rsidP="002C0D9E">
            <w:pPr>
              <w:pStyle w:val="RefItem1"/>
              <w:keepNext/>
              <w:rPr>
                <w:rFonts w:cs="Arial"/>
                <w:color w:val="auto"/>
                <w:szCs w:val="20"/>
                <w:lang w:val="fr-FR"/>
              </w:rPr>
            </w:pPr>
            <w:hyperlink r:id="rId11" w:history="1">
              <w:r w:rsidR="00A463BF" w:rsidRPr="00087B13">
                <w:rPr>
                  <w:rStyle w:val="Hyperlink"/>
                  <w:rFonts w:eastAsia="Times New Roman" w:cs="Arial"/>
                  <w:i/>
                  <w:iCs/>
                  <w:color w:val="auto"/>
                  <w:szCs w:val="20"/>
                  <w:u w:val="none"/>
                  <w:lang w:val="fr-FR"/>
                </w:rPr>
                <w:t>Logistics in C&amp;V</w:t>
              </w:r>
            </w:hyperlink>
            <w:r w:rsidR="00A463BF" w:rsidRPr="00087B13">
              <w:rPr>
                <w:rFonts w:cs="Arial"/>
                <w:i/>
                <w:iCs/>
                <w:szCs w:val="20"/>
                <w:lang w:val="fr-FR"/>
              </w:rPr>
              <w:t xml:space="preserve">. Part 1: Trade </w:t>
            </w:r>
            <w:proofErr w:type="spellStart"/>
            <w:r w:rsidR="00A463BF" w:rsidRPr="00087B13">
              <w:rPr>
                <w:rFonts w:cs="Arial"/>
                <w:i/>
                <w:iCs/>
                <w:szCs w:val="20"/>
                <w:lang w:val="fr-FR"/>
              </w:rPr>
              <w:t>logistics</w:t>
            </w:r>
            <w:proofErr w:type="spellEnd"/>
            <w:r w:rsidR="00A463BF" w:rsidRPr="00087B13">
              <w:rPr>
                <w:rFonts w:cs="Arial"/>
                <w:i/>
                <w:iCs/>
                <w:szCs w:val="20"/>
                <w:lang w:val="fr-FR"/>
              </w:rPr>
              <w:t xml:space="preserve"> </w:t>
            </w:r>
            <w:proofErr w:type="spellStart"/>
            <w:r w:rsidR="00A463BF" w:rsidRPr="00087B13">
              <w:rPr>
                <w:rFonts w:cs="Arial"/>
                <w:i/>
                <w:iCs/>
                <w:szCs w:val="20"/>
                <w:lang w:val="fr-FR"/>
              </w:rPr>
              <w:t>assessment</w:t>
            </w:r>
            <w:proofErr w:type="spellEnd"/>
            <w:r w:rsidR="00087B13">
              <w:rPr>
                <w:rFonts w:cs="Arial"/>
                <w:szCs w:val="20"/>
                <w:lang w:val="fr-FR"/>
              </w:rPr>
              <w:t xml:space="preserve">, </w:t>
            </w:r>
            <w:r w:rsidR="00CA79B1" w:rsidRPr="00CA79B1">
              <w:rPr>
                <w:rFonts w:cs="Arial"/>
                <w:szCs w:val="20"/>
                <w:lang w:val="fr-FR"/>
              </w:rPr>
              <w:t>Programme alimentaire mondial</w:t>
            </w:r>
            <w:r w:rsidR="00087B13">
              <w:rPr>
                <w:rFonts w:cs="Arial"/>
                <w:szCs w:val="20"/>
                <w:lang w:val="fr-FR"/>
              </w:rPr>
              <w:t xml:space="preserve"> (2014)</w:t>
            </w:r>
            <w:r w:rsidR="00A463BF" w:rsidRPr="00CA79B1">
              <w:rPr>
                <w:rFonts w:cs="Arial"/>
                <w:szCs w:val="20"/>
                <w:lang w:val="fr-FR"/>
              </w:rPr>
              <w:t xml:space="preserve"> </w:t>
            </w:r>
            <w:hyperlink r:id="rId12" w:history="1">
              <w:r w:rsidR="00A463BF" w:rsidRPr="00CA79B1">
                <w:rPr>
                  <w:rStyle w:val="Hyperlink"/>
                  <w:rFonts w:cs="Arial"/>
                  <w:szCs w:val="20"/>
                  <w:lang w:val="fr-FR"/>
                </w:rPr>
                <w:t>http://www.logcluster.org/sites/default/files/wfp_trade_logistics_assessment_2014.pdf</w:t>
              </w:r>
            </w:hyperlink>
            <w:r w:rsidR="00BA78ED" w:rsidRPr="00BA78ED">
              <w:rPr>
                <w:rStyle w:val="Hyperlink"/>
                <w:rFonts w:cs="Arial"/>
                <w:szCs w:val="20"/>
                <w:u w:val="none"/>
                <w:lang w:val="fr-FR"/>
              </w:rPr>
              <w:t xml:space="preserve"> </w:t>
            </w:r>
            <w:r w:rsidR="00BA78ED">
              <w:rPr>
                <w:rStyle w:val="Hyperlink"/>
                <w:rFonts w:cs="Arial"/>
                <w:color w:val="auto"/>
                <w:szCs w:val="20"/>
                <w:u w:val="none"/>
                <w:lang w:val="fr-FR"/>
              </w:rPr>
              <w:t>(en anglais)</w:t>
            </w:r>
          </w:p>
          <w:p w14:paraId="216C8B37" w14:textId="29AD2A65" w:rsidR="00A463BF" w:rsidRPr="00087B13" w:rsidRDefault="00BA78ED" w:rsidP="00087B13">
            <w:pPr>
              <w:pStyle w:val="RefItem1"/>
              <w:keepNext/>
              <w:rPr>
                <w:rFonts w:cs="Arial"/>
                <w:szCs w:val="20"/>
                <w:lang w:val="en-GB"/>
              </w:rPr>
            </w:pPr>
            <w:proofErr w:type="spellStart"/>
            <w:r w:rsidRPr="00AD6302">
              <w:rPr>
                <w:rFonts w:cs="Arial"/>
                <w:szCs w:val="20"/>
                <w:lang w:val="en-GB"/>
              </w:rPr>
              <w:t>L’analyse</w:t>
            </w:r>
            <w:proofErr w:type="spellEnd"/>
            <w:r w:rsidRPr="00AD6302">
              <w:rPr>
                <w:rFonts w:cs="Arial"/>
                <w:szCs w:val="20"/>
                <w:lang w:val="en-GB"/>
              </w:rPr>
              <w:t xml:space="preserve"> de </w:t>
            </w:r>
            <w:proofErr w:type="spellStart"/>
            <w:r w:rsidRPr="00AD6302">
              <w:rPr>
                <w:rFonts w:cs="Arial"/>
                <w:szCs w:val="20"/>
                <w:lang w:val="en-GB"/>
              </w:rPr>
              <w:t>marché</w:t>
            </w:r>
            <w:proofErr w:type="spellEnd"/>
            <w:r w:rsidRPr="00AD6302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AD6302">
              <w:rPr>
                <w:rFonts w:cs="Arial"/>
                <w:szCs w:val="20"/>
                <w:lang w:val="en-GB"/>
              </w:rPr>
              <w:t>en</w:t>
            </w:r>
            <w:proofErr w:type="spellEnd"/>
            <w:r w:rsidRPr="00AD6302">
              <w:rPr>
                <w:rFonts w:cs="Arial"/>
                <w:szCs w:val="20"/>
                <w:lang w:val="en-GB"/>
              </w:rPr>
              <w:t xml:space="preserve"> situation </w:t>
            </w:r>
            <w:proofErr w:type="spellStart"/>
            <w:r w:rsidRPr="00AD6302">
              <w:rPr>
                <w:rFonts w:cs="Arial"/>
                <w:szCs w:val="20"/>
                <w:lang w:val="en-GB"/>
              </w:rPr>
              <w:t>d’urgence</w:t>
            </w:r>
            <w:proofErr w:type="spellEnd"/>
            <w:r w:rsidR="00087B13" w:rsidRPr="000F6AF9">
              <w:rPr>
                <w:rFonts w:cs="Arial"/>
                <w:szCs w:val="20"/>
                <w:lang w:val="en-GB"/>
              </w:rPr>
              <w:t>, The Cash Learning</w:t>
            </w:r>
            <w:r w:rsidR="00A463BF" w:rsidRPr="000F6AF9">
              <w:rPr>
                <w:rFonts w:cs="Arial"/>
                <w:szCs w:val="20"/>
                <w:lang w:val="en-GB"/>
              </w:rPr>
              <w:t xml:space="preserve"> </w:t>
            </w:r>
            <w:r w:rsidR="00087B13" w:rsidRPr="000F6AF9">
              <w:rPr>
                <w:rFonts w:cs="Arial"/>
                <w:szCs w:val="20"/>
                <w:lang w:val="en-GB"/>
              </w:rPr>
              <w:t>Partnership</w:t>
            </w:r>
            <w:r w:rsidR="00A463BF" w:rsidRPr="000F6AF9">
              <w:rPr>
                <w:rFonts w:cs="Arial"/>
                <w:szCs w:val="20"/>
                <w:lang w:val="en-GB"/>
              </w:rPr>
              <w:t xml:space="preserve"> (201</w:t>
            </w:r>
            <w:r w:rsidRPr="000F6AF9">
              <w:rPr>
                <w:rFonts w:cs="Arial"/>
                <w:szCs w:val="20"/>
                <w:lang w:val="en-GB"/>
              </w:rPr>
              <w:t>4</w:t>
            </w:r>
            <w:r w:rsidR="00A463BF" w:rsidRPr="000F6AF9">
              <w:rPr>
                <w:rFonts w:cs="Arial"/>
                <w:szCs w:val="20"/>
                <w:lang w:val="en-GB"/>
              </w:rPr>
              <w:t>)</w:t>
            </w:r>
            <w:r w:rsidR="00A463BF" w:rsidRPr="00087B13">
              <w:rPr>
                <w:rFonts w:cs="Arial"/>
                <w:szCs w:val="20"/>
                <w:lang w:val="en-GB"/>
              </w:rPr>
              <w:t xml:space="preserve"> </w:t>
            </w:r>
            <w:hyperlink r:id="rId13" w:history="1">
              <w:r w:rsidRPr="00087B13">
                <w:rPr>
                  <w:rStyle w:val="Hyperlink"/>
                  <w:rFonts w:cs="Arial"/>
                  <w:szCs w:val="20"/>
                  <w:lang w:val="en-GB"/>
                </w:rPr>
                <w:t>http://www.cashlearning.org/resources/library/530-lanalyse-de-march-en-situation-durgence?searched=1&amp;currentpage=6</w:t>
              </w:r>
            </w:hyperlink>
          </w:p>
          <w:p w14:paraId="5C2572ED" w14:textId="4FDAF6A7" w:rsidR="00A463BF" w:rsidRPr="00087B13" w:rsidRDefault="00BA78ED" w:rsidP="00BA78ED">
            <w:pPr>
              <w:pStyle w:val="RefItem1"/>
              <w:keepNext/>
              <w:rPr>
                <w:rFonts w:cs="Arial"/>
                <w:szCs w:val="20"/>
                <w:lang w:val="en-GB"/>
              </w:rPr>
            </w:pPr>
            <w:proofErr w:type="spellStart"/>
            <w:r w:rsidRPr="003D61E6">
              <w:rPr>
                <w:rFonts w:cs="Arial"/>
                <w:szCs w:val="20"/>
                <w:lang w:val="en-GB"/>
              </w:rPr>
              <w:t>Critères</w:t>
            </w:r>
            <w:proofErr w:type="spellEnd"/>
            <w:r w:rsidRPr="003D61E6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3D61E6">
              <w:rPr>
                <w:rFonts w:cs="Arial"/>
                <w:szCs w:val="20"/>
                <w:lang w:val="en-GB"/>
              </w:rPr>
              <w:t>minimaux</w:t>
            </w:r>
            <w:proofErr w:type="spellEnd"/>
            <w:r w:rsidRPr="003D61E6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3D61E6">
              <w:rPr>
                <w:rFonts w:cs="Arial"/>
                <w:szCs w:val="20"/>
                <w:lang w:val="en-GB"/>
              </w:rPr>
              <w:t>d’analyse</w:t>
            </w:r>
            <w:proofErr w:type="spellEnd"/>
            <w:r w:rsidRPr="003D61E6">
              <w:rPr>
                <w:rFonts w:cs="Arial"/>
                <w:szCs w:val="20"/>
                <w:lang w:val="en-GB"/>
              </w:rPr>
              <w:t xml:space="preserve"> de </w:t>
            </w:r>
            <w:proofErr w:type="spellStart"/>
            <w:r w:rsidRPr="003D61E6">
              <w:rPr>
                <w:rFonts w:cs="Arial"/>
                <w:szCs w:val="20"/>
                <w:lang w:val="en-GB"/>
              </w:rPr>
              <w:t>marché</w:t>
            </w:r>
            <w:proofErr w:type="spellEnd"/>
            <w:r w:rsidRPr="003D61E6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3D61E6">
              <w:rPr>
                <w:rFonts w:cs="Arial"/>
                <w:szCs w:val="20"/>
                <w:lang w:val="en-GB"/>
              </w:rPr>
              <w:t>en</w:t>
            </w:r>
            <w:proofErr w:type="spellEnd"/>
            <w:r w:rsidRPr="003D61E6">
              <w:rPr>
                <w:rFonts w:cs="Arial"/>
                <w:szCs w:val="20"/>
                <w:lang w:val="en-GB"/>
              </w:rPr>
              <w:t xml:space="preserve"> situation </w:t>
            </w:r>
            <w:proofErr w:type="spellStart"/>
            <w:r w:rsidRPr="003D61E6">
              <w:rPr>
                <w:rFonts w:cs="Arial"/>
                <w:szCs w:val="20"/>
                <w:lang w:val="en-GB"/>
              </w:rPr>
              <w:t>d’urgence</w:t>
            </w:r>
            <w:proofErr w:type="spellEnd"/>
            <w:r w:rsidR="00087B13" w:rsidRPr="00087B13">
              <w:rPr>
                <w:rFonts w:cs="Arial"/>
                <w:szCs w:val="20"/>
                <w:lang w:val="en-GB"/>
              </w:rPr>
              <w:t>, The Cash Learning Partnership</w:t>
            </w:r>
            <w:r w:rsidRPr="00087B13">
              <w:rPr>
                <w:rFonts w:cs="Arial"/>
                <w:szCs w:val="20"/>
                <w:lang w:val="en-GB"/>
              </w:rPr>
              <w:t xml:space="preserve"> (2013) </w:t>
            </w:r>
            <w:r w:rsidR="00A463BF" w:rsidRPr="00087B13">
              <w:rPr>
                <w:rFonts w:cs="Arial"/>
                <w:szCs w:val="20"/>
                <w:lang w:val="en-GB"/>
              </w:rPr>
              <w:t>(</w:t>
            </w:r>
            <w:proofErr w:type="spellStart"/>
            <w:r w:rsidR="00A463BF" w:rsidRPr="00087B13">
              <w:rPr>
                <w:rFonts w:cs="Arial"/>
                <w:szCs w:val="20"/>
                <w:lang w:val="en-GB"/>
              </w:rPr>
              <w:t>CaLP</w:t>
            </w:r>
            <w:proofErr w:type="spellEnd"/>
            <w:r w:rsidR="00A463BF" w:rsidRPr="00087B13">
              <w:rPr>
                <w:rFonts w:cs="Arial"/>
                <w:szCs w:val="20"/>
                <w:lang w:val="en-GB"/>
              </w:rPr>
              <w:t xml:space="preserve">) </w:t>
            </w:r>
            <w:hyperlink r:id="rId14" w:history="1">
              <w:r w:rsidRPr="00087B13">
                <w:rPr>
                  <w:rStyle w:val="Hyperlink"/>
                  <w:rFonts w:cs="Arial"/>
                  <w:szCs w:val="20"/>
                  <w:lang w:val="en-GB"/>
                </w:rPr>
                <w:t>http://www.cashlearning.org/resources/library/352-critres-minimaux-danalyse-de-march-en-situation-durgence-</w:t>
              </w:r>
            </w:hyperlink>
          </w:p>
          <w:p w14:paraId="23B6E5E9" w14:textId="7EE98B2F" w:rsidR="00A463BF" w:rsidRPr="002C0D9E" w:rsidRDefault="00A463BF" w:rsidP="00C2630D">
            <w:pPr>
              <w:pStyle w:val="RefItem1"/>
              <w:keepNext/>
              <w:rPr>
                <w:rFonts w:cs="Arial"/>
                <w:color w:val="auto"/>
                <w:szCs w:val="20"/>
                <w:lang w:val="en-GB"/>
              </w:rPr>
            </w:pPr>
            <w:r w:rsidRPr="002C0D9E">
              <w:rPr>
                <w:rFonts w:cs="Arial"/>
                <w:i/>
                <w:iCs/>
                <w:szCs w:val="20"/>
                <w:lang w:val="en-GB"/>
              </w:rPr>
              <w:t>Pre-crisis Market Mapping and Analysis – Step-by-step Guidance for Practitioners</w:t>
            </w:r>
            <w:r w:rsidR="00087B13" w:rsidRPr="002C0D9E">
              <w:rPr>
                <w:rFonts w:cs="Arial"/>
                <w:szCs w:val="20"/>
                <w:lang w:val="en-GB"/>
              </w:rPr>
              <w:t xml:space="preserve">, </w:t>
            </w:r>
            <w:proofErr w:type="spellStart"/>
            <w:r w:rsidR="00C52160" w:rsidRPr="002C0D9E">
              <w:rPr>
                <w:rFonts w:cs="Arial"/>
                <w:szCs w:val="20"/>
                <w:lang w:val="en-GB"/>
              </w:rPr>
              <w:t>Comité</w:t>
            </w:r>
            <w:proofErr w:type="spellEnd"/>
            <w:r w:rsidR="001B31DF" w:rsidRPr="002C0D9E">
              <w:rPr>
                <w:rFonts w:cs="Arial"/>
                <w:szCs w:val="20"/>
                <w:lang w:val="en-GB"/>
              </w:rPr>
              <w:t xml:space="preserve"> international de </w:t>
            </w:r>
            <w:proofErr w:type="spellStart"/>
            <w:r w:rsidR="001B31DF" w:rsidRPr="002C0D9E">
              <w:rPr>
                <w:rFonts w:cs="Arial"/>
                <w:szCs w:val="20"/>
                <w:lang w:val="en-GB"/>
              </w:rPr>
              <w:t>secours</w:t>
            </w:r>
            <w:proofErr w:type="spellEnd"/>
            <w:r w:rsidR="00087B13" w:rsidRPr="002C0D9E">
              <w:rPr>
                <w:rFonts w:cs="Arial"/>
                <w:szCs w:val="20"/>
                <w:lang w:val="en-GB"/>
              </w:rPr>
              <w:t xml:space="preserve">, Oxfam (2014) </w:t>
            </w:r>
            <w:hyperlink r:id="rId15" w:history="1">
              <w:r w:rsidRPr="002C0D9E">
                <w:rPr>
                  <w:rStyle w:val="Hyperlink"/>
                  <w:rFonts w:cs="Arial"/>
                  <w:szCs w:val="20"/>
                  <w:lang w:val="en-GB"/>
                </w:rPr>
                <w:t>http://www.cashlearning.org/resources/library/545-pre-crisis-market-mapping-and-analysis---step-by-step-guidance-for-practitioners</w:t>
              </w:r>
            </w:hyperlink>
            <w:r w:rsidR="001B31DF" w:rsidRPr="002C0D9E">
              <w:rPr>
                <w:rStyle w:val="Hyperlink"/>
                <w:rFonts w:cs="Arial"/>
                <w:szCs w:val="20"/>
                <w:lang w:val="en-GB"/>
              </w:rPr>
              <w:t xml:space="preserve"> </w:t>
            </w:r>
            <w:r w:rsidR="001B31DF" w:rsidRPr="002C0D9E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(</w:t>
            </w:r>
            <w:proofErr w:type="spellStart"/>
            <w:r w:rsidR="001B31DF" w:rsidRPr="002C0D9E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en</w:t>
            </w:r>
            <w:proofErr w:type="spellEnd"/>
            <w:r w:rsidR="001B31DF" w:rsidRPr="002C0D9E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 xml:space="preserve"> </w:t>
            </w:r>
            <w:proofErr w:type="spellStart"/>
            <w:r w:rsidR="001B31DF" w:rsidRPr="002C0D9E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anglais</w:t>
            </w:r>
            <w:proofErr w:type="spellEnd"/>
            <w:r w:rsidR="001B31DF" w:rsidRPr="002C0D9E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)</w:t>
            </w:r>
          </w:p>
          <w:p w14:paraId="3A9EE021" w14:textId="22930EC5" w:rsidR="00A463BF" w:rsidRPr="003D61E6" w:rsidRDefault="00087B13" w:rsidP="00BD1655">
            <w:pPr>
              <w:pStyle w:val="RefItem1"/>
              <w:keepNext/>
              <w:rPr>
                <w:rFonts w:cs="Arial"/>
                <w:color w:val="auto"/>
                <w:szCs w:val="20"/>
                <w:lang w:val="da-DK"/>
              </w:rPr>
            </w:pPr>
            <w:r w:rsidRPr="002C0D9E">
              <w:rPr>
                <w:rFonts w:cs="Arial"/>
                <w:i/>
                <w:iCs/>
                <w:szCs w:val="20"/>
                <w:lang w:val="en-GB"/>
              </w:rPr>
              <w:t xml:space="preserve">Market </w:t>
            </w:r>
            <w:r w:rsidR="00A463BF" w:rsidRPr="002C0D9E">
              <w:rPr>
                <w:rFonts w:cs="Arial"/>
                <w:i/>
                <w:iCs/>
                <w:szCs w:val="20"/>
                <w:lang w:val="en-GB"/>
              </w:rPr>
              <w:t>Information and Foo</w:t>
            </w:r>
            <w:r w:rsidRPr="002C0D9E">
              <w:rPr>
                <w:rFonts w:cs="Arial"/>
                <w:i/>
                <w:iCs/>
                <w:szCs w:val="20"/>
                <w:lang w:val="en-GB"/>
              </w:rPr>
              <w:t>d Insecurity Response Analysis (</w:t>
            </w:r>
            <w:r w:rsidR="00A463BF" w:rsidRPr="002C0D9E">
              <w:rPr>
                <w:rFonts w:cs="Arial"/>
                <w:i/>
                <w:iCs/>
                <w:szCs w:val="20"/>
                <w:lang w:val="en-GB"/>
              </w:rPr>
              <w:t>MIFIRA</w:t>
            </w:r>
            <w:r w:rsidR="002C0D9E" w:rsidRPr="002C0D9E">
              <w:rPr>
                <w:rFonts w:cs="Arial"/>
                <w:i/>
                <w:iCs/>
                <w:szCs w:val="20"/>
                <w:lang w:val="en-GB"/>
              </w:rPr>
              <w:t>)</w:t>
            </w:r>
            <w:r w:rsidR="00A463BF" w:rsidRPr="002C0D9E">
              <w:rPr>
                <w:rFonts w:cs="Arial"/>
                <w:i/>
                <w:iCs/>
                <w:szCs w:val="20"/>
                <w:lang w:val="en-GB"/>
              </w:rPr>
              <w:t xml:space="preserve">. </w:t>
            </w:r>
            <w:r w:rsidR="00A463BF" w:rsidRPr="003D61E6">
              <w:rPr>
                <w:rFonts w:cs="Arial"/>
                <w:szCs w:val="20"/>
                <w:lang w:val="da-DK"/>
              </w:rPr>
              <w:t>Barrett, C., et al. (2009)</w:t>
            </w:r>
            <w:r w:rsidR="00A463BF" w:rsidRPr="003D61E6">
              <w:rPr>
                <w:rFonts w:cs="Arial"/>
                <w:color w:val="0000FF"/>
                <w:szCs w:val="20"/>
                <w:u w:val="single"/>
                <w:lang w:val="da-DK"/>
              </w:rPr>
              <w:t xml:space="preserve"> </w:t>
            </w:r>
            <w:hyperlink r:id="rId16" w:history="1">
              <w:r w:rsidR="00A463BF" w:rsidRPr="003D61E6">
                <w:rPr>
                  <w:rStyle w:val="Hyperlink"/>
                  <w:rFonts w:cs="Arial"/>
                  <w:szCs w:val="20"/>
                  <w:lang w:val="da-DK"/>
                </w:rPr>
                <w:t>http://pdf.usaid.gov/pdf_docs/PNADS361.pdf</w:t>
              </w:r>
            </w:hyperlink>
            <w:r w:rsidRPr="003D61E6">
              <w:rPr>
                <w:rStyle w:val="Hyperlink"/>
                <w:rFonts w:cs="Arial"/>
                <w:szCs w:val="20"/>
                <w:lang w:val="da-DK"/>
              </w:rPr>
              <w:t xml:space="preserve"> </w:t>
            </w:r>
            <w:r w:rsidRPr="003D61E6">
              <w:rPr>
                <w:rStyle w:val="Hyperlink"/>
                <w:rFonts w:cs="Arial"/>
                <w:color w:val="auto"/>
                <w:szCs w:val="20"/>
                <w:u w:val="none"/>
                <w:lang w:val="da-DK"/>
              </w:rPr>
              <w:t>(en anglais)</w:t>
            </w:r>
          </w:p>
          <w:p w14:paraId="327E3A6B" w14:textId="66EC2790" w:rsidR="00A463BF" w:rsidRPr="002C0D9E" w:rsidRDefault="000C4F9C" w:rsidP="000C4F9C">
            <w:pPr>
              <w:pStyle w:val="RefItem1"/>
              <w:keepNext/>
              <w:rPr>
                <w:color w:val="auto"/>
                <w:sz w:val="22"/>
                <w:szCs w:val="22"/>
                <w:lang w:val="en-GB"/>
              </w:rPr>
            </w:pPr>
            <w:r w:rsidRPr="002C0D9E">
              <w:rPr>
                <w:rFonts w:cs="Arial"/>
                <w:i/>
                <w:iCs/>
                <w:szCs w:val="20"/>
                <w:lang w:val="en-GB"/>
              </w:rPr>
              <w:t xml:space="preserve">Market Analysis Framework : </w:t>
            </w:r>
            <w:r w:rsidR="00A463BF" w:rsidRPr="002C0D9E">
              <w:rPr>
                <w:rFonts w:cs="Arial"/>
                <w:i/>
                <w:iCs/>
                <w:szCs w:val="20"/>
                <w:lang w:val="en-GB"/>
              </w:rPr>
              <w:t>Tools and Applications for Food Security Analysis and Decision-Making</w:t>
            </w:r>
            <w:bookmarkStart w:id="0" w:name="_GoBack"/>
            <w:bookmarkEnd w:id="0"/>
            <w:r w:rsidRPr="002C0D9E">
              <w:rPr>
                <w:rFonts w:cs="Arial"/>
                <w:szCs w:val="20"/>
                <w:lang w:val="en-GB"/>
              </w:rPr>
              <w:t xml:space="preserve">, Programme alimentaire mondial </w:t>
            </w:r>
            <w:r w:rsidR="00A463BF" w:rsidRPr="002C0D9E">
              <w:rPr>
                <w:rFonts w:cs="Arial"/>
                <w:szCs w:val="20"/>
                <w:lang w:val="en-GB"/>
              </w:rPr>
              <w:t xml:space="preserve">(2011) </w:t>
            </w:r>
            <w:hyperlink r:id="rId17" w:history="1">
              <w:r w:rsidR="00A463BF" w:rsidRPr="002C0D9E">
                <w:rPr>
                  <w:rStyle w:val="Hyperlink"/>
                  <w:rFonts w:cs="Arial"/>
                  <w:szCs w:val="20"/>
                  <w:lang w:val="en-GB"/>
                </w:rPr>
                <w:t>http://documents.wfp.org/stellent/groups/public/documents/manual_guide_proced/wfp243856.pdf</w:t>
              </w:r>
            </w:hyperlink>
            <w:r w:rsidRPr="002C0D9E">
              <w:rPr>
                <w:rStyle w:val="Hyperlink"/>
                <w:rFonts w:cs="Arial"/>
                <w:szCs w:val="20"/>
                <w:lang w:val="en-GB"/>
              </w:rPr>
              <w:t xml:space="preserve"> </w:t>
            </w:r>
            <w:r w:rsidRPr="002C0D9E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(en anglais)</w:t>
            </w:r>
          </w:p>
        </w:tc>
      </w:tr>
    </w:tbl>
    <w:p w14:paraId="2CB7D98D" w14:textId="77777777" w:rsidR="00A463BF" w:rsidRPr="002C0D9E" w:rsidRDefault="00A463BF" w:rsidP="00B95393">
      <w:pPr>
        <w:rPr>
          <w:sz w:val="22"/>
          <w:szCs w:val="22"/>
          <w:lang w:val="en-GB"/>
        </w:rPr>
      </w:pPr>
    </w:p>
    <w:sectPr w:rsidR="00A463BF" w:rsidRPr="002C0D9E" w:rsidSect="00C70A9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575D9E" w15:done="0"/>
  <w15:commentEx w15:paraId="6AD45F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776FC" w14:textId="77777777" w:rsidR="00600D78" w:rsidRDefault="00600D78">
      <w:r>
        <w:separator/>
      </w:r>
    </w:p>
  </w:endnote>
  <w:endnote w:type="continuationSeparator" w:id="0">
    <w:p w14:paraId="686EF1FF" w14:textId="77777777" w:rsidR="00600D78" w:rsidRDefault="0060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O¯øœ!Ÿ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7854F" w14:textId="77777777" w:rsidR="00473FCC" w:rsidRDefault="00473F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48089" w14:textId="77777777" w:rsidR="00C70A99" w:rsidRPr="00B45C74" w:rsidRDefault="00C70A9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C0D9E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F63E93F" w14:textId="5CC5AD56" w:rsidR="00C70A99" w:rsidRPr="00C70A99" w:rsidRDefault="00C70A99" w:rsidP="00B72EA6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="00045CAC">
      <w:rPr>
        <w:b/>
      </w:rPr>
      <w:t xml:space="preserve"> </w:t>
    </w:r>
    <w:proofErr w:type="spellStart"/>
    <w:r w:rsidR="00B72EA6">
      <w:t>Étape</w:t>
    </w:r>
    <w:proofErr w:type="spellEnd"/>
    <w:r w:rsidR="00045CAC" w:rsidRPr="00045CAC">
      <w:t xml:space="preserve"> 3.</w:t>
    </w:r>
    <w:r w:rsidRPr="00107E15">
      <w:t xml:space="preserve"> </w:t>
    </w:r>
    <w:fldSimple w:instr=" STYLEREF  H1 \t  \* MERGEFORMAT ">
      <w:r w:rsidR="002C0D9E" w:rsidRPr="002C0D9E">
        <w:rPr>
          <w:bCs/>
          <w:noProof/>
        </w:rPr>
        <w:t>Feuille de route pour l’évaluation</w:t>
      </w:r>
      <w:r w:rsidR="002C0D9E">
        <w:rPr>
          <w:noProof/>
        </w:rPr>
        <w:t xml:space="preserve"> rapide des marchés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CEBA0" w14:textId="77777777" w:rsidR="00C70A99" w:rsidRPr="00B45C74" w:rsidRDefault="00C70A9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D6302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BB834EA" w14:textId="1A9FC39E" w:rsidR="00C70A99" w:rsidRPr="00C70A99" w:rsidRDefault="00C70A99" w:rsidP="00334FBB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</w:t>
    </w:r>
    <w:proofErr w:type="spellStart"/>
    <w:r w:rsidR="00334FBB">
      <w:t>Étape</w:t>
    </w:r>
    <w:proofErr w:type="spellEnd"/>
    <w:r w:rsidR="00045CAC">
      <w:t xml:space="preserve"> 3. </w:t>
    </w:r>
    <w:fldSimple w:instr=" STYLEREF  H1 \t  \* MERGEFORMAT ">
      <w:r w:rsidR="00AD6302" w:rsidRPr="00AD6302">
        <w:rPr>
          <w:bCs/>
          <w:noProof/>
        </w:rPr>
        <w:t>Feuille de route pour l’évaluation</w:t>
      </w:r>
      <w:r w:rsidR="00AD6302">
        <w:rPr>
          <w:noProof/>
        </w:rPr>
        <w:t xml:space="preserve"> rapide des marchés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01796" w14:textId="77777777" w:rsidR="00600D78" w:rsidRDefault="00600D78" w:rsidP="00F753EF">
      <w:pPr>
        <w:spacing w:after="0"/>
      </w:pPr>
      <w:r>
        <w:separator/>
      </w:r>
    </w:p>
  </w:footnote>
  <w:footnote w:type="continuationSeparator" w:id="0">
    <w:p w14:paraId="59527AD4" w14:textId="77777777" w:rsidR="00600D78" w:rsidRDefault="00600D78">
      <w:r>
        <w:continuationSeparator/>
      </w:r>
    </w:p>
  </w:footnote>
  <w:footnote w:id="1">
    <w:p w14:paraId="54AD2F91" w14:textId="316C60E7" w:rsidR="00F20CE7" w:rsidRPr="002C6F26" w:rsidRDefault="00F20CE7" w:rsidP="002C6F26">
      <w:pPr>
        <w:pStyle w:val="FootnoteText"/>
        <w:rPr>
          <w:szCs w:val="16"/>
          <w:lang w:val="fr-FR"/>
        </w:rPr>
      </w:pPr>
      <w:r w:rsidRPr="00F753EF">
        <w:rPr>
          <w:rStyle w:val="FootnoteReference"/>
          <w:szCs w:val="16"/>
        </w:rPr>
        <w:footnoteRef/>
      </w:r>
      <w:r w:rsidRPr="002C6F26">
        <w:rPr>
          <w:szCs w:val="16"/>
          <w:lang w:val="fr-FR"/>
        </w:rPr>
        <w:t xml:space="preserve"> </w:t>
      </w:r>
      <w:r w:rsidR="0071194B">
        <w:rPr>
          <w:szCs w:val="16"/>
          <w:lang w:val="fr-FR"/>
        </w:rPr>
        <w:t>Évaluation rapide des marché</w:t>
      </w:r>
      <w:r w:rsidR="002C6F26" w:rsidRPr="002C6F26">
        <w:rPr>
          <w:szCs w:val="16"/>
          <w:lang w:val="fr-FR"/>
        </w:rPr>
        <w:t>s : Lignes directrices, Mouvement international de la Croix-Rouge et du Croissant-Rouge</w:t>
      </w:r>
      <w:r w:rsidR="0071194B">
        <w:rPr>
          <w:szCs w:val="16"/>
          <w:lang w:val="fr-FR"/>
        </w:rPr>
        <w:t xml:space="preserve"> (</w:t>
      </w:r>
      <w:r w:rsidR="002C6F26">
        <w:rPr>
          <w:szCs w:val="16"/>
          <w:lang w:val="fr-FR"/>
        </w:rPr>
        <w:t>2013</w:t>
      </w:r>
      <w:r w:rsidR="0071194B">
        <w:rPr>
          <w:szCs w:val="16"/>
          <w:lang w:val="fr-FR"/>
        </w:rPr>
        <w:t>)</w:t>
      </w:r>
      <w:r w:rsidR="002C6F26">
        <w:rPr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99342" w14:textId="77777777" w:rsidR="00473FCC" w:rsidRDefault="00473F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B86A6" w14:textId="578BB335" w:rsidR="00C70A99" w:rsidRPr="00473FCC" w:rsidRDefault="0071194B" w:rsidP="007D76E3">
    <w:pPr>
      <w:pStyle w:val="Header"/>
      <w:rPr>
        <w:sz w:val="14"/>
        <w:szCs w:val="14"/>
        <w:lang w:val="fr-FR"/>
      </w:rPr>
    </w:pPr>
    <w:r w:rsidRPr="00473FCC">
      <w:rPr>
        <w:rStyle w:val="Pantone485"/>
        <w:sz w:val="14"/>
        <w:szCs w:val="14"/>
        <w:lang w:val="fr-FR"/>
      </w:rPr>
      <w:t>Mouvement international de la Croix-Rouge et du Croissant-Rouge</w:t>
    </w:r>
    <w:r w:rsidR="00C70A99" w:rsidRPr="00473FCC">
      <w:rPr>
        <w:rFonts w:cs="Caecilia-Light"/>
        <w:color w:val="FF0000"/>
        <w:sz w:val="14"/>
        <w:szCs w:val="14"/>
        <w:lang w:val="fr-FR"/>
      </w:rPr>
      <w:t xml:space="preserve"> </w:t>
    </w:r>
    <w:r w:rsidR="00C70A99" w:rsidRPr="00473FCC">
      <w:rPr>
        <w:rStyle w:val="PageNumber"/>
        <w:bCs/>
        <w:sz w:val="14"/>
        <w:szCs w:val="14"/>
        <w:lang w:val="fr-FR"/>
      </w:rPr>
      <w:t>I</w:t>
    </w:r>
    <w:r w:rsidR="00C70A99" w:rsidRPr="00473FCC">
      <w:rPr>
        <w:rStyle w:val="PageNumber"/>
        <w:color w:val="FF0000"/>
        <w:sz w:val="14"/>
        <w:szCs w:val="14"/>
        <w:lang w:val="fr-FR"/>
      </w:rPr>
      <w:t xml:space="preserve"> </w:t>
    </w:r>
    <w:r w:rsidRPr="00473FCC">
      <w:rPr>
        <w:b/>
        <w:sz w:val="14"/>
        <w:szCs w:val="14"/>
        <w:lang w:val="fr-FR"/>
      </w:rPr>
      <w:t xml:space="preserve">Boîte à outils pour </w:t>
    </w:r>
    <w:r w:rsidR="007D76E3" w:rsidRPr="00473FCC">
      <w:rPr>
        <w:b/>
        <w:sz w:val="14"/>
        <w:szCs w:val="14"/>
        <w:lang w:val="fr-FR"/>
      </w:rPr>
      <w:t>les transferts monétaires</w:t>
    </w:r>
    <w:r w:rsidRPr="00473FCC">
      <w:rPr>
        <w:b/>
        <w:sz w:val="14"/>
        <w:szCs w:val="14"/>
        <w:lang w:val="fr-FR"/>
      </w:rPr>
      <w:t xml:space="preserve"> dans les situations d’urgence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55F93" w14:textId="77777777" w:rsidR="00B8397D" w:rsidRDefault="00B8397D" w:rsidP="00B8397D">
    <w:pPr>
      <w:pStyle w:val="Header1"/>
    </w:pPr>
    <w:r>
      <w:rPr>
        <w:rFonts w:ascii="Arial Bold" w:hAnsi="Arial Bold"/>
        <w:noProof/>
        <w:color w:val="DC281E"/>
        <w:lang w:val="en-GB" w:eastAsia="en-GB"/>
      </w:rPr>
      <w:drawing>
        <wp:anchor distT="0" distB="0" distL="114300" distR="114300" simplePos="0" relativeHeight="251660288" behindDoc="0" locked="0" layoutInCell="1" allowOverlap="1" wp14:anchorId="60D4D585" wp14:editId="601034C5">
          <wp:simplePos x="0" y="0"/>
          <wp:positionH relativeFrom="margin">
            <wp:posOffset>316865</wp:posOffset>
          </wp:positionH>
          <wp:positionV relativeFrom="margin">
            <wp:posOffset>-1280795</wp:posOffset>
          </wp:positionV>
          <wp:extent cx="630555" cy="735330"/>
          <wp:effectExtent l="0" t="0" r="0" b="7620"/>
          <wp:wrapSquare wrapText="bothSides"/>
          <wp:docPr id="2" name="Picture 2" descr="T:\Language\2015\French\Z_Jonathan\Références\Cash in emergencies\CICR logo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anguage\2015\French\Z_Jonathan\Références\Cash in emergencies\CICR logo-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607506" w14:textId="47C5B32A" w:rsidR="00B8397D" w:rsidRDefault="00B8397D" w:rsidP="00B8397D">
    <w:pPr>
      <w:pStyle w:val="Header1"/>
    </w:pPr>
  </w:p>
  <w:p w14:paraId="0676533B" w14:textId="067726EE" w:rsidR="00B8397D" w:rsidRDefault="003D61E6" w:rsidP="00B8397D">
    <w:pPr>
      <w:pStyle w:val="Header"/>
      <w:rPr>
        <w:color w:val="DC281E"/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8C54128" wp14:editId="2C801B9B">
          <wp:simplePos x="0" y="0"/>
          <wp:positionH relativeFrom="margin">
            <wp:posOffset>2590165</wp:posOffset>
          </wp:positionH>
          <wp:positionV relativeFrom="margin">
            <wp:posOffset>-855345</wp:posOffset>
          </wp:positionV>
          <wp:extent cx="3187065" cy="308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French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06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63AF11" w14:textId="77777777" w:rsidR="00B8397D" w:rsidRDefault="00B8397D" w:rsidP="00B8397D">
    <w:pPr>
      <w:pStyle w:val="Header"/>
      <w:spacing w:line="240" w:lineRule="auto"/>
      <w:rPr>
        <w:b/>
        <w:color w:val="DC281E"/>
        <w:sz w:val="24"/>
        <w:szCs w:val="24"/>
      </w:rPr>
    </w:pPr>
  </w:p>
  <w:p w14:paraId="7F3FCE3A" w14:textId="77777777" w:rsidR="00B8397D" w:rsidRDefault="00B8397D" w:rsidP="00B8397D">
    <w:pPr>
      <w:pStyle w:val="Header"/>
      <w:spacing w:line="240" w:lineRule="auto"/>
      <w:rPr>
        <w:b/>
        <w:color w:val="DC281E"/>
        <w:sz w:val="24"/>
        <w:szCs w:val="24"/>
      </w:rPr>
    </w:pPr>
  </w:p>
  <w:p w14:paraId="4DD789F8" w14:textId="77777777" w:rsidR="00B8397D" w:rsidRPr="002F1CAB" w:rsidRDefault="00B8397D" w:rsidP="00B8397D">
    <w:pPr>
      <w:pStyle w:val="Header1"/>
      <w:rPr>
        <w:rFonts w:ascii="Arial Bold" w:hAnsi="Arial Bold"/>
        <w:color w:val="DC281E"/>
        <w:lang w:val="fr-FR"/>
      </w:rPr>
    </w:pPr>
    <w:r>
      <w:rPr>
        <w:rFonts w:ascii="Arial Bold" w:hAnsi="Arial Bold"/>
        <w:color w:val="DC281E"/>
        <w:lang w:val="fr-FR"/>
      </w:rPr>
      <w:t xml:space="preserve">Boite à outils pour la distribution d’espèces </w:t>
    </w:r>
    <w:r w:rsidRPr="002F1CAB">
      <w:rPr>
        <w:rFonts w:ascii="Arial Bold" w:hAnsi="Arial Bold"/>
        <w:color w:val="DC281E"/>
        <w:lang w:val="fr-FR"/>
      </w:rPr>
      <w:t>dans les situations d’urgence</w:t>
    </w:r>
  </w:p>
  <w:p w14:paraId="198F7DD9" w14:textId="69C5AFC7" w:rsidR="00C70A99" w:rsidRPr="00B8397D" w:rsidRDefault="00C70A99" w:rsidP="00B8397D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DAC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6EF08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BC61D7"/>
    <w:multiLevelType w:val="hybridMultilevel"/>
    <w:tmpl w:val="7A78EDE6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1751EC"/>
    <w:multiLevelType w:val="hybridMultilevel"/>
    <w:tmpl w:val="D4A2DDA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56F75"/>
    <w:multiLevelType w:val="hybridMultilevel"/>
    <w:tmpl w:val="5FEC3BEE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53F03"/>
    <w:multiLevelType w:val="hybridMultilevel"/>
    <w:tmpl w:val="2B62B31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735E8"/>
    <w:multiLevelType w:val="hybridMultilevel"/>
    <w:tmpl w:val="A8A435C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32A81"/>
    <w:multiLevelType w:val="hybridMultilevel"/>
    <w:tmpl w:val="8C7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952B4"/>
    <w:multiLevelType w:val="hybridMultilevel"/>
    <w:tmpl w:val="22E0685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C3C3D"/>
    <w:multiLevelType w:val="hybridMultilevel"/>
    <w:tmpl w:val="3B92B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1477B"/>
    <w:multiLevelType w:val="hybridMultilevel"/>
    <w:tmpl w:val="7D688CB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17A36"/>
    <w:multiLevelType w:val="hybridMultilevel"/>
    <w:tmpl w:val="9B3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B14FD"/>
    <w:multiLevelType w:val="hybridMultilevel"/>
    <w:tmpl w:val="A06CDB8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226C8E"/>
    <w:multiLevelType w:val="hybridMultilevel"/>
    <w:tmpl w:val="B6D8F0D4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C36C6"/>
    <w:multiLevelType w:val="hybridMultilevel"/>
    <w:tmpl w:val="8D5C82F2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C817CF"/>
    <w:multiLevelType w:val="hybridMultilevel"/>
    <w:tmpl w:val="4FCCC65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A0A0B08"/>
    <w:multiLevelType w:val="hybridMultilevel"/>
    <w:tmpl w:val="CA3E531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85528"/>
    <w:multiLevelType w:val="hybridMultilevel"/>
    <w:tmpl w:val="2D8E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46E76"/>
    <w:multiLevelType w:val="hybridMultilevel"/>
    <w:tmpl w:val="F796D27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D1CE0"/>
    <w:multiLevelType w:val="hybridMultilevel"/>
    <w:tmpl w:val="CA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B6393"/>
    <w:multiLevelType w:val="hybridMultilevel"/>
    <w:tmpl w:val="A8A435C2"/>
    <w:lvl w:ilvl="0" w:tplc="AF5CCA7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845E3"/>
    <w:multiLevelType w:val="hybridMultilevel"/>
    <w:tmpl w:val="41DE663E"/>
    <w:lvl w:ilvl="0" w:tplc="C5803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A2DD8"/>
    <w:multiLevelType w:val="hybridMultilevel"/>
    <w:tmpl w:val="5FEC3BEE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F10D53"/>
    <w:multiLevelType w:val="hybridMultilevel"/>
    <w:tmpl w:val="A8A435C2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F4509"/>
    <w:multiLevelType w:val="hybridMultilevel"/>
    <w:tmpl w:val="C050411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74F19"/>
    <w:multiLevelType w:val="hybridMultilevel"/>
    <w:tmpl w:val="8D5C82F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C02A8"/>
    <w:multiLevelType w:val="hybridMultilevel"/>
    <w:tmpl w:val="13307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7442C"/>
    <w:multiLevelType w:val="hybridMultilevel"/>
    <w:tmpl w:val="3E18AA5C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04900"/>
    <w:multiLevelType w:val="hybridMultilevel"/>
    <w:tmpl w:val="B6D8F0D4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02CD1"/>
    <w:multiLevelType w:val="hybridMultilevel"/>
    <w:tmpl w:val="CA3E531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D54C4F"/>
    <w:multiLevelType w:val="hybridMultilevel"/>
    <w:tmpl w:val="7D688CB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A3B98"/>
    <w:multiLevelType w:val="hybridMultilevel"/>
    <w:tmpl w:val="D4A2DDAC"/>
    <w:lvl w:ilvl="0" w:tplc="E5429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D1867"/>
    <w:multiLevelType w:val="hybridMultilevel"/>
    <w:tmpl w:val="C050411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991041"/>
    <w:multiLevelType w:val="hybridMultilevel"/>
    <w:tmpl w:val="A6409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3A580E"/>
    <w:multiLevelType w:val="hybridMultilevel"/>
    <w:tmpl w:val="A06CDB8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17F87"/>
    <w:multiLevelType w:val="hybridMultilevel"/>
    <w:tmpl w:val="3E18AA5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B4014"/>
    <w:multiLevelType w:val="hybridMultilevel"/>
    <w:tmpl w:val="F796D27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50707"/>
    <w:multiLevelType w:val="hybridMultilevel"/>
    <w:tmpl w:val="7A78EDE6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33"/>
  </w:num>
  <w:num w:numId="4">
    <w:abstractNumId w:val="28"/>
  </w:num>
  <w:num w:numId="5">
    <w:abstractNumId w:val="38"/>
  </w:num>
  <w:num w:numId="6">
    <w:abstractNumId w:val="4"/>
  </w:num>
  <w:num w:numId="7">
    <w:abstractNumId w:val="29"/>
  </w:num>
  <w:num w:numId="8">
    <w:abstractNumId w:val="18"/>
  </w:num>
  <w:num w:numId="9">
    <w:abstractNumId w:val="8"/>
  </w:num>
  <w:num w:numId="10">
    <w:abstractNumId w:val="24"/>
  </w:num>
  <w:num w:numId="11">
    <w:abstractNumId w:val="27"/>
  </w:num>
  <w:num w:numId="12">
    <w:abstractNumId w:val="6"/>
  </w:num>
  <w:num w:numId="13">
    <w:abstractNumId w:val="26"/>
  </w:num>
  <w:num w:numId="14">
    <w:abstractNumId w:val="2"/>
  </w:num>
  <w:num w:numId="15">
    <w:abstractNumId w:val="45"/>
  </w:num>
  <w:num w:numId="16">
    <w:abstractNumId w:val="32"/>
  </w:num>
  <w:num w:numId="17">
    <w:abstractNumId w:val="43"/>
  </w:num>
  <w:num w:numId="18">
    <w:abstractNumId w:val="20"/>
  </w:num>
  <w:num w:numId="19">
    <w:abstractNumId w:val="34"/>
  </w:num>
  <w:num w:numId="20">
    <w:abstractNumId w:val="15"/>
  </w:num>
  <w:num w:numId="21">
    <w:abstractNumId w:val="44"/>
  </w:num>
  <w:num w:numId="22">
    <w:abstractNumId w:val="22"/>
  </w:num>
  <w:num w:numId="23">
    <w:abstractNumId w:val="42"/>
  </w:num>
  <w:num w:numId="24">
    <w:abstractNumId w:val="16"/>
  </w:num>
  <w:num w:numId="25">
    <w:abstractNumId w:val="37"/>
  </w:num>
  <w:num w:numId="26">
    <w:abstractNumId w:val="14"/>
  </w:num>
  <w:num w:numId="27">
    <w:abstractNumId w:val="7"/>
  </w:num>
  <w:num w:numId="28">
    <w:abstractNumId w:val="13"/>
  </w:num>
  <w:num w:numId="29">
    <w:abstractNumId w:val="9"/>
  </w:num>
  <w:num w:numId="30">
    <w:abstractNumId w:val="10"/>
  </w:num>
  <w:num w:numId="31">
    <w:abstractNumId w:val="23"/>
  </w:num>
  <w:num w:numId="32">
    <w:abstractNumId w:val="3"/>
  </w:num>
  <w:num w:numId="33">
    <w:abstractNumId w:val="31"/>
  </w:num>
  <w:num w:numId="34">
    <w:abstractNumId w:val="11"/>
  </w:num>
  <w:num w:numId="35">
    <w:abstractNumId w:val="19"/>
  </w:num>
  <w:num w:numId="36">
    <w:abstractNumId w:val="41"/>
  </w:num>
  <w:num w:numId="37">
    <w:abstractNumId w:val="25"/>
  </w:num>
  <w:num w:numId="38">
    <w:abstractNumId w:val="21"/>
  </w:num>
  <w:num w:numId="39">
    <w:abstractNumId w:val="1"/>
  </w:num>
  <w:num w:numId="40">
    <w:abstractNumId w:val="0"/>
  </w:num>
  <w:num w:numId="41">
    <w:abstractNumId w:val="5"/>
  </w:num>
  <w:num w:numId="42">
    <w:abstractNumId w:val="30"/>
  </w:num>
  <w:num w:numId="43">
    <w:abstractNumId w:val="12"/>
  </w:num>
  <w:num w:numId="44">
    <w:abstractNumId w:val="35"/>
  </w:num>
  <w:num w:numId="45">
    <w:abstractNumId w:val="39"/>
  </w:num>
  <w:num w:numId="46">
    <w:abstractNumId w:val="3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7F"/>
    <w:rsid w:val="00020970"/>
    <w:rsid w:val="000418DB"/>
    <w:rsid w:val="00045CAC"/>
    <w:rsid w:val="00057BDF"/>
    <w:rsid w:val="00074291"/>
    <w:rsid w:val="00087B13"/>
    <w:rsid w:val="00094534"/>
    <w:rsid w:val="000C4F9C"/>
    <w:rsid w:val="000E224B"/>
    <w:rsid w:val="000F4B6F"/>
    <w:rsid w:val="000F5CB0"/>
    <w:rsid w:val="000F6AF9"/>
    <w:rsid w:val="00131A2C"/>
    <w:rsid w:val="00136C29"/>
    <w:rsid w:val="00153A50"/>
    <w:rsid w:val="001747FC"/>
    <w:rsid w:val="001A69C0"/>
    <w:rsid w:val="001B31DF"/>
    <w:rsid w:val="001B386A"/>
    <w:rsid w:val="001C4DF9"/>
    <w:rsid w:val="00204F85"/>
    <w:rsid w:val="00230CBA"/>
    <w:rsid w:val="00233F6F"/>
    <w:rsid w:val="00234CB3"/>
    <w:rsid w:val="002412A3"/>
    <w:rsid w:val="0025752B"/>
    <w:rsid w:val="00273676"/>
    <w:rsid w:val="002A2661"/>
    <w:rsid w:val="002A42E4"/>
    <w:rsid w:val="002A6C7E"/>
    <w:rsid w:val="002A76ED"/>
    <w:rsid w:val="002A7A1F"/>
    <w:rsid w:val="002B1145"/>
    <w:rsid w:val="002B215E"/>
    <w:rsid w:val="002B6139"/>
    <w:rsid w:val="002C0D9E"/>
    <w:rsid w:val="002C223B"/>
    <w:rsid w:val="002C6F26"/>
    <w:rsid w:val="002D01D3"/>
    <w:rsid w:val="002D522A"/>
    <w:rsid w:val="00310F7F"/>
    <w:rsid w:val="00334FBB"/>
    <w:rsid w:val="00351033"/>
    <w:rsid w:val="00387C2A"/>
    <w:rsid w:val="00396C88"/>
    <w:rsid w:val="003A0055"/>
    <w:rsid w:val="003B281D"/>
    <w:rsid w:val="003B2DBC"/>
    <w:rsid w:val="003B3FC1"/>
    <w:rsid w:val="003D1F23"/>
    <w:rsid w:val="003D3486"/>
    <w:rsid w:val="003D5766"/>
    <w:rsid w:val="003D61E6"/>
    <w:rsid w:val="003D6541"/>
    <w:rsid w:val="003E6AB9"/>
    <w:rsid w:val="004314BA"/>
    <w:rsid w:val="00454DAB"/>
    <w:rsid w:val="00473FCC"/>
    <w:rsid w:val="004867CB"/>
    <w:rsid w:val="004A0CA4"/>
    <w:rsid w:val="004D0CE3"/>
    <w:rsid w:val="004D55A0"/>
    <w:rsid w:val="004E61DC"/>
    <w:rsid w:val="004F2AC8"/>
    <w:rsid w:val="004F7AFE"/>
    <w:rsid w:val="005225D2"/>
    <w:rsid w:val="00526BC3"/>
    <w:rsid w:val="00536CC6"/>
    <w:rsid w:val="00537734"/>
    <w:rsid w:val="00551FBB"/>
    <w:rsid w:val="0057544E"/>
    <w:rsid w:val="005833CE"/>
    <w:rsid w:val="0059769B"/>
    <w:rsid w:val="005C26EE"/>
    <w:rsid w:val="005C584D"/>
    <w:rsid w:val="005C7DA1"/>
    <w:rsid w:val="005D29B1"/>
    <w:rsid w:val="005E6F6E"/>
    <w:rsid w:val="00600D78"/>
    <w:rsid w:val="006167CF"/>
    <w:rsid w:val="00624427"/>
    <w:rsid w:val="006319C0"/>
    <w:rsid w:val="006534A5"/>
    <w:rsid w:val="00681C45"/>
    <w:rsid w:val="00692702"/>
    <w:rsid w:val="006E099E"/>
    <w:rsid w:val="006F4D40"/>
    <w:rsid w:val="0071194B"/>
    <w:rsid w:val="00740A95"/>
    <w:rsid w:val="00754777"/>
    <w:rsid w:val="007B706C"/>
    <w:rsid w:val="007D2180"/>
    <w:rsid w:val="007D76E3"/>
    <w:rsid w:val="007E0454"/>
    <w:rsid w:val="00805532"/>
    <w:rsid w:val="00813287"/>
    <w:rsid w:val="008217CD"/>
    <w:rsid w:val="00841937"/>
    <w:rsid w:val="008444EE"/>
    <w:rsid w:val="00865F32"/>
    <w:rsid w:val="008869AA"/>
    <w:rsid w:val="008B2C14"/>
    <w:rsid w:val="008C0651"/>
    <w:rsid w:val="008D23A6"/>
    <w:rsid w:val="008E3CDF"/>
    <w:rsid w:val="008E4CCE"/>
    <w:rsid w:val="008E62FF"/>
    <w:rsid w:val="008E6B0E"/>
    <w:rsid w:val="008F055D"/>
    <w:rsid w:val="00901BDF"/>
    <w:rsid w:val="00915159"/>
    <w:rsid w:val="009165EF"/>
    <w:rsid w:val="00922C5A"/>
    <w:rsid w:val="009356EE"/>
    <w:rsid w:val="0097352B"/>
    <w:rsid w:val="00973CD7"/>
    <w:rsid w:val="009A2228"/>
    <w:rsid w:val="009C2A23"/>
    <w:rsid w:val="009E4609"/>
    <w:rsid w:val="009F0131"/>
    <w:rsid w:val="009F317D"/>
    <w:rsid w:val="009F4B51"/>
    <w:rsid w:val="00A22FB8"/>
    <w:rsid w:val="00A463BF"/>
    <w:rsid w:val="00A52A7E"/>
    <w:rsid w:val="00A75EAF"/>
    <w:rsid w:val="00A942B0"/>
    <w:rsid w:val="00AA52B6"/>
    <w:rsid w:val="00AD6302"/>
    <w:rsid w:val="00B05088"/>
    <w:rsid w:val="00B23B74"/>
    <w:rsid w:val="00B30398"/>
    <w:rsid w:val="00B37586"/>
    <w:rsid w:val="00B43B9E"/>
    <w:rsid w:val="00B6785E"/>
    <w:rsid w:val="00B72EA6"/>
    <w:rsid w:val="00B8382F"/>
    <w:rsid w:val="00B8397D"/>
    <w:rsid w:val="00B95393"/>
    <w:rsid w:val="00B96C5E"/>
    <w:rsid w:val="00BA78ED"/>
    <w:rsid w:val="00BB2316"/>
    <w:rsid w:val="00BB3842"/>
    <w:rsid w:val="00BB6172"/>
    <w:rsid w:val="00BC4914"/>
    <w:rsid w:val="00BD1655"/>
    <w:rsid w:val="00BE1FE4"/>
    <w:rsid w:val="00BE5227"/>
    <w:rsid w:val="00C07CDE"/>
    <w:rsid w:val="00C2630D"/>
    <w:rsid w:val="00C3147A"/>
    <w:rsid w:val="00C36277"/>
    <w:rsid w:val="00C40221"/>
    <w:rsid w:val="00C52160"/>
    <w:rsid w:val="00C53138"/>
    <w:rsid w:val="00C57695"/>
    <w:rsid w:val="00C6084E"/>
    <w:rsid w:val="00C6239E"/>
    <w:rsid w:val="00C66C49"/>
    <w:rsid w:val="00C70A99"/>
    <w:rsid w:val="00C83F9A"/>
    <w:rsid w:val="00C8431E"/>
    <w:rsid w:val="00C93C39"/>
    <w:rsid w:val="00CA79B1"/>
    <w:rsid w:val="00CB2033"/>
    <w:rsid w:val="00CE1B10"/>
    <w:rsid w:val="00D06CD4"/>
    <w:rsid w:val="00D13FF3"/>
    <w:rsid w:val="00D1687C"/>
    <w:rsid w:val="00D20A6F"/>
    <w:rsid w:val="00D319FD"/>
    <w:rsid w:val="00D44268"/>
    <w:rsid w:val="00D772CF"/>
    <w:rsid w:val="00D90668"/>
    <w:rsid w:val="00D9309B"/>
    <w:rsid w:val="00DA3863"/>
    <w:rsid w:val="00DA5629"/>
    <w:rsid w:val="00DC6C32"/>
    <w:rsid w:val="00DE682D"/>
    <w:rsid w:val="00DF7161"/>
    <w:rsid w:val="00E0327D"/>
    <w:rsid w:val="00E119AB"/>
    <w:rsid w:val="00E126D0"/>
    <w:rsid w:val="00E14DDB"/>
    <w:rsid w:val="00E216FE"/>
    <w:rsid w:val="00E6473D"/>
    <w:rsid w:val="00E66A9A"/>
    <w:rsid w:val="00E840DD"/>
    <w:rsid w:val="00EA11A5"/>
    <w:rsid w:val="00EE180B"/>
    <w:rsid w:val="00EE78C1"/>
    <w:rsid w:val="00EF632B"/>
    <w:rsid w:val="00F20CE7"/>
    <w:rsid w:val="00F46E8B"/>
    <w:rsid w:val="00F66194"/>
    <w:rsid w:val="00F753EF"/>
    <w:rsid w:val="00F75A6E"/>
    <w:rsid w:val="00F90D88"/>
    <w:rsid w:val="00FA70C2"/>
    <w:rsid w:val="00FB4EA0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6087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D1F23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3D1F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2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2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1F2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3D1F23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3D1F23"/>
    <w:pPr>
      <w:spacing w:after="0"/>
    </w:pPr>
    <w:rPr>
      <w:sz w:val="16"/>
      <w:szCs w:val="22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3D1F23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3D1F2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1F23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3D1F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1F23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F2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D1F23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F2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1F23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3D1F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E14DDB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D1F23"/>
    <w:rPr>
      <w:rFonts w:ascii="Arial" w:eastAsiaTheme="minorEastAsia" w:hAnsi="Arial" w:cs="Times New Roman"/>
      <w:b/>
      <w:sz w:val="40"/>
      <w:szCs w:val="52"/>
    </w:rPr>
  </w:style>
  <w:style w:type="character" w:styleId="CommentReference">
    <w:name w:val="annotation reference"/>
    <w:basedOn w:val="DefaultParagraphFont"/>
    <w:uiPriority w:val="99"/>
    <w:unhideWhenUsed/>
    <w:rsid w:val="003D1F23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unhideWhenUsed/>
    <w:rsid w:val="003D1F2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3D1F23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1F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D1F2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1F23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1F23"/>
    <w:rPr>
      <w:rFonts w:ascii="Arial" w:eastAsiaTheme="minorEastAsia" w:hAnsi="Arial" w:cs="Times New Roman"/>
      <w:b/>
      <w:sz w:val="22"/>
    </w:rPr>
  </w:style>
  <w:style w:type="character" w:styleId="PageNumber">
    <w:name w:val="page number"/>
    <w:basedOn w:val="DefaultParagraphFont"/>
    <w:uiPriority w:val="99"/>
    <w:unhideWhenUsed/>
    <w:rsid w:val="003D1F23"/>
    <w:rPr>
      <w:b/>
    </w:rPr>
  </w:style>
  <w:style w:type="paragraph" w:styleId="Revision">
    <w:name w:val="Revision"/>
    <w:hidden/>
    <w:uiPriority w:val="99"/>
    <w:semiHidden/>
    <w:rsid w:val="003D1F23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D1F2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D1F2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D1F23"/>
    <w:pPr>
      <w:numPr>
        <w:numId w:val="4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D1F2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D1F2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D1F2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D1F2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D1F23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3D1F23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3D1F23"/>
    <w:pPr>
      <w:numPr>
        <w:numId w:val="4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3D1F23"/>
    <w:pPr>
      <w:numPr>
        <w:ilvl w:val="1"/>
        <w:numId w:val="4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D1F23"/>
    <w:pPr>
      <w:numPr>
        <w:numId w:val="4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D1F23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D1F2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D1F2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D1F23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D1F23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3D1F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2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2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1F2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3D1F23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3D1F23"/>
    <w:pPr>
      <w:spacing w:after="0"/>
    </w:pPr>
    <w:rPr>
      <w:sz w:val="16"/>
      <w:szCs w:val="22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3D1F23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3D1F2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1F23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3D1F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1F23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F2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D1F23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F2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1F23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3D1F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E14DDB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D1F23"/>
    <w:rPr>
      <w:rFonts w:ascii="Arial" w:eastAsiaTheme="minorEastAsia" w:hAnsi="Arial" w:cs="Times New Roman"/>
      <w:b/>
      <w:sz w:val="40"/>
      <w:szCs w:val="52"/>
    </w:rPr>
  </w:style>
  <w:style w:type="character" w:styleId="CommentReference">
    <w:name w:val="annotation reference"/>
    <w:basedOn w:val="DefaultParagraphFont"/>
    <w:uiPriority w:val="99"/>
    <w:unhideWhenUsed/>
    <w:rsid w:val="003D1F23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unhideWhenUsed/>
    <w:rsid w:val="003D1F2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3D1F23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1F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D1F2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1F23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1F23"/>
    <w:rPr>
      <w:rFonts w:ascii="Arial" w:eastAsiaTheme="minorEastAsia" w:hAnsi="Arial" w:cs="Times New Roman"/>
      <w:b/>
      <w:sz w:val="22"/>
    </w:rPr>
  </w:style>
  <w:style w:type="character" w:styleId="PageNumber">
    <w:name w:val="page number"/>
    <w:basedOn w:val="DefaultParagraphFont"/>
    <w:uiPriority w:val="99"/>
    <w:unhideWhenUsed/>
    <w:rsid w:val="003D1F23"/>
    <w:rPr>
      <w:b/>
    </w:rPr>
  </w:style>
  <w:style w:type="paragraph" w:styleId="Revision">
    <w:name w:val="Revision"/>
    <w:hidden/>
    <w:uiPriority w:val="99"/>
    <w:semiHidden/>
    <w:rsid w:val="003D1F23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D1F2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D1F2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D1F23"/>
    <w:pPr>
      <w:numPr>
        <w:numId w:val="4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D1F2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D1F2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D1F2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D1F2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D1F23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3D1F23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3D1F23"/>
    <w:pPr>
      <w:numPr>
        <w:numId w:val="4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3D1F23"/>
    <w:pPr>
      <w:numPr>
        <w:ilvl w:val="1"/>
        <w:numId w:val="4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D1F23"/>
    <w:pPr>
      <w:numPr>
        <w:numId w:val="4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D1F23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D1F2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D1F2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D1F23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shlearning.org/resources/library/530-lanalyse-de-march-en-situation-durgence?searched=1&amp;currentpage=6" TargetMode="External"/><Relationship Id="rId1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logcluster.org/sites/default/files/wfp_trade_logistics_assessment_2014.pdf" TargetMode="External"/><Relationship Id="rId17" Type="http://schemas.openxmlformats.org/officeDocument/2006/relationships/hyperlink" Target="http://documents.wfp.org/stellent/groups/public/documents/manual_guide_proced/wfp243856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df.usaid.gov/pdf_docs/PNADS36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gcluster.org/sites/default/files/wfp_trade_logistics_assessment_2014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ashlearning.org/resources/library/545-pre-crisis-market-mapping-and-analysis---step-by-step-guidance-for-practitioners" TargetMode="External"/><Relationship Id="rId23" Type="http://schemas.openxmlformats.org/officeDocument/2006/relationships/footer" Target="footer3.xml"/><Relationship Id="rId10" Type="http://schemas.openxmlformats.org/officeDocument/2006/relationships/hyperlink" Target="http://emma-toolkit.org/get/telechargez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ashlearning.org/resources/library/352-critres-minimaux-danalyse-de-march-en-situation-durgence-" TargetMode="External"/><Relationship Id="rId22" Type="http://schemas.openxmlformats.org/officeDocument/2006/relationships/header" Target="header3.xml"/><Relationship Id="rId27" Type="http://schemas.microsoft.com/office/2011/relationships/commentsExtended" Target="commentsExtended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3D5AC-8C03-475F-8368-1B86C891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538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Florence MAROT</cp:lastModifiedBy>
  <cp:revision>64</cp:revision>
  <cp:lastPrinted>2015-09-24T11:12:00Z</cp:lastPrinted>
  <dcterms:created xsi:type="dcterms:W3CDTF">2015-06-03T12:04:00Z</dcterms:created>
  <dcterms:modified xsi:type="dcterms:W3CDTF">2016-04-05T07:23:00Z</dcterms:modified>
</cp:coreProperties>
</file>