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EEB3" w14:textId="0CCF3D7B" w:rsidR="00B431D7" w:rsidRPr="00422881" w:rsidRDefault="00B431D7" w:rsidP="00807214">
      <w:pPr>
        <w:pStyle w:val="H1"/>
        <w:rPr>
          <w:lang w:val="fr-FR" w:eastAsia="ko-KR"/>
        </w:rPr>
      </w:pPr>
      <w:r w:rsidRPr="00422881">
        <w:rPr>
          <w:lang w:val="fr-FR" w:eastAsia="ko-KR"/>
        </w:rPr>
        <w:t xml:space="preserve">Feuille de route </w:t>
      </w:r>
      <w:r w:rsidR="00807214">
        <w:rPr>
          <w:lang w:val="fr-FR" w:eastAsia="ko-KR"/>
        </w:rPr>
        <w:t>pour</w:t>
      </w:r>
      <w:r w:rsidRPr="00422881">
        <w:rPr>
          <w:lang w:val="fr-FR" w:eastAsia="ko-KR"/>
        </w:rPr>
        <w:t xml:space="preserve"> le suivi des PTM</w:t>
      </w:r>
    </w:p>
    <w:p w14:paraId="261CD1C7" w14:textId="4AE6A028" w:rsidR="000D28A3" w:rsidRPr="00422881" w:rsidRDefault="0035507B" w:rsidP="000D28A3">
      <w:pPr>
        <w:pStyle w:val="H1"/>
        <w:ind w:left="-170"/>
        <w:rPr>
          <w:rFonts w:ascii="Arial Bold" w:hAnsi="Arial Bold"/>
          <w:sz w:val="20"/>
          <w:lang w:val="fr-FR" w:eastAsia="ko-KR"/>
        </w:rPr>
      </w:pPr>
      <w:r>
        <w:rPr>
          <w:lang w:val="fr-FR" w:eastAsia="ko-KR"/>
        </w:rPr>
        <w:pict w14:anchorId="006B5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119.6pt">
            <v:imagedata r:id="rId8" o:title="05-Monitoring_Evaluation-rodmap-EN2"/>
          </v:shape>
        </w:pict>
      </w:r>
    </w:p>
    <w:p w14:paraId="26C4C563" w14:textId="77777777" w:rsidR="000A3581" w:rsidRPr="00422881" w:rsidRDefault="000A3581" w:rsidP="00AB121E">
      <w:pPr>
        <w:pStyle w:val="Heading2"/>
        <w:spacing w:before="480"/>
        <w:rPr>
          <w:lang w:val="fr-FR"/>
        </w:rPr>
      </w:pPr>
      <w:r w:rsidRPr="00422881">
        <w:rPr>
          <w:lang w:val="fr-FR"/>
        </w:rPr>
        <w:t>INTRODUCTION</w:t>
      </w:r>
    </w:p>
    <w:p w14:paraId="21BB2B86" w14:textId="203FA035" w:rsidR="00FD4FDE" w:rsidRPr="00422881" w:rsidRDefault="006465F2" w:rsidP="006465F2">
      <w:pPr>
        <w:rPr>
          <w:lang w:val="fr-FR"/>
        </w:rPr>
      </w:pPr>
      <w:r>
        <w:rPr>
          <w:lang w:val="fr-FR"/>
        </w:rPr>
        <w:t>Cette</w:t>
      </w:r>
      <w:r w:rsidR="00FD4FDE" w:rsidRPr="00422881">
        <w:rPr>
          <w:lang w:val="fr-FR"/>
        </w:rPr>
        <w:t xml:space="preserve"> feuille de route vous guidera </w:t>
      </w:r>
      <w:r>
        <w:rPr>
          <w:lang w:val="fr-FR"/>
        </w:rPr>
        <w:t xml:space="preserve">tout au long du processus de suivi du programme (établissement d’une </w:t>
      </w:r>
      <w:r w:rsidR="00FD4FDE" w:rsidRPr="00422881">
        <w:rPr>
          <w:lang w:val="fr-FR"/>
        </w:rPr>
        <w:t xml:space="preserve">base de référence, suivi des </w:t>
      </w:r>
      <w:r>
        <w:rPr>
          <w:lang w:val="fr-FR"/>
        </w:rPr>
        <w:t>versements</w:t>
      </w:r>
      <w:r w:rsidR="00FD4FDE" w:rsidRPr="00422881">
        <w:rPr>
          <w:lang w:val="fr-FR"/>
        </w:rPr>
        <w:t xml:space="preserve"> et suivi </w:t>
      </w:r>
      <w:r>
        <w:rPr>
          <w:lang w:val="fr-FR"/>
        </w:rPr>
        <w:t>post</w:t>
      </w:r>
      <w:r w:rsidR="00FD4FDE" w:rsidRPr="00422881">
        <w:rPr>
          <w:lang w:val="fr-FR"/>
        </w:rPr>
        <w:t>-distribution.</w:t>
      </w:r>
    </w:p>
    <w:p w14:paraId="1E4BA259" w14:textId="6466078E" w:rsidR="00FD4FDE" w:rsidRPr="00422881" w:rsidRDefault="006465F2" w:rsidP="0076731D">
      <w:pPr>
        <w:rPr>
          <w:rFonts w:eastAsia="MS Mincho"/>
          <w:lang w:val="fr-FR"/>
        </w:rPr>
      </w:pPr>
      <w:r w:rsidRPr="006465F2">
        <w:rPr>
          <w:rFonts w:eastAsia="MS Mincho"/>
          <w:lang w:val="fr-FR"/>
        </w:rPr>
        <w:t>Elle vous indiquera également quel</w:t>
      </w:r>
      <w:r w:rsidR="0035507B">
        <w:rPr>
          <w:rFonts w:eastAsia="MS Mincho"/>
          <w:lang w:val="fr-FR"/>
        </w:rPr>
        <w:t>le</w:t>
      </w:r>
      <w:bookmarkStart w:id="0" w:name="_GoBack"/>
      <w:bookmarkEnd w:id="0"/>
      <w:r w:rsidRPr="006465F2">
        <w:rPr>
          <w:rFonts w:eastAsia="MS Mincho"/>
          <w:lang w:val="fr-FR"/>
        </w:rPr>
        <w:t>s sont les ressources de la Boîte à outils qui sont les plus utiles pour cette é</w:t>
      </w:r>
      <w:r>
        <w:rPr>
          <w:rFonts w:eastAsia="MS Mincho"/>
          <w:lang w:val="fr-FR"/>
        </w:rPr>
        <w:t>tape et ses étapes subsidiaires</w:t>
      </w:r>
      <w:r w:rsidR="00FD4FDE" w:rsidRPr="00422881">
        <w:rPr>
          <w:rFonts w:eastAsia="MS Mincho"/>
          <w:lang w:val="fr-FR"/>
        </w:rPr>
        <w:t xml:space="preserve">. </w:t>
      </w:r>
      <w:r>
        <w:rPr>
          <w:rFonts w:eastAsia="MS Mincho"/>
          <w:lang w:val="fr-FR"/>
        </w:rPr>
        <w:t>C</w:t>
      </w:r>
      <w:r w:rsidR="00FD4FDE" w:rsidRPr="00422881">
        <w:rPr>
          <w:rFonts w:eastAsia="MS Mincho"/>
          <w:lang w:val="fr-FR"/>
        </w:rPr>
        <w:t>es outils devront être adaptés à vos besoins et au contexte.</w:t>
      </w:r>
    </w:p>
    <w:p w14:paraId="62235DEB" w14:textId="1ECBAD2D" w:rsidR="00EF3D73" w:rsidRPr="00422881" w:rsidRDefault="006465F2" w:rsidP="006465F2">
      <w:pPr>
        <w:rPr>
          <w:rFonts w:eastAsia="MS Mincho"/>
          <w:lang w:val="fr-FR"/>
        </w:rPr>
      </w:pPr>
      <w:r w:rsidRPr="006465F2">
        <w:rPr>
          <w:rFonts w:eastAsia="MS Mincho"/>
          <w:lang w:val="fr-FR"/>
        </w:rPr>
        <w:t>Il est important de respecter les normes minimales définies pour cette étape aux fins de garantir la qualité des programmes de transferts monétaires (PTM).</w:t>
      </w:r>
    </w:p>
    <w:p w14:paraId="03D880CD" w14:textId="635391F9" w:rsidR="00EF3D73" w:rsidRPr="00422881" w:rsidRDefault="006465F2" w:rsidP="006465F2">
      <w:pPr>
        <w:rPr>
          <w:rFonts w:eastAsia="MS Mincho"/>
          <w:lang w:val="fr-FR"/>
        </w:rPr>
      </w:pPr>
      <w:r w:rsidRPr="006465F2">
        <w:rPr>
          <w:rFonts w:eastAsia="MS Mincho"/>
          <w:lang w:val="fr-FR"/>
        </w:rPr>
        <w:t xml:space="preserve">Il est probable que vous deviez </w:t>
      </w:r>
      <w:r w:rsidRPr="006465F2">
        <w:rPr>
          <w:rFonts w:eastAsia="MS Mincho"/>
          <w:b/>
          <w:lang w:val="fr-FR"/>
        </w:rPr>
        <w:t>aller et venir</w:t>
      </w:r>
      <w:r w:rsidRPr="006465F2">
        <w:rPr>
          <w:rFonts w:eastAsia="MS Mincho"/>
          <w:lang w:val="fr-FR"/>
        </w:rPr>
        <w:t xml:space="preserve"> entre les différentes étapes subsidiaires pour orienter la prise de décisions à mesure que des informations deviennent disponibles et que la mise en œuvre du processus progresse.</w:t>
      </w:r>
    </w:p>
    <w:p w14:paraId="4C5AE5E8" w14:textId="646FB5B9" w:rsidR="00EF3D73" w:rsidRPr="00422881" w:rsidRDefault="006465F2" w:rsidP="006465F2">
      <w:pPr>
        <w:rPr>
          <w:rFonts w:eastAsia="MS Mincho"/>
          <w:lang w:val="fr-FR"/>
        </w:rPr>
      </w:pPr>
      <w:r w:rsidRPr="009C3D35">
        <w:rPr>
          <w:lang w:val="fr-FR"/>
        </w:rPr>
        <w:t>Pour obtenir des orientations plus détaillées sur</w:t>
      </w:r>
      <w:r w:rsidR="00EF3D73" w:rsidRPr="00422881">
        <w:rPr>
          <w:rFonts w:eastAsia="MS Mincho"/>
          <w:lang w:val="fr-FR"/>
        </w:rPr>
        <w:t xml:space="preserve"> le suivi des PTM, </w:t>
      </w:r>
      <w:r w:rsidRPr="006465F2">
        <w:rPr>
          <w:rFonts w:eastAsia="MS Mincho"/>
          <w:lang w:val="fr-FR"/>
        </w:rPr>
        <w:t>veuillez consulter les documents de référence mentionnés à la fin du document</w:t>
      </w:r>
      <w:r w:rsidR="00EF3D73" w:rsidRPr="00422881">
        <w:rPr>
          <w:rFonts w:eastAsia="MS Mincho"/>
          <w:lang w:val="fr-FR"/>
        </w:rPr>
        <w:t xml:space="preserve">.  </w:t>
      </w:r>
    </w:p>
    <w:p w14:paraId="3C80C5EB" w14:textId="3871C508" w:rsidR="000A3581" w:rsidRPr="00422881" w:rsidRDefault="00B431D7" w:rsidP="0047617F">
      <w:pPr>
        <w:pStyle w:val="Heading2"/>
        <w:rPr>
          <w:lang w:val="fr-FR"/>
        </w:rPr>
      </w:pPr>
      <w:r w:rsidRPr="00422881">
        <w:rPr>
          <w:lang w:val="fr-FR"/>
        </w:rPr>
        <w:t>NORMES MINIMALES</w:t>
      </w:r>
    </w:p>
    <w:p w14:paraId="446A1235" w14:textId="6D7867FA" w:rsidR="00EF3D73" w:rsidRPr="00422881" w:rsidRDefault="00EF3D73" w:rsidP="00CD592B">
      <w:pPr>
        <w:pStyle w:val="Bullet1"/>
        <w:rPr>
          <w:lang w:val="fr-FR"/>
        </w:rPr>
      </w:pPr>
      <w:r w:rsidRPr="00422881">
        <w:rPr>
          <w:lang w:val="fr-FR"/>
        </w:rPr>
        <w:t xml:space="preserve">Dans l’idéal, les données de référence devraient être collectées </w:t>
      </w:r>
      <w:r w:rsidR="00430342" w:rsidRPr="00422881">
        <w:rPr>
          <w:lang w:val="fr-FR"/>
        </w:rPr>
        <w:t xml:space="preserve">avant la première série </w:t>
      </w:r>
      <w:r w:rsidR="00CD592B">
        <w:rPr>
          <w:lang w:val="fr-FR"/>
        </w:rPr>
        <w:t>de versements</w:t>
      </w:r>
      <w:r w:rsidR="006770ED">
        <w:rPr>
          <w:lang w:val="fr-FR"/>
        </w:rPr>
        <w:t>,</w:t>
      </w:r>
      <w:r w:rsidRPr="00422881">
        <w:rPr>
          <w:lang w:val="fr-FR"/>
        </w:rPr>
        <w:t xml:space="preserve"> ou au plus tard </w:t>
      </w:r>
      <w:r w:rsidR="00CD592B" w:rsidRPr="00CD592B">
        <w:rPr>
          <w:lang w:val="fr-CH"/>
        </w:rPr>
        <w:t>quand ces versements sont effectués</w:t>
      </w:r>
      <w:r w:rsidRPr="00422881">
        <w:rPr>
          <w:lang w:val="fr-FR"/>
        </w:rPr>
        <w:t>.</w:t>
      </w:r>
    </w:p>
    <w:p w14:paraId="7A7B1883" w14:textId="638278DE" w:rsidR="00EF3D73" w:rsidRPr="00422881" w:rsidRDefault="001D72EA" w:rsidP="00CD592B">
      <w:pPr>
        <w:pStyle w:val="Bullet1"/>
        <w:rPr>
          <w:lang w:val="fr-FR"/>
        </w:rPr>
      </w:pPr>
      <w:r w:rsidRPr="00422881">
        <w:rPr>
          <w:lang w:val="fr-FR"/>
        </w:rPr>
        <w:t xml:space="preserve">Les </w:t>
      </w:r>
      <w:r w:rsidR="00CD592B">
        <w:rPr>
          <w:lang w:val="fr-FR"/>
        </w:rPr>
        <w:t>versements</w:t>
      </w:r>
      <w:r w:rsidRPr="00422881">
        <w:rPr>
          <w:lang w:val="fr-FR"/>
        </w:rPr>
        <w:t xml:space="preserve"> devraient faire l’objet d’un suivi direct même s’ils sont effectués </w:t>
      </w:r>
      <w:r w:rsidR="00CD592B">
        <w:rPr>
          <w:rFonts w:cs="Arial"/>
          <w:lang w:val="fr-CH"/>
        </w:rPr>
        <w:t>par un organisme tiers</w:t>
      </w:r>
      <w:r w:rsidRPr="00422881">
        <w:rPr>
          <w:lang w:val="fr-FR"/>
        </w:rPr>
        <w:t>.</w:t>
      </w:r>
    </w:p>
    <w:p w14:paraId="52BCD3D7" w14:textId="2CD3B358" w:rsidR="001D72EA" w:rsidRPr="00422881" w:rsidRDefault="001D72EA" w:rsidP="00CD592B">
      <w:pPr>
        <w:pStyle w:val="Bullet1"/>
        <w:rPr>
          <w:lang w:val="fr-FR"/>
        </w:rPr>
      </w:pPr>
      <w:r w:rsidRPr="00422881">
        <w:rPr>
          <w:lang w:val="fr-FR"/>
        </w:rPr>
        <w:t xml:space="preserve">Le suivi </w:t>
      </w:r>
      <w:r w:rsidR="00CD592B">
        <w:rPr>
          <w:lang w:val="fr-FR"/>
        </w:rPr>
        <w:t>post</w:t>
      </w:r>
      <w:r w:rsidRPr="00422881">
        <w:rPr>
          <w:lang w:val="fr-FR"/>
        </w:rPr>
        <w:t>-distribution devrait être programmé de façon à laisser aux bénéficiaires suffisamment de temps pour utiliser les fonds reçus.</w:t>
      </w:r>
    </w:p>
    <w:p w14:paraId="108C7A19" w14:textId="44B63285" w:rsidR="001D72EA" w:rsidRPr="00422881" w:rsidRDefault="001D72EA" w:rsidP="00CD592B">
      <w:pPr>
        <w:pStyle w:val="Bullet1"/>
        <w:rPr>
          <w:lang w:val="fr-FR"/>
        </w:rPr>
      </w:pPr>
      <w:r w:rsidRPr="00422881">
        <w:rPr>
          <w:lang w:val="fr-FR"/>
        </w:rPr>
        <w:t xml:space="preserve">Le </w:t>
      </w:r>
      <w:r w:rsidR="00CD592B" w:rsidRPr="00422881">
        <w:rPr>
          <w:lang w:val="fr-FR"/>
        </w:rPr>
        <w:t xml:space="preserve">suivi </w:t>
      </w:r>
      <w:r w:rsidR="00CD592B">
        <w:rPr>
          <w:lang w:val="fr-FR"/>
        </w:rPr>
        <w:t>post</w:t>
      </w:r>
      <w:r w:rsidR="00CD592B" w:rsidRPr="00422881">
        <w:rPr>
          <w:lang w:val="fr-FR"/>
        </w:rPr>
        <w:t xml:space="preserve">-distribution </w:t>
      </w:r>
      <w:r w:rsidRPr="00422881">
        <w:rPr>
          <w:lang w:val="fr-FR"/>
        </w:rPr>
        <w:t>devrait combiner des données quantitatives et qualitatives de différentes sources afin de permettre la triangulation</w:t>
      </w:r>
      <w:r w:rsidR="00BF0A61" w:rsidRPr="00422881">
        <w:rPr>
          <w:lang w:val="fr-FR"/>
        </w:rPr>
        <w:t>.</w:t>
      </w:r>
    </w:p>
    <w:p w14:paraId="3002378D" w14:textId="6EAFE975" w:rsidR="00D77A5A" w:rsidRPr="00422881" w:rsidRDefault="00CD592B" w:rsidP="00CD592B">
      <w:pPr>
        <w:pStyle w:val="Heading2"/>
        <w:rPr>
          <w:lang w:val="fr-FR"/>
        </w:rPr>
      </w:pPr>
      <w:r w:rsidRPr="00F4049E">
        <w:rPr>
          <w:rFonts w:cs="Arial"/>
          <w:lang w:val="fr-FR"/>
        </w:rPr>
        <w:t>Étapes subsidiaires</w:t>
      </w:r>
      <w:r w:rsidRPr="00422881">
        <w:rPr>
          <w:lang w:val="fr-FR"/>
        </w:rPr>
        <w:t xml:space="preserve"> </w:t>
      </w:r>
      <w:r>
        <w:rPr>
          <w:lang w:val="fr-FR"/>
        </w:rPr>
        <w:t>et outils</w:t>
      </w:r>
    </w:p>
    <w:p w14:paraId="713D7ED2" w14:textId="6139E9A0" w:rsidR="00047584" w:rsidRPr="00422881" w:rsidRDefault="00CD592B" w:rsidP="0047617F">
      <w:pPr>
        <w:pStyle w:val="Heading3"/>
        <w:rPr>
          <w:lang w:val="fr-FR"/>
        </w:rPr>
      </w:pPr>
      <w:r>
        <w:rPr>
          <w:lang w:val="fr-FR"/>
        </w:rPr>
        <w:t>Établissement d’une base</w:t>
      </w:r>
      <w:r w:rsidR="007B6326" w:rsidRPr="00422881">
        <w:rPr>
          <w:lang w:val="fr-FR"/>
        </w:rPr>
        <w:t xml:space="preserve"> de référence</w:t>
      </w:r>
    </w:p>
    <w:p w14:paraId="4A622275" w14:textId="092F014B" w:rsidR="00BF0A61" w:rsidRPr="00422881" w:rsidRDefault="00BF0A61" w:rsidP="005B622B">
      <w:pPr>
        <w:rPr>
          <w:lang w:val="fr-FR"/>
        </w:rPr>
      </w:pPr>
      <w:r w:rsidRPr="00422881">
        <w:rPr>
          <w:lang w:val="fr-FR"/>
        </w:rPr>
        <w:t xml:space="preserve">Les données de référence sont indispensables pour </w:t>
      </w:r>
      <w:r w:rsidR="005A785D" w:rsidRPr="00422881">
        <w:rPr>
          <w:lang w:val="fr-FR"/>
        </w:rPr>
        <w:t xml:space="preserve">suivre les changements induits par le programme. </w:t>
      </w:r>
      <w:r w:rsidR="00722E35" w:rsidRPr="00422881">
        <w:rPr>
          <w:lang w:val="fr-FR"/>
        </w:rPr>
        <w:t>L</w:t>
      </w:r>
      <w:r w:rsidR="006F5F47" w:rsidRPr="00422881">
        <w:rPr>
          <w:lang w:val="fr-FR"/>
        </w:rPr>
        <w:t xml:space="preserve">es données </w:t>
      </w:r>
      <w:r w:rsidR="0005248B" w:rsidRPr="00422881">
        <w:rPr>
          <w:lang w:val="fr-FR"/>
        </w:rPr>
        <w:t xml:space="preserve">initiales </w:t>
      </w:r>
      <w:r w:rsidR="006F5F47" w:rsidRPr="00422881">
        <w:rPr>
          <w:lang w:val="fr-FR"/>
        </w:rPr>
        <w:t xml:space="preserve">décrivant la situation avant le choc </w:t>
      </w:r>
      <w:r w:rsidR="00722E35" w:rsidRPr="00422881">
        <w:rPr>
          <w:lang w:val="fr-FR"/>
        </w:rPr>
        <w:t xml:space="preserve">peuvent provenir </w:t>
      </w:r>
      <w:r w:rsidR="006F5F47" w:rsidRPr="00422881">
        <w:rPr>
          <w:lang w:val="fr-FR"/>
        </w:rPr>
        <w:t>de sources secondaires, comme le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mécanisme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d’alerte précoce et le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système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de suivi de la sécurité alimentaire, </w:t>
      </w:r>
      <w:r w:rsidR="00B34391" w:rsidRPr="00422881">
        <w:rPr>
          <w:lang w:val="fr-FR"/>
        </w:rPr>
        <w:t xml:space="preserve">ou </w:t>
      </w:r>
      <w:r w:rsidR="006F5F47" w:rsidRPr="00422881">
        <w:rPr>
          <w:lang w:val="fr-FR"/>
        </w:rPr>
        <w:t xml:space="preserve">des activités de </w:t>
      </w:r>
      <w:r w:rsidR="006F5F47" w:rsidRPr="00422881">
        <w:rPr>
          <w:lang w:val="fr-FR"/>
        </w:rPr>
        <w:lastRenderedPageBreak/>
        <w:t xml:space="preserve">préparation. </w:t>
      </w:r>
      <w:r w:rsidR="00722E35" w:rsidRPr="00422881">
        <w:rPr>
          <w:lang w:val="fr-FR"/>
        </w:rPr>
        <w:t>D</w:t>
      </w:r>
      <w:r w:rsidR="006F5F47" w:rsidRPr="00422881">
        <w:rPr>
          <w:lang w:val="fr-FR"/>
        </w:rPr>
        <w:t xml:space="preserve">es enquêtes </w:t>
      </w:r>
      <w:r w:rsidR="00722E35" w:rsidRPr="00422881">
        <w:rPr>
          <w:lang w:val="fr-FR"/>
        </w:rPr>
        <w:t>de référence</w:t>
      </w:r>
      <w:r w:rsidR="006F5F47" w:rsidRPr="00422881">
        <w:rPr>
          <w:lang w:val="fr-FR"/>
        </w:rPr>
        <w:t xml:space="preserve"> peuvent </w:t>
      </w:r>
      <w:r w:rsidR="00722E35" w:rsidRPr="00422881">
        <w:rPr>
          <w:lang w:val="fr-FR"/>
        </w:rPr>
        <w:t xml:space="preserve">aussi </w:t>
      </w:r>
      <w:r w:rsidR="006F5F47" w:rsidRPr="00422881">
        <w:rPr>
          <w:lang w:val="fr-FR"/>
        </w:rPr>
        <w:t xml:space="preserve">être réalisées au moment de l’évaluation des besoins pour </w:t>
      </w:r>
      <w:r w:rsidR="007F0220" w:rsidRPr="00422881">
        <w:rPr>
          <w:lang w:val="fr-FR"/>
        </w:rPr>
        <w:t>rendre compte de</w:t>
      </w:r>
      <w:r w:rsidR="006F5F47" w:rsidRPr="00422881">
        <w:rPr>
          <w:lang w:val="fr-FR"/>
        </w:rPr>
        <w:t xml:space="preserve"> la situation juste après le choc. Dans le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module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consacré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à la préparation et à l’évaluation, vous trouverez des exemples de questionnaire</w:t>
      </w:r>
      <w:r w:rsidR="00B34391" w:rsidRPr="00422881">
        <w:rPr>
          <w:lang w:val="fr-FR"/>
        </w:rPr>
        <w:t>s</w:t>
      </w:r>
      <w:r w:rsidR="006F5F47" w:rsidRPr="00422881">
        <w:rPr>
          <w:lang w:val="fr-FR"/>
        </w:rPr>
        <w:t xml:space="preserve"> pouvant être utilisés dans ces </w:t>
      </w:r>
      <w:r w:rsidR="00B34391" w:rsidRPr="00422881">
        <w:rPr>
          <w:lang w:val="fr-FR"/>
        </w:rPr>
        <w:t xml:space="preserve">différentes </w:t>
      </w:r>
      <w:r w:rsidR="006F5F47" w:rsidRPr="00422881">
        <w:rPr>
          <w:lang w:val="fr-FR"/>
        </w:rPr>
        <w:t>phases.</w:t>
      </w:r>
    </w:p>
    <w:p w14:paraId="2A8AE0E5" w14:textId="6D9C2C81" w:rsidR="006F5F47" w:rsidRPr="00422881" w:rsidRDefault="006F5F47" w:rsidP="00CD592B">
      <w:pPr>
        <w:rPr>
          <w:lang w:val="fr-FR"/>
        </w:rPr>
      </w:pPr>
      <w:r w:rsidRPr="00422881">
        <w:rPr>
          <w:lang w:val="fr-FR"/>
        </w:rPr>
        <w:t xml:space="preserve">Pour </w:t>
      </w:r>
      <w:r w:rsidR="00005A9D" w:rsidRPr="00422881">
        <w:rPr>
          <w:lang w:val="fr-FR"/>
        </w:rPr>
        <w:t>établir</w:t>
      </w:r>
      <w:r w:rsidRPr="00422881">
        <w:rPr>
          <w:lang w:val="fr-FR"/>
        </w:rPr>
        <w:t xml:space="preserve"> une base de référence </w:t>
      </w:r>
      <w:r w:rsidR="00005A9D" w:rsidRPr="00422881">
        <w:rPr>
          <w:lang w:val="fr-FR"/>
        </w:rPr>
        <w:t>fondée</w:t>
      </w:r>
      <w:r w:rsidRPr="00422881">
        <w:rPr>
          <w:lang w:val="fr-FR"/>
        </w:rPr>
        <w:t xml:space="preserve"> s</w:t>
      </w:r>
      <w:r w:rsidR="00B34391" w:rsidRPr="00422881">
        <w:rPr>
          <w:lang w:val="fr-FR"/>
        </w:rPr>
        <w:t>ur les indicateurs de programme</w:t>
      </w:r>
      <w:r w:rsidRPr="00422881">
        <w:rPr>
          <w:lang w:val="fr-FR"/>
        </w:rPr>
        <w:t xml:space="preserve"> </w:t>
      </w:r>
      <w:r w:rsidR="00005A9D" w:rsidRPr="00422881">
        <w:rPr>
          <w:lang w:val="fr-FR"/>
        </w:rPr>
        <w:t>définis</w:t>
      </w:r>
      <w:r w:rsidRPr="00422881">
        <w:rPr>
          <w:lang w:val="fr-FR"/>
        </w:rPr>
        <w:t xml:space="preserve"> dans le cadre logique et la matrice de suivi </w:t>
      </w:r>
      <w:r w:rsidR="00B34391" w:rsidRPr="00422881">
        <w:rPr>
          <w:lang w:val="fr-FR"/>
        </w:rPr>
        <w:t>et d’évaluation</w:t>
      </w:r>
      <w:r w:rsidRPr="00422881">
        <w:rPr>
          <w:lang w:val="fr-FR"/>
        </w:rPr>
        <w:t xml:space="preserve">, </w:t>
      </w:r>
      <w:r w:rsidR="00B34391" w:rsidRPr="00422881">
        <w:rPr>
          <w:lang w:val="fr-FR"/>
        </w:rPr>
        <w:t>vous devrez</w:t>
      </w:r>
      <w:r w:rsidRPr="00422881">
        <w:rPr>
          <w:lang w:val="fr-FR"/>
        </w:rPr>
        <w:t xml:space="preserve"> collecter des données auprès d’un échantillon de la population visée. Cela peut être fait juste </w:t>
      </w:r>
      <w:r w:rsidR="007F5203" w:rsidRPr="00422881">
        <w:rPr>
          <w:lang w:val="fr-FR"/>
        </w:rPr>
        <w:t xml:space="preserve">avant la première série </w:t>
      </w:r>
      <w:r w:rsidR="00CD592B">
        <w:rPr>
          <w:lang w:val="fr-FR"/>
        </w:rPr>
        <w:t>de versements</w:t>
      </w:r>
      <w:r w:rsidR="007F5203" w:rsidRPr="00422881">
        <w:rPr>
          <w:lang w:val="fr-FR"/>
        </w:rPr>
        <w:t xml:space="preserve"> ou </w:t>
      </w:r>
      <w:r w:rsidR="00CD592B" w:rsidRPr="00CD592B">
        <w:rPr>
          <w:lang w:val="fr-CH"/>
        </w:rPr>
        <w:t>quand ces versements sont effectués</w:t>
      </w:r>
      <w:r w:rsidRPr="00422881">
        <w:rPr>
          <w:lang w:val="fr-FR"/>
        </w:rPr>
        <w:t xml:space="preserve">. Pour ce faire, vous pouvez adapter </w:t>
      </w:r>
      <w:r w:rsidR="00CD592B">
        <w:rPr>
          <w:lang w:val="fr-FR"/>
        </w:rPr>
        <w:t>pour votre utilisation</w:t>
      </w:r>
      <w:r w:rsidRPr="00422881">
        <w:rPr>
          <w:lang w:val="fr-FR"/>
        </w:rPr>
        <w:t xml:space="preserve"> le questionnaire de </w:t>
      </w:r>
      <w:r w:rsidR="00B34391" w:rsidRPr="00422881">
        <w:rPr>
          <w:lang w:val="fr-FR"/>
        </w:rPr>
        <w:t xml:space="preserve">référence figurant dans les outils </w:t>
      </w:r>
      <w:r w:rsidR="00CD592B">
        <w:rPr>
          <w:lang w:val="fr-FR"/>
        </w:rPr>
        <w:t>de cette étape subsidiaire</w:t>
      </w:r>
      <w:r w:rsidR="00B34391" w:rsidRPr="00422881">
        <w:rPr>
          <w:lang w:val="fr-FR"/>
        </w:rPr>
        <w:t>.</w:t>
      </w:r>
    </w:p>
    <w:p w14:paraId="6409693E" w14:textId="73DAFC8B" w:rsidR="00047584" w:rsidRPr="00422881" w:rsidRDefault="00C01580" w:rsidP="00A203DE">
      <w:pPr>
        <w:pStyle w:val="Heading3"/>
        <w:keepLines/>
        <w:rPr>
          <w:lang w:val="fr-FR"/>
        </w:rPr>
      </w:pPr>
      <w:r w:rsidRPr="00422881">
        <w:rPr>
          <w:lang w:val="fr-FR"/>
        </w:rPr>
        <w:t xml:space="preserve">Suivi des </w:t>
      </w:r>
      <w:r w:rsidR="00A203DE">
        <w:rPr>
          <w:lang w:val="fr-FR"/>
        </w:rPr>
        <w:t>versements</w:t>
      </w:r>
    </w:p>
    <w:p w14:paraId="0207BEB1" w14:textId="587BF562" w:rsidR="00265EC5" w:rsidRPr="00422881" w:rsidRDefault="00716D34" w:rsidP="00A203DE">
      <w:pPr>
        <w:keepNext/>
        <w:keepLines/>
        <w:rPr>
          <w:lang w:val="fr-FR"/>
        </w:rPr>
      </w:pPr>
      <w:r w:rsidRPr="00422881">
        <w:rPr>
          <w:lang w:val="fr-FR"/>
        </w:rPr>
        <w:t xml:space="preserve">Il faut </w:t>
      </w:r>
      <w:r w:rsidR="008B0C3A" w:rsidRPr="00422881">
        <w:rPr>
          <w:lang w:val="fr-FR"/>
        </w:rPr>
        <w:t xml:space="preserve">suivre le processus </w:t>
      </w:r>
      <w:r w:rsidR="00A203DE">
        <w:rPr>
          <w:lang w:val="fr-FR"/>
        </w:rPr>
        <w:t>de versement</w:t>
      </w:r>
      <w:r w:rsidR="008B0C3A" w:rsidRPr="00422881">
        <w:rPr>
          <w:lang w:val="fr-FR"/>
        </w:rPr>
        <w:t xml:space="preserve"> pour confirmer que les bénéficiaires ont reçu le montant correct dans les délais et que </w:t>
      </w:r>
      <w:r w:rsidR="00817906" w:rsidRPr="00422881">
        <w:rPr>
          <w:lang w:val="fr-FR"/>
        </w:rPr>
        <w:t xml:space="preserve">les opérations ont </w:t>
      </w:r>
      <w:r w:rsidR="00265EC5" w:rsidRPr="00422881">
        <w:rPr>
          <w:lang w:val="fr-FR"/>
        </w:rPr>
        <w:t>été conduit</w:t>
      </w:r>
      <w:r w:rsidR="00817906" w:rsidRPr="00422881">
        <w:rPr>
          <w:lang w:val="fr-FR"/>
        </w:rPr>
        <w:t>es</w:t>
      </w:r>
      <w:r w:rsidR="00265EC5" w:rsidRPr="00422881">
        <w:rPr>
          <w:lang w:val="fr-FR"/>
        </w:rPr>
        <w:t xml:space="preserve"> </w:t>
      </w:r>
      <w:r w:rsidR="00817906" w:rsidRPr="00422881">
        <w:rPr>
          <w:lang w:val="fr-FR"/>
        </w:rPr>
        <w:t>dans les règles</w:t>
      </w:r>
      <w:r w:rsidR="008B0C3A" w:rsidRPr="00422881">
        <w:rPr>
          <w:lang w:val="fr-FR"/>
        </w:rPr>
        <w:t xml:space="preserve">. Les </w:t>
      </w:r>
      <w:r w:rsidR="00A203DE">
        <w:rPr>
          <w:lang w:val="fr-FR"/>
        </w:rPr>
        <w:t>versements</w:t>
      </w:r>
      <w:r w:rsidR="008B0C3A" w:rsidRPr="00422881">
        <w:rPr>
          <w:lang w:val="fr-FR"/>
        </w:rPr>
        <w:t xml:space="preserve"> doivent faire l’objet d’un suivi</w:t>
      </w:r>
      <w:r w:rsidR="00265EC5" w:rsidRPr="00422881">
        <w:rPr>
          <w:lang w:val="fr-FR"/>
        </w:rPr>
        <w:t>,</w:t>
      </w:r>
      <w:r w:rsidR="008B0C3A" w:rsidRPr="00422881">
        <w:rPr>
          <w:lang w:val="fr-FR"/>
        </w:rPr>
        <w:t xml:space="preserve"> que les fonds aient été distribués directement </w:t>
      </w:r>
      <w:r w:rsidR="00265EC5" w:rsidRPr="00422881">
        <w:rPr>
          <w:lang w:val="fr-FR"/>
        </w:rPr>
        <w:t xml:space="preserve">par </w:t>
      </w:r>
      <w:r w:rsidR="008B0C3A" w:rsidRPr="00422881">
        <w:rPr>
          <w:lang w:val="fr-FR"/>
        </w:rPr>
        <w:t xml:space="preserve">la Croix-Rouge et le Croissant-Rouge ou par des </w:t>
      </w:r>
      <w:r w:rsidR="00A203DE">
        <w:rPr>
          <w:lang w:val="fr-FR"/>
        </w:rPr>
        <w:t>prestataires</w:t>
      </w:r>
      <w:r w:rsidR="008B0C3A" w:rsidRPr="00422881">
        <w:rPr>
          <w:lang w:val="fr-FR"/>
        </w:rPr>
        <w:t xml:space="preserve"> de services extérieurs. Dans ce dernier cas, des </w:t>
      </w:r>
      <w:r w:rsidR="004146A5" w:rsidRPr="00422881">
        <w:rPr>
          <w:lang w:val="fr-FR"/>
        </w:rPr>
        <w:t>collaborateurs</w:t>
      </w:r>
      <w:r w:rsidR="008B0C3A" w:rsidRPr="00422881">
        <w:rPr>
          <w:lang w:val="fr-FR"/>
        </w:rPr>
        <w:t xml:space="preserve"> de la Croix-Rouge et du Croissant-Rouge devrai</w:t>
      </w:r>
      <w:r w:rsidR="00265EC5" w:rsidRPr="00422881">
        <w:rPr>
          <w:lang w:val="fr-FR"/>
        </w:rPr>
        <w:t>en</w:t>
      </w:r>
      <w:r w:rsidR="008B0C3A" w:rsidRPr="00422881">
        <w:rPr>
          <w:lang w:val="fr-FR"/>
        </w:rPr>
        <w:t>t être présent</w:t>
      </w:r>
      <w:r w:rsidR="00265EC5" w:rsidRPr="00422881">
        <w:rPr>
          <w:lang w:val="fr-FR"/>
        </w:rPr>
        <w:t>s</w:t>
      </w:r>
      <w:r w:rsidR="008B0C3A" w:rsidRPr="00422881">
        <w:rPr>
          <w:lang w:val="fr-FR"/>
        </w:rPr>
        <w:t xml:space="preserve"> au </w:t>
      </w:r>
      <w:r w:rsidR="00265EC5" w:rsidRPr="00422881">
        <w:rPr>
          <w:lang w:val="fr-FR"/>
        </w:rPr>
        <w:t xml:space="preserve">point </w:t>
      </w:r>
      <w:r w:rsidR="00A203DE">
        <w:rPr>
          <w:lang w:val="fr-FR"/>
        </w:rPr>
        <w:t>de distribution</w:t>
      </w:r>
      <w:r w:rsidR="008B0C3A" w:rsidRPr="00422881">
        <w:rPr>
          <w:lang w:val="fr-FR"/>
        </w:rPr>
        <w:t xml:space="preserve"> pour s’assurer que </w:t>
      </w:r>
      <w:r w:rsidR="004C3041" w:rsidRPr="00422881">
        <w:rPr>
          <w:lang w:val="fr-FR"/>
        </w:rPr>
        <w:t xml:space="preserve">tout se déroule </w:t>
      </w:r>
      <w:r w:rsidR="008B0C3A" w:rsidRPr="00422881">
        <w:rPr>
          <w:lang w:val="fr-FR"/>
        </w:rPr>
        <w:t xml:space="preserve">bien. </w:t>
      </w:r>
      <w:r w:rsidR="00A203DE">
        <w:rPr>
          <w:lang w:val="fr-FR"/>
        </w:rPr>
        <w:t>Dans le contexte d’un PTM de grande ampleur, l</w:t>
      </w:r>
      <w:r w:rsidR="008B0C3A" w:rsidRPr="00422881">
        <w:rPr>
          <w:lang w:val="fr-FR"/>
        </w:rPr>
        <w:t xml:space="preserve">e suivi des </w:t>
      </w:r>
      <w:r w:rsidR="00A203DE">
        <w:rPr>
          <w:lang w:val="fr-FR"/>
        </w:rPr>
        <w:t>versements</w:t>
      </w:r>
      <w:r w:rsidR="008B0C3A" w:rsidRPr="00422881">
        <w:rPr>
          <w:lang w:val="fr-FR"/>
        </w:rPr>
        <w:t xml:space="preserve"> devrait être</w:t>
      </w:r>
      <w:r w:rsidR="00265EC5" w:rsidRPr="00422881">
        <w:rPr>
          <w:lang w:val="fr-FR"/>
        </w:rPr>
        <w:t xml:space="preserve"> </w:t>
      </w:r>
      <w:r w:rsidR="00496574" w:rsidRPr="00422881">
        <w:rPr>
          <w:lang w:val="fr-FR"/>
        </w:rPr>
        <w:t>effectué</w:t>
      </w:r>
      <w:r w:rsidR="00265EC5" w:rsidRPr="00422881">
        <w:rPr>
          <w:lang w:val="fr-FR"/>
        </w:rPr>
        <w:t xml:space="preserve"> sur un échantillon de points </w:t>
      </w:r>
      <w:r w:rsidR="00A203DE">
        <w:rPr>
          <w:lang w:val="fr-FR"/>
        </w:rPr>
        <w:t xml:space="preserve">de </w:t>
      </w:r>
      <w:r w:rsidR="00A203DE" w:rsidRPr="00A203DE">
        <w:rPr>
          <w:lang w:val="fr-FR"/>
        </w:rPr>
        <w:t>distribution</w:t>
      </w:r>
      <w:r w:rsidR="008B0C3A" w:rsidRPr="00422881">
        <w:rPr>
          <w:lang w:val="fr-FR"/>
        </w:rPr>
        <w:t>.</w:t>
      </w:r>
      <w:r w:rsidR="00265EC5" w:rsidRPr="00422881">
        <w:rPr>
          <w:lang w:val="fr-FR"/>
        </w:rPr>
        <w:t xml:space="preserve"> Cette pratique vous permettra de détecter immédiatement les problèmes éventuels et de les corriger </w:t>
      </w:r>
      <w:r w:rsidR="00A7106E" w:rsidRPr="00422881">
        <w:rPr>
          <w:lang w:val="fr-FR"/>
        </w:rPr>
        <w:t>au fur et à mesure</w:t>
      </w:r>
      <w:r w:rsidR="00265EC5" w:rsidRPr="00422881">
        <w:rPr>
          <w:lang w:val="fr-FR"/>
        </w:rPr>
        <w:t>.</w:t>
      </w:r>
    </w:p>
    <w:p w14:paraId="50DD15C1" w14:textId="49D4450C" w:rsidR="00716D34" w:rsidRPr="00422881" w:rsidRDefault="00265EC5" w:rsidP="00A203DE">
      <w:pPr>
        <w:keepNext/>
        <w:keepLines/>
        <w:rPr>
          <w:lang w:val="fr-FR"/>
        </w:rPr>
      </w:pPr>
      <w:r w:rsidRPr="00422881">
        <w:rPr>
          <w:lang w:val="fr-FR"/>
        </w:rPr>
        <w:t xml:space="preserve">Les méthodes de suivi des </w:t>
      </w:r>
      <w:r w:rsidR="00A203DE">
        <w:rPr>
          <w:lang w:val="fr-FR"/>
        </w:rPr>
        <w:t>versements</w:t>
      </w:r>
      <w:r w:rsidRPr="00422881">
        <w:rPr>
          <w:lang w:val="fr-FR"/>
        </w:rPr>
        <w:t xml:space="preserve"> les plus </w:t>
      </w:r>
      <w:r w:rsidR="00B057E0" w:rsidRPr="00422881">
        <w:rPr>
          <w:lang w:val="fr-FR"/>
        </w:rPr>
        <w:t>répandues</w:t>
      </w:r>
      <w:r w:rsidRPr="00422881">
        <w:rPr>
          <w:lang w:val="fr-FR"/>
        </w:rPr>
        <w:t xml:space="preserve"> sont :</w:t>
      </w:r>
    </w:p>
    <w:p w14:paraId="3638DA2E" w14:textId="3F30B023" w:rsidR="00A7106E" w:rsidRPr="00422881" w:rsidRDefault="00A7106E" w:rsidP="00A203DE">
      <w:pPr>
        <w:pStyle w:val="Bullet2"/>
        <w:rPr>
          <w:lang w:val="fr-FR"/>
        </w:rPr>
      </w:pPr>
      <w:r w:rsidRPr="00422881">
        <w:rPr>
          <w:i/>
          <w:lang w:val="fr-FR"/>
        </w:rPr>
        <w:t xml:space="preserve">l’observation du lieu </w:t>
      </w:r>
      <w:r w:rsidR="00A203DE">
        <w:rPr>
          <w:i/>
          <w:lang w:val="fr-FR"/>
        </w:rPr>
        <w:t>de distribution</w:t>
      </w:r>
      <w:r w:rsidRPr="00422881">
        <w:rPr>
          <w:lang w:val="fr-FR"/>
        </w:rPr>
        <w:t xml:space="preserve">, qui vise à </w:t>
      </w:r>
      <w:r w:rsidR="004E0D28" w:rsidRPr="00422881">
        <w:rPr>
          <w:lang w:val="fr-FR"/>
        </w:rPr>
        <w:t xml:space="preserve">vérifier si les agents suivent les procédures applicables en matière de sécurité et de </w:t>
      </w:r>
      <w:r w:rsidR="00FC33E8" w:rsidRPr="00422881">
        <w:rPr>
          <w:lang w:val="fr-FR"/>
        </w:rPr>
        <w:t>gestion</w:t>
      </w:r>
      <w:r w:rsidR="004E0D28" w:rsidRPr="00422881">
        <w:rPr>
          <w:lang w:val="fr-FR"/>
        </w:rPr>
        <w:t xml:space="preserve"> des foules, et si </w:t>
      </w:r>
      <w:r w:rsidR="00FC33E8" w:rsidRPr="00422881">
        <w:rPr>
          <w:lang w:val="fr-FR"/>
        </w:rPr>
        <w:t>la</w:t>
      </w:r>
      <w:r w:rsidR="004E0D28" w:rsidRPr="00422881">
        <w:rPr>
          <w:lang w:val="fr-FR"/>
        </w:rPr>
        <w:t xml:space="preserve"> </w:t>
      </w:r>
      <w:r w:rsidR="00FC33E8" w:rsidRPr="00422881">
        <w:rPr>
          <w:lang w:val="fr-FR"/>
        </w:rPr>
        <w:t>capacité maximale qu’ils ont fixée</w:t>
      </w:r>
      <w:r w:rsidR="004E0D28" w:rsidRPr="00422881">
        <w:rPr>
          <w:lang w:val="fr-FR"/>
        </w:rPr>
        <w:t xml:space="preserve"> </w:t>
      </w:r>
      <w:r w:rsidR="00FC33E8" w:rsidRPr="00422881">
        <w:rPr>
          <w:lang w:val="fr-FR"/>
        </w:rPr>
        <w:t xml:space="preserve">est </w:t>
      </w:r>
      <w:r w:rsidR="004850FD" w:rsidRPr="00422881">
        <w:rPr>
          <w:lang w:val="fr-FR"/>
        </w:rPr>
        <w:t>correcte</w:t>
      </w:r>
      <w:r w:rsidR="00FC33E8" w:rsidRPr="00422881">
        <w:rPr>
          <w:lang w:val="fr-FR"/>
        </w:rPr>
        <w:t xml:space="preserve"> et acceptable</w:t>
      </w:r>
      <w:r w:rsidR="004E0D28" w:rsidRPr="00422881">
        <w:rPr>
          <w:lang w:val="fr-FR"/>
        </w:rPr>
        <w:t> ;</w:t>
      </w:r>
    </w:p>
    <w:p w14:paraId="12471125" w14:textId="48681445" w:rsidR="004E0D28" w:rsidRPr="00422881" w:rsidRDefault="004E0D28" w:rsidP="00A203DE">
      <w:pPr>
        <w:pStyle w:val="Bullet2"/>
        <w:rPr>
          <w:lang w:val="fr-FR"/>
        </w:rPr>
      </w:pPr>
      <w:r w:rsidRPr="00422881">
        <w:rPr>
          <w:i/>
          <w:lang w:val="fr-FR"/>
        </w:rPr>
        <w:t xml:space="preserve">le questionnaire à la sortie, </w:t>
      </w:r>
      <w:r w:rsidR="003B2A30" w:rsidRPr="00422881">
        <w:rPr>
          <w:lang w:val="fr-FR"/>
        </w:rPr>
        <w:t>remis</w:t>
      </w:r>
      <w:r w:rsidRPr="00422881">
        <w:rPr>
          <w:lang w:val="fr-FR"/>
        </w:rPr>
        <w:t xml:space="preserve"> à un</w:t>
      </w:r>
      <w:r w:rsidR="006770ED">
        <w:rPr>
          <w:lang w:val="fr-FR"/>
        </w:rPr>
        <w:t>e</w:t>
      </w:r>
      <w:r w:rsidRPr="00422881">
        <w:rPr>
          <w:lang w:val="fr-FR"/>
        </w:rPr>
        <w:t xml:space="preserve"> </w:t>
      </w:r>
      <w:r w:rsidR="006770ED">
        <w:rPr>
          <w:lang w:val="fr-FR"/>
        </w:rPr>
        <w:t xml:space="preserve">partie </w:t>
      </w:r>
      <w:r w:rsidRPr="00422881">
        <w:rPr>
          <w:lang w:val="fr-FR"/>
        </w:rPr>
        <w:t xml:space="preserve">des bénéficiaires à la sortie du lieu </w:t>
      </w:r>
      <w:r w:rsidR="00A203DE" w:rsidRPr="00A203DE">
        <w:rPr>
          <w:iCs/>
          <w:lang w:val="fr-FR"/>
        </w:rPr>
        <w:t>de distribution</w:t>
      </w:r>
      <w:r w:rsidRPr="00A203DE">
        <w:rPr>
          <w:iCs/>
          <w:lang w:val="fr-FR"/>
        </w:rPr>
        <w:t>,</w:t>
      </w:r>
      <w:r w:rsidRPr="00422881">
        <w:rPr>
          <w:lang w:val="fr-FR"/>
        </w:rPr>
        <w:t xml:space="preserve"> qui vise à </w:t>
      </w:r>
      <w:r w:rsidR="003B2A30" w:rsidRPr="00422881">
        <w:rPr>
          <w:lang w:val="fr-FR"/>
        </w:rPr>
        <w:t>se faire</w:t>
      </w:r>
      <w:r w:rsidRPr="00422881">
        <w:rPr>
          <w:lang w:val="fr-FR"/>
        </w:rPr>
        <w:t xml:space="preserve"> une idée générale de leur perception du programme et de la façon dont ils </w:t>
      </w:r>
      <w:r w:rsidR="003B2A30" w:rsidRPr="00422881">
        <w:rPr>
          <w:lang w:val="fr-FR"/>
        </w:rPr>
        <w:t>comptent</w:t>
      </w:r>
      <w:r w:rsidR="006770ED">
        <w:rPr>
          <w:lang w:val="fr-FR"/>
        </w:rPr>
        <w:t xml:space="preserve"> utiliser leur </w:t>
      </w:r>
      <w:r w:rsidR="00A203DE">
        <w:rPr>
          <w:lang w:val="fr-FR"/>
        </w:rPr>
        <w:t>argent</w:t>
      </w:r>
      <w:r w:rsidRPr="00422881">
        <w:rPr>
          <w:lang w:val="fr-FR"/>
        </w:rPr>
        <w:t>.</w:t>
      </w:r>
    </w:p>
    <w:p w14:paraId="2C02850F" w14:textId="563FE571" w:rsidR="00080E80" w:rsidRPr="00422881" w:rsidRDefault="00A669F8" w:rsidP="00A203DE">
      <w:pPr>
        <w:spacing w:after="480"/>
        <w:rPr>
          <w:szCs w:val="22"/>
          <w:lang w:val="fr-FR"/>
        </w:rPr>
      </w:pPr>
      <w:r w:rsidRPr="00422881">
        <w:rPr>
          <w:szCs w:val="22"/>
          <w:lang w:val="fr-FR"/>
        </w:rPr>
        <w:t xml:space="preserve">Dans les outils </w:t>
      </w:r>
      <w:r w:rsidR="00A203DE">
        <w:rPr>
          <w:szCs w:val="22"/>
          <w:lang w:val="fr-FR"/>
        </w:rPr>
        <w:t>de cette étape subsidiaire</w:t>
      </w:r>
      <w:r w:rsidRPr="00422881">
        <w:rPr>
          <w:szCs w:val="22"/>
          <w:lang w:val="fr-FR"/>
        </w:rPr>
        <w:t>, v</w:t>
      </w:r>
      <w:r w:rsidR="004E0D28" w:rsidRPr="00422881">
        <w:rPr>
          <w:szCs w:val="22"/>
          <w:lang w:val="fr-FR"/>
        </w:rPr>
        <w:t xml:space="preserve">ous trouverez un formulaire pour l’observation du lieu </w:t>
      </w:r>
      <w:r w:rsidR="00A203DE">
        <w:rPr>
          <w:szCs w:val="22"/>
          <w:lang w:val="fr-FR"/>
        </w:rPr>
        <w:t>de distribution</w:t>
      </w:r>
      <w:r w:rsidR="004E0D28" w:rsidRPr="00422881">
        <w:rPr>
          <w:szCs w:val="22"/>
          <w:lang w:val="fr-FR"/>
        </w:rPr>
        <w:t xml:space="preserve">, une enquête à la sortie du lieu </w:t>
      </w:r>
      <w:r w:rsidR="00A203DE">
        <w:rPr>
          <w:szCs w:val="22"/>
          <w:lang w:val="fr-FR"/>
        </w:rPr>
        <w:t>de distribution</w:t>
      </w:r>
      <w:r w:rsidR="004E0D28" w:rsidRPr="00422881">
        <w:rPr>
          <w:szCs w:val="22"/>
          <w:lang w:val="fr-FR"/>
        </w:rPr>
        <w:t xml:space="preserve"> et</w:t>
      </w:r>
      <w:r w:rsidRPr="00422881">
        <w:rPr>
          <w:szCs w:val="22"/>
          <w:lang w:val="fr-FR"/>
        </w:rPr>
        <w:t xml:space="preserve"> une base de données connexe</w:t>
      </w:r>
      <w:r w:rsidR="00080E80" w:rsidRPr="00422881">
        <w:rPr>
          <w:lang w:val="fr-FR"/>
        </w:rPr>
        <w:t xml:space="preserve">.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6946"/>
      </w:tblGrid>
      <w:tr w:rsidR="00047584" w:rsidRPr="0035507B" w14:paraId="797E380D" w14:textId="77777777" w:rsidTr="00AB121E">
        <w:trPr>
          <w:jc w:val="center"/>
        </w:trPr>
        <w:tc>
          <w:tcPr>
            <w:tcW w:w="6946" w:type="dxa"/>
            <w:shd w:val="solid" w:color="F2F2F2" w:themeColor="background1" w:themeShade="F2" w:fill="auto"/>
          </w:tcPr>
          <w:p w14:paraId="1E81F45C" w14:textId="08AE2DCE" w:rsidR="00047584" w:rsidRPr="00422881" w:rsidRDefault="00430342" w:rsidP="00AB121E">
            <w:pPr>
              <w:spacing w:before="120"/>
              <w:jc w:val="center"/>
              <w:rPr>
                <w:b/>
                <w:sz w:val="22"/>
                <w:szCs w:val="22"/>
                <w:lang w:val="fr-FR"/>
              </w:rPr>
            </w:pPr>
            <w:r w:rsidRPr="00422881">
              <w:rPr>
                <w:b/>
                <w:sz w:val="22"/>
                <w:szCs w:val="22"/>
                <w:lang w:val="fr-FR"/>
              </w:rPr>
              <w:t>Nouvelles</w:t>
            </w:r>
            <w:r w:rsidR="004854C5" w:rsidRPr="00422881">
              <w:rPr>
                <w:b/>
                <w:sz w:val="22"/>
                <w:szCs w:val="22"/>
                <w:lang w:val="fr-FR"/>
              </w:rPr>
              <w:t xml:space="preserve"> technologies</w:t>
            </w:r>
          </w:p>
          <w:p w14:paraId="39373D09" w14:textId="6A2DC070" w:rsidR="00A669F8" w:rsidRPr="00422881" w:rsidRDefault="00A669F8" w:rsidP="00AB121E">
            <w:pPr>
              <w:pStyle w:val="Bullet2"/>
              <w:ind w:left="499" w:hanging="357"/>
              <w:rPr>
                <w:lang w:val="fr-FR"/>
              </w:rPr>
            </w:pPr>
            <w:r w:rsidRPr="00422881">
              <w:rPr>
                <w:lang w:val="fr-FR"/>
              </w:rPr>
              <w:t>Lorsque les transferts monétaires se font par voie électronique, le suivi peut être assuré au moyen de</w:t>
            </w:r>
            <w:r w:rsidR="00413981" w:rsidRPr="00422881">
              <w:rPr>
                <w:lang w:val="fr-FR"/>
              </w:rPr>
              <w:t xml:space="preserve"> rapports électroniques</w:t>
            </w:r>
            <w:r w:rsidR="006770ED">
              <w:rPr>
                <w:lang w:val="fr-FR"/>
              </w:rPr>
              <w:t>. Par exemple</w:t>
            </w:r>
            <w:r w:rsidRPr="00422881">
              <w:rPr>
                <w:lang w:val="fr-FR"/>
              </w:rPr>
              <w:t xml:space="preserve">, </w:t>
            </w:r>
            <w:r w:rsidR="00672E6C" w:rsidRPr="00422881">
              <w:rPr>
                <w:lang w:val="fr-FR"/>
              </w:rPr>
              <w:t xml:space="preserve">la technologie des distributeurs automatiques permet </w:t>
            </w:r>
            <w:r w:rsidR="00AC2154" w:rsidRPr="00422881">
              <w:rPr>
                <w:lang w:val="fr-FR"/>
              </w:rPr>
              <w:t xml:space="preserve">d’utiliser le registre des transactions aux fins du </w:t>
            </w:r>
            <w:r w:rsidR="00672E6C" w:rsidRPr="00422881">
              <w:rPr>
                <w:lang w:val="fr-FR"/>
              </w:rPr>
              <w:t>suivi</w:t>
            </w:r>
            <w:r w:rsidR="00413981" w:rsidRPr="00422881">
              <w:rPr>
                <w:lang w:val="fr-FR"/>
              </w:rPr>
              <w:t>.</w:t>
            </w:r>
          </w:p>
          <w:p w14:paraId="0567A356" w14:textId="083DEE7B" w:rsidR="00AC2154" w:rsidRPr="00422881" w:rsidRDefault="00AC2154" w:rsidP="00AB121E">
            <w:pPr>
              <w:pStyle w:val="Bullet2"/>
              <w:ind w:left="499" w:hanging="357"/>
              <w:rPr>
                <w:lang w:val="fr-FR"/>
              </w:rPr>
            </w:pPr>
            <w:r w:rsidRPr="00422881">
              <w:rPr>
                <w:lang w:val="fr-FR"/>
              </w:rPr>
              <w:t xml:space="preserve">La distribution par voie électronique peut </w:t>
            </w:r>
            <w:r w:rsidR="006770ED">
              <w:rPr>
                <w:lang w:val="fr-FR"/>
              </w:rPr>
              <w:t>nécessiter</w:t>
            </w:r>
            <w:r w:rsidR="00934ACE" w:rsidRPr="00422881">
              <w:rPr>
                <w:lang w:val="fr-FR"/>
              </w:rPr>
              <w:t xml:space="preserve"> </w:t>
            </w:r>
            <w:r w:rsidRPr="00422881">
              <w:rPr>
                <w:lang w:val="fr-FR"/>
              </w:rPr>
              <w:t xml:space="preserve">des procédures et </w:t>
            </w:r>
            <w:r w:rsidR="003B1E20" w:rsidRPr="00422881">
              <w:rPr>
                <w:lang w:val="fr-FR"/>
              </w:rPr>
              <w:t xml:space="preserve">du travail administratif </w:t>
            </w:r>
            <w:r w:rsidRPr="00422881">
              <w:rPr>
                <w:lang w:val="fr-FR"/>
              </w:rPr>
              <w:t xml:space="preserve">manuels qui ne sont pas </w:t>
            </w:r>
            <w:r w:rsidR="00697051" w:rsidRPr="00422881">
              <w:rPr>
                <w:lang w:val="fr-FR"/>
              </w:rPr>
              <w:t>enregistrés électroniquement</w:t>
            </w:r>
            <w:r w:rsidRPr="00422881">
              <w:rPr>
                <w:lang w:val="fr-FR"/>
              </w:rPr>
              <w:t xml:space="preserve">. Pour des raisons liées à l’audit, il est important de pouvoir concilier </w:t>
            </w:r>
            <w:r w:rsidR="003B1E20" w:rsidRPr="00422881">
              <w:rPr>
                <w:lang w:val="fr-FR"/>
              </w:rPr>
              <w:t>processus électroniques et processus sur papier.</w:t>
            </w:r>
          </w:p>
          <w:p w14:paraId="47E00DCC" w14:textId="212C3288" w:rsidR="00047584" w:rsidRPr="00422881" w:rsidRDefault="00697051" w:rsidP="00FA249B">
            <w:pPr>
              <w:pStyle w:val="Bullet2"/>
              <w:ind w:left="499" w:hanging="357"/>
              <w:rPr>
                <w:lang w:val="fr-FR"/>
              </w:rPr>
            </w:pPr>
            <w:r w:rsidRPr="00422881">
              <w:rPr>
                <w:lang w:val="fr-FR"/>
              </w:rPr>
              <w:t xml:space="preserve">Le suivi par SMS est une autre possibilité offerte par la technologie. Il </w:t>
            </w:r>
            <w:r w:rsidR="00FA249B" w:rsidRPr="00422881">
              <w:rPr>
                <w:lang w:val="fr-FR"/>
              </w:rPr>
              <w:t>consiste</w:t>
            </w:r>
            <w:r w:rsidRPr="00422881">
              <w:rPr>
                <w:lang w:val="fr-FR"/>
              </w:rPr>
              <w:t xml:space="preserve"> souvent </w:t>
            </w:r>
            <w:r w:rsidR="00FA249B" w:rsidRPr="00422881">
              <w:rPr>
                <w:lang w:val="fr-FR"/>
              </w:rPr>
              <w:t xml:space="preserve">à </w:t>
            </w:r>
            <w:r w:rsidRPr="00422881">
              <w:rPr>
                <w:lang w:val="fr-FR"/>
              </w:rPr>
              <w:t>envoyer une question simple pour vérifier si le bénéficiaire a bien reçu le transfert</w:t>
            </w:r>
            <w:r w:rsidR="00047584" w:rsidRPr="00422881">
              <w:rPr>
                <w:lang w:val="fr-FR"/>
              </w:rPr>
              <w:t>.</w:t>
            </w:r>
          </w:p>
        </w:tc>
      </w:tr>
    </w:tbl>
    <w:p w14:paraId="273ED306" w14:textId="77777777" w:rsidR="00C152DD" w:rsidRPr="00422881" w:rsidRDefault="00C152DD" w:rsidP="00047584">
      <w:pPr>
        <w:rPr>
          <w:b/>
          <w:sz w:val="22"/>
          <w:szCs w:val="22"/>
          <w:lang w:val="fr-FR"/>
        </w:rPr>
      </w:pPr>
    </w:p>
    <w:p w14:paraId="7A394EF8" w14:textId="7266170F" w:rsidR="004C52E9" w:rsidRPr="00422881" w:rsidRDefault="00430342" w:rsidP="00503101">
      <w:pPr>
        <w:pStyle w:val="Heading3"/>
        <w:rPr>
          <w:lang w:val="fr-FR"/>
        </w:rPr>
      </w:pPr>
      <w:r w:rsidRPr="00422881">
        <w:rPr>
          <w:lang w:val="fr-FR"/>
        </w:rPr>
        <w:t xml:space="preserve">Suivi </w:t>
      </w:r>
      <w:r w:rsidR="00503101">
        <w:rPr>
          <w:lang w:val="fr-FR"/>
        </w:rPr>
        <w:t>post</w:t>
      </w:r>
      <w:r w:rsidR="004C52E9" w:rsidRPr="00422881">
        <w:rPr>
          <w:lang w:val="fr-FR"/>
        </w:rPr>
        <w:t xml:space="preserve">-distribution </w:t>
      </w:r>
    </w:p>
    <w:p w14:paraId="3063A312" w14:textId="1DDA81C5" w:rsidR="00BB6FFA" w:rsidRPr="00422881" w:rsidRDefault="00D004FD" w:rsidP="00B81263">
      <w:pPr>
        <w:rPr>
          <w:lang w:val="fr-FR"/>
        </w:rPr>
      </w:pPr>
      <w:r w:rsidRPr="00422881">
        <w:rPr>
          <w:lang w:val="fr-FR"/>
        </w:rPr>
        <w:t xml:space="preserve">Le </w:t>
      </w:r>
      <w:r w:rsidR="00503101">
        <w:rPr>
          <w:lang w:val="fr-FR"/>
        </w:rPr>
        <w:t>suivi post-distribution</w:t>
      </w:r>
      <w:r w:rsidR="00024385" w:rsidRPr="00024385">
        <w:rPr>
          <w:lang w:val="fr-FR"/>
        </w:rPr>
        <w:t xml:space="preserve"> </w:t>
      </w:r>
      <w:r w:rsidR="00BB6FFA" w:rsidRPr="00422881">
        <w:rPr>
          <w:lang w:val="fr-FR"/>
        </w:rPr>
        <w:t xml:space="preserve">devrait être </w:t>
      </w:r>
      <w:r w:rsidR="000535E2" w:rsidRPr="00422881">
        <w:rPr>
          <w:lang w:val="fr-FR"/>
        </w:rPr>
        <w:t xml:space="preserve">effectué </w:t>
      </w:r>
      <w:r w:rsidR="00BB6FFA" w:rsidRPr="00422881">
        <w:rPr>
          <w:lang w:val="fr-FR"/>
        </w:rPr>
        <w:t>deux ou trois semaines après la distribution des fonds, si le</w:t>
      </w:r>
      <w:r w:rsidR="00D96B76" w:rsidRPr="00422881">
        <w:rPr>
          <w:lang w:val="fr-FR"/>
        </w:rPr>
        <w:t>s</w:t>
      </w:r>
      <w:r w:rsidR="00BB6FFA" w:rsidRPr="00422881">
        <w:rPr>
          <w:lang w:val="fr-FR"/>
        </w:rPr>
        <w:t xml:space="preserve"> transfert</w:t>
      </w:r>
      <w:r w:rsidR="00D96B76" w:rsidRPr="00422881">
        <w:rPr>
          <w:lang w:val="fr-FR"/>
        </w:rPr>
        <w:t>s</w:t>
      </w:r>
      <w:r w:rsidR="00BB6FFA" w:rsidRPr="00422881">
        <w:rPr>
          <w:lang w:val="fr-FR"/>
        </w:rPr>
        <w:t xml:space="preserve"> monétaire</w:t>
      </w:r>
      <w:r w:rsidR="00D96B76" w:rsidRPr="00422881">
        <w:rPr>
          <w:lang w:val="fr-FR"/>
        </w:rPr>
        <w:t>s</w:t>
      </w:r>
      <w:r w:rsidR="00BB6FFA" w:rsidRPr="00422881">
        <w:rPr>
          <w:lang w:val="fr-FR"/>
        </w:rPr>
        <w:t xml:space="preserve"> vise</w:t>
      </w:r>
      <w:r w:rsidR="00D96B76" w:rsidRPr="00422881">
        <w:rPr>
          <w:lang w:val="fr-FR"/>
        </w:rPr>
        <w:t>nt</w:t>
      </w:r>
      <w:r w:rsidR="00BB6FFA" w:rsidRPr="00422881">
        <w:rPr>
          <w:lang w:val="fr-FR"/>
        </w:rPr>
        <w:t xml:space="preserve"> à </w:t>
      </w:r>
      <w:r w:rsidR="000535E2" w:rsidRPr="00422881">
        <w:rPr>
          <w:lang w:val="fr-FR"/>
        </w:rPr>
        <w:t>couvrir</w:t>
      </w:r>
      <w:r w:rsidR="00BB6FFA" w:rsidRPr="00422881">
        <w:rPr>
          <w:lang w:val="fr-FR"/>
        </w:rPr>
        <w:t xml:space="preserve"> les besoins immédiats, ou plus tard, s’il</w:t>
      </w:r>
      <w:r w:rsidR="00D96B76" w:rsidRPr="00422881">
        <w:rPr>
          <w:lang w:val="fr-FR"/>
        </w:rPr>
        <w:t>s</w:t>
      </w:r>
      <w:r w:rsidR="00BB6FFA" w:rsidRPr="00422881">
        <w:rPr>
          <w:lang w:val="fr-FR"/>
        </w:rPr>
        <w:t xml:space="preserve"> vise</w:t>
      </w:r>
      <w:r w:rsidR="00D96B76" w:rsidRPr="00422881">
        <w:rPr>
          <w:lang w:val="fr-FR"/>
        </w:rPr>
        <w:t>nt</w:t>
      </w:r>
      <w:r w:rsidR="00BB6FFA" w:rsidRPr="00422881">
        <w:rPr>
          <w:lang w:val="fr-FR"/>
        </w:rPr>
        <w:t xml:space="preserve"> à aider les bénéficiaires à </w:t>
      </w:r>
      <w:r w:rsidR="000535E2" w:rsidRPr="00422881">
        <w:rPr>
          <w:lang w:val="fr-FR"/>
        </w:rPr>
        <w:t>mettre en place des</w:t>
      </w:r>
      <w:r w:rsidR="00BB6FFA" w:rsidRPr="00422881">
        <w:rPr>
          <w:lang w:val="fr-FR"/>
        </w:rPr>
        <w:t xml:space="preserve"> moyens de subsistance. Il faut laisser aux bénéficiaires le temps d’utiliser l’argent avant d’</w:t>
      </w:r>
      <w:r w:rsidR="00D96B76" w:rsidRPr="00422881">
        <w:rPr>
          <w:lang w:val="fr-FR"/>
        </w:rPr>
        <w:t xml:space="preserve">effectuer le </w:t>
      </w:r>
      <w:r w:rsidR="00503101">
        <w:rPr>
          <w:lang w:val="fr-FR"/>
        </w:rPr>
        <w:t>suivi post-distribution</w:t>
      </w:r>
      <w:r w:rsidR="00BB6FFA" w:rsidRPr="00422881">
        <w:rPr>
          <w:lang w:val="fr-FR"/>
        </w:rPr>
        <w:t xml:space="preserve">, puisque </w:t>
      </w:r>
      <w:r w:rsidR="000535E2" w:rsidRPr="00422881">
        <w:rPr>
          <w:lang w:val="fr-FR"/>
        </w:rPr>
        <w:t xml:space="preserve">le </w:t>
      </w:r>
      <w:r w:rsidR="00BB6FFA" w:rsidRPr="00422881">
        <w:rPr>
          <w:lang w:val="fr-FR"/>
        </w:rPr>
        <w:t xml:space="preserve">principal objectif </w:t>
      </w:r>
      <w:r w:rsidR="000535E2" w:rsidRPr="00422881">
        <w:rPr>
          <w:lang w:val="fr-FR"/>
        </w:rPr>
        <w:t xml:space="preserve">de celui-ci </w:t>
      </w:r>
      <w:r w:rsidR="00BB6FFA" w:rsidRPr="00422881">
        <w:rPr>
          <w:lang w:val="fr-FR"/>
        </w:rPr>
        <w:t>est de vérifier si les bénéficiaires ont reçu leur</w:t>
      </w:r>
      <w:r w:rsidR="00D96B76" w:rsidRPr="00422881">
        <w:rPr>
          <w:lang w:val="fr-FR"/>
        </w:rPr>
        <w:t>s</w:t>
      </w:r>
      <w:r w:rsidR="00BB6FFA" w:rsidRPr="00422881">
        <w:rPr>
          <w:lang w:val="fr-FR"/>
        </w:rPr>
        <w:t xml:space="preserve"> </w:t>
      </w:r>
      <w:r w:rsidR="00B81263">
        <w:rPr>
          <w:lang w:val="fr-FR"/>
        </w:rPr>
        <w:t>subventions</w:t>
      </w:r>
      <w:r w:rsidR="00BB6FFA" w:rsidRPr="00422881">
        <w:rPr>
          <w:lang w:val="fr-FR"/>
        </w:rPr>
        <w:t xml:space="preserve"> et de </w:t>
      </w:r>
      <w:r w:rsidR="0087043C" w:rsidRPr="00422881">
        <w:rPr>
          <w:lang w:val="fr-FR"/>
        </w:rPr>
        <w:t>déterminer</w:t>
      </w:r>
      <w:r w:rsidR="00BB6FFA" w:rsidRPr="00422881">
        <w:rPr>
          <w:lang w:val="fr-FR"/>
        </w:rPr>
        <w:t xml:space="preserve"> comment il</w:t>
      </w:r>
      <w:r w:rsidR="00D96B76" w:rsidRPr="00422881">
        <w:rPr>
          <w:lang w:val="fr-FR"/>
        </w:rPr>
        <w:t xml:space="preserve">s les </w:t>
      </w:r>
      <w:r w:rsidR="00BB6FFA" w:rsidRPr="00422881">
        <w:rPr>
          <w:lang w:val="fr-FR"/>
        </w:rPr>
        <w:t>ont utilisé</w:t>
      </w:r>
      <w:r w:rsidR="00D96B76" w:rsidRPr="00422881">
        <w:rPr>
          <w:lang w:val="fr-FR"/>
        </w:rPr>
        <w:t>es</w:t>
      </w:r>
      <w:r w:rsidR="00BB6FFA" w:rsidRPr="00422881">
        <w:rPr>
          <w:lang w:val="fr-FR"/>
        </w:rPr>
        <w:t>.</w:t>
      </w:r>
      <w:r w:rsidR="00D96B76" w:rsidRPr="00422881">
        <w:rPr>
          <w:lang w:val="fr-FR"/>
        </w:rPr>
        <w:t xml:space="preserve"> </w:t>
      </w:r>
      <w:r w:rsidR="000535E2" w:rsidRPr="00422881">
        <w:rPr>
          <w:lang w:val="fr-FR"/>
        </w:rPr>
        <w:t xml:space="preserve">Le </w:t>
      </w:r>
      <w:r w:rsidR="00B81263">
        <w:rPr>
          <w:lang w:val="fr-FR"/>
        </w:rPr>
        <w:t>suivi post-distribution</w:t>
      </w:r>
      <w:r w:rsidR="00024385" w:rsidRPr="00024385">
        <w:rPr>
          <w:lang w:val="fr-FR"/>
        </w:rPr>
        <w:t xml:space="preserve"> </w:t>
      </w:r>
      <w:r w:rsidR="000535E2" w:rsidRPr="00422881">
        <w:rPr>
          <w:lang w:val="fr-FR"/>
        </w:rPr>
        <w:t xml:space="preserve">peut aussi faciliter la détection des premiers signes d’éventuels impacts négatifs, et apporter des éléments de réponse en cas de </w:t>
      </w:r>
      <w:r w:rsidR="00B81263">
        <w:rPr>
          <w:lang w:val="fr-FR"/>
        </w:rPr>
        <w:t>réclamations</w:t>
      </w:r>
      <w:r w:rsidR="000535E2" w:rsidRPr="00422881">
        <w:rPr>
          <w:lang w:val="fr-FR"/>
        </w:rPr>
        <w:t xml:space="preserve"> liées au programme.</w:t>
      </w:r>
    </w:p>
    <w:p w14:paraId="63D18FFF" w14:textId="317C14BD" w:rsidR="00047584" w:rsidRPr="00422881" w:rsidRDefault="00BB6FFA" w:rsidP="00B81263">
      <w:pPr>
        <w:rPr>
          <w:lang w:val="fr-FR"/>
        </w:rPr>
      </w:pPr>
      <w:r w:rsidRPr="00422881">
        <w:rPr>
          <w:lang w:val="fr-FR"/>
        </w:rPr>
        <w:t xml:space="preserve">Le </w:t>
      </w:r>
      <w:r w:rsidR="00B81263">
        <w:rPr>
          <w:lang w:val="fr-FR"/>
        </w:rPr>
        <w:t>suivi post-distribution</w:t>
      </w:r>
      <w:r w:rsidR="00B81263" w:rsidRPr="00024385">
        <w:rPr>
          <w:lang w:val="fr-FR"/>
        </w:rPr>
        <w:t xml:space="preserve"> </w:t>
      </w:r>
      <w:r w:rsidRPr="00422881">
        <w:rPr>
          <w:lang w:val="fr-FR"/>
        </w:rPr>
        <w:t xml:space="preserve">se fonde généralement sur des discussions thématiques de groupe avec les bénéficiaires et des entretiens avec les ménages. </w:t>
      </w:r>
      <w:r w:rsidR="00D96B76" w:rsidRPr="00422881">
        <w:rPr>
          <w:lang w:val="fr-FR"/>
        </w:rPr>
        <w:t>D</w:t>
      </w:r>
      <w:r w:rsidRPr="00422881">
        <w:rPr>
          <w:lang w:val="fr-FR"/>
        </w:rPr>
        <w:t>an</w:t>
      </w:r>
      <w:r w:rsidR="000535E2" w:rsidRPr="00422881">
        <w:rPr>
          <w:lang w:val="fr-FR"/>
        </w:rPr>
        <w:t xml:space="preserve">s les outils </w:t>
      </w:r>
      <w:r w:rsidR="00B81263">
        <w:rPr>
          <w:szCs w:val="22"/>
          <w:lang w:val="fr-FR"/>
        </w:rPr>
        <w:t>de cette étape subsidiaire</w:t>
      </w:r>
      <w:r w:rsidRPr="00422881">
        <w:rPr>
          <w:lang w:val="fr-FR"/>
        </w:rPr>
        <w:t xml:space="preserve">, vous trouverez </w:t>
      </w:r>
      <w:r w:rsidR="00D96B76" w:rsidRPr="00422881">
        <w:rPr>
          <w:lang w:val="fr-FR"/>
        </w:rPr>
        <w:t xml:space="preserve">des explications et des questions </w:t>
      </w:r>
      <w:r w:rsidR="00A973B5" w:rsidRPr="00422881">
        <w:rPr>
          <w:lang w:val="fr-FR"/>
        </w:rPr>
        <w:t>concernant l</w:t>
      </w:r>
      <w:r w:rsidR="00A973B5">
        <w:rPr>
          <w:lang w:val="fr-FR"/>
        </w:rPr>
        <w:t>es</w:t>
      </w:r>
      <w:r w:rsidR="00A973B5" w:rsidRPr="00422881">
        <w:rPr>
          <w:lang w:val="fr-FR"/>
        </w:rPr>
        <w:t xml:space="preserve"> </w:t>
      </w:r>
      <w:r w:rsidR="00D96B76" w:rsidRPr="00422881">
        <w:rPr>
          <w:lang w:val="fr-FR"/>
        </w:rPr>
        <w:t xml:space="preserve">discussions thématiques de groupe </w:t>
      </w:r>
      <w:r w:rsidR="00E84AA6" w:rsidRPr="00422881">
        <w:rPr>
          <w:lang w:val="fr-FR"/>
        </w:rPr>
        <w:t>dans le cadre</w:t>
      </w:r>
      <w:r w:rsidR="00D96B76" w:rsidRPr="00422881">
        <w:rPr>
          <w:lang w:val="fr-FR"/>
        </w:rPr>
        <w:t xml:space="preserve"> du </w:t>
      </w:r>
      <w:r w:rsidR="00B81263">
        <w:rPr>
          <w:lang w:val="fr-FR"/>
        </w:rPr>
        <w:t xml:space="preserve">suivi </w:t>
      </w:r>
      <w:r w:rsidR="00B81263">
        <w:rPr>
          <w:lang w:val="fr-FR"/>
        </w:rPr>
        <w:lastRenderedPageBreak/>
        <w:t>post-distribution</w:t>
      </w:r>
      <w:r w:rsidR="00D96B76" w:rsidRPr="00422881">
        <w:rPr>
          <w:lang w:val="fr-FR"/>
        </w:rPr>
        <w:t>. Vous trouverez en outre des questionnaires pour différents types de programmes de transfert</w:t>
      </w:r>
      <w:r w:rsidR="000535E2" w:rsidRPr="00422881">
        <w:rPr>
          <w:lang w:val="fr-FR"/>
        </w:rPr>
        <w:t>s</w:t>
      </w:r>
      <w:r w:rsidR="00D96B76" w:rsidRPr="00422881">
        <w:rPr>
          <w:lang w:val="fr-FR"/>
        </w:rPr>
        <w:t xml:space="preserve"> monétaire</w:t>
      </w:r>
      <w:r w:rsidR="000535E2" w:rsidRPr="00422881">
        <w:rPr>
          <w:lang w:val="fr-FR"/>
        </w:rPr>
        <w:t>s</w:t>
      </w:r>
      <w:r w:rsidR="00D96B76" w:rsidRPr="00422881">
        <w:rPr>
          <w:lang w:val="fr-FR"/>
        </w:rPr>
        <w:t xml:space="preserve"> (</w:t>
      </w:r>
      <w:r w:rsidR="00B81263">
        <w:rPr>
          <w:lang w:val="fr-FR"/>
        </w:rPr>
        <w:t>sans condition</w:t>
      </w:r>
      <w:r w:rsidR="00D96B76" w:rsidRPr="00422881">
        <w:rPr>
          <w:lang w:val="fr-FR"/>
        </w:rPr>
        <w:t xml:space="preserve">, conditionnels et </w:t>
      </w:r>
      <w:r w:rsidR="00BC184D" w:rsidRPr="00422881">
        <w:rPr>
          <w:lang w:val="fr-FR"/>
        </w:rPr>
        <w:t xml:space="preserve">de soutien aux </w:t>
      </w:r>
      <w:r w:rsidR="00D96B76" w:rsidRPr="00422881">
        <w:rPr>
          <w:lang w:val="fr-FR"/>
        </w:rPr>
        <w:t>moyens de subsistance),</w:t>
      </w:r>
      <w:r w:rsidR="000535E2" w:rsidRPr="00422881">
        <w:rPr>
          <w:lang w:val="fr-FR"/>
        </w:rPr>
        <w:t xml:space="preserve"> une base de données </w:t>
      </w:r>
      <w:r w:rsidR="00A973B5" w:rsidRPr="00422881">
        <w:rPr>
          <w:lang w:val="fr-FR"/>
        </w:rPr>
        <w:t xml:space="preserve">relative au </w:t>
      </w:r>
      <w:r w:rsidR="00B81263">
        <w:rPr>
          <w:lang w:val="fr-FR"/>
        </w:rPr>
        <w:t>suivi post-distribution</w:t>
      </w:r>
      <w:r w:rsidR="00B81263" w:rsidRPr="00024385">
        <w:rPr>
          <w:lang w:val="fr-FR"/>
        </w:rPr>
        <w:t xml:space="preserve"> </w:t>
      </w:r>
      <w:r w:rsidR="00D96B76" w:rsidRPr="00422881">
        <w:rPr>
          <w:lang w:val="fr-FR"/>
        </w:rPr>
        <w:t>et un exemple</w:t>
      </w:r>
      <w:r w:rsidR="00BC184D" w:rsidRPr="00422881">
        <w:rPr>
          <w:lang w:val="fr-FR"/>
        </w:rPr>
        <w:t xml:space="preserve"> de rapport</w:t>
      </w:r>
      <w:r w:rsidR="000A52DE" w:rsidRPr="00422881">
        <w:rPr>
          <w:lang w:val="fr-FR"/>
        </w:rPr>
        <w:t>.</w:t>
      </w:r>
    </w:p>
    <w:p w14:paraId="5DEBC1AA" w14:textId="77777777" w:rsidR="00A06E88" w:rsidRPr="00422881" w:rsidRDefault="00A06E88" w:rsidP="005B622B">
      <w:pPr>
        <w:spacing w:after="240"/>
        <w:rPr>
          <w:lang w:val="fr-FR"/>
        </w:rPr>
      </w:pPr>
    </w:p>
    <w:tbl>
      <w:tblPr>
        <w:tblStyle w:val="TableGrid"/>
        <w:tblW w:w="0" w:type="auto"/>
        <w:jc w:val="center"/>
        <w:shd w:val="solid" w:color="F2F2F2" w:themeColor="background1" w:themeShade="F2" w:fill="auto"/>
        <w:tblLook w:val="00A0" w:firstRow="1" w:lastRow="0" w:firstColumn="1" w:lastColumn="0" w:noHBand="0" w:noVBand="0"/>
      </w:tblPr>
      <w:tblGrid>
        <w:gridCol w:w="6967"/>
      </w:tblGrid>
      <w:tr w:rsidR="00047584" w:rsidRPr="0035507B" w14:paraId="01525CA7" w14:textId="77777777" w:rsidTr="00AB121E">
        <w:trPr>
          <w:trHeight w:val="416"/>
          <w:jc w:val="center"/>
        </w:trPr>
        <w:tc>
          <w:tcPr>
            <w:tcW w:w="6967" w:type="dxa"/>
            <w:shd w:val="solid" w:color="F2F2F2" w:themeColor="background1" w:themeShade="F2" w:fill="auto"/>
          </w:tcPr>
          <w:p w14:paraId="59DFFD34" w14:textId="69974C68" w:rsidR="00047584" w:rsidRPr="00422881" w:rsidRDefault="00BC184D" w:rsidP="00AB121E">
            <w:pPr>
              <w:keepNext/>
              <w:keepLines/>
              <w:spacing w:before="120"/>
              <w:jc w:val="center"/>
              <w:rPr>
                <w:b/>
                <w:sz w:val="22"/>
                <w:szCs w:val="22"/>
                <w:lang w:val="fr-FR"/>
              </w:rPr>
            </w:pPr>
            <w:r w:rsidRPr="00422881">
              <w:rPr>
                <w:b/>
                <w:sz w:val="22"/>
                <w:szCs w:val="22"/>
                <w:lang w:val="fr-FR"/>
              </w:rPr>
              <w:t>Données q</w:t>
            </w:r>
            <w:r w:rsidR="004854C5" w:rsidRPr="00422881">
              <w:rPr>
                <w:b/>
                <w:sz w:val="22"/>
                <w:szCs w:val="22"/>
                <w:lang w:val="fr-FR"/>
              </w:rPr>
              <w:t>ualitative</w:t>
            </w:r>
            <w:r w:rsidRPr="00422881">
              <w:rPr>
                <w:b/>
                <w:sz w:val="22"/>
                <w:szCs w:val="22"/>
                <w:lang w:val="fr-FR"/>
              </w:rPr>
              <w:t>s</w:t>
            </w:r>
            <w:r w:rsidR="004854C5" w:rsidRPr="00422881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422881">
              <w:rPr>
                <w:b/>
                <w:sz w:val="22"/>
                <w:szCs w:val="22"/>
                <w:lang w:val="fr-FR"/>
              </w:rPr>
              <w:t xml:space="preserve">et </w:t>
            </w:r>
            <w:r w:rsidR="004854C5" w:rsidRPr="00422881">
              <w:rPr>
                <w:b/>
                <w:sz w:val="22"/>
                <w:szCs w:val="22"/>
                <w:lang w:val="fr-FR"/>
              </w:rPr>
              <w:t>triangulation</w:t>
            </w:r>
          </w:p>
          <w:p w14:paraId="0101A303" w14:textId="0553F08B" w:rsidR="00047584" w:rsidRPr="00422881" w:rsidRDefault="00BC184D" w:rsidP="00AB121E">
            <w:pPr>
              <w:keepNext/>
              <w:keepLines/>
              <w:spacing w:after="60"/>
              <w:rPr>
                <w:lang w:val="fr-FR"/>
              </w:rPr>
            </w:pPr>
            <w:r w:rsidRPr="00422881">
              <w:rPr>
                <w:lang w:val="fr-FR"/>
              </w:rPr>
              <w:t xml:space="preserve">Les données collectées sur l’utilisation des fonds sont majoritairement quantitatives, mais devraient aussi </w:t>
            </w:r>
            <w:r w:rsidR="005D78F4" w:rsidRPr="00422881">
              <w:rPr>
                <w:lang w:val="fr-FR"/>
              </w:rPr>
              <w:t xml:space="preserve">inclure une </w:t>
            </w:r>
            <w:r w:rsidR="008D7F76" w:rsidRPr="00422881">
              <w:rPr>
                <w:lang w:val="fr-FR"/>
              </w:rPr>
              <w:t xml:space="preserve">importante </w:t>
            </w:r>
            <w:r w:rsidR="005D78F4" w:rsidRPr="00422881">
              <w:rPr>
                <w:lang w:val="fr-FR"/>
              </w:rPr>
              <w:t xml:space="preserve">composante qualitative </w:t>
            </w:r>
            <w:r w:rsidR="008D7F76" w:rsidRPr="00422881">
              <w:rPr>
                <w:lang w:val="fr-FR"/>
              </w:rPr>
              <w:t>pour</w:t>
            </w:r>
            <w:r w:rsidRPr="00422881">
              <w:rPr>
                <w:lang w:val="fr-FR"/>
              </w:rPr>
              <w:t xml:space="preserve"> expliquer les raisons </w:t>
            </w:r>
            <w:r w:rsidR="005D78F4" w:rsidRPr="00422881">
              <w:rPr>
                <w:lang w:val="fr-FR"/>
              </w:rPr>
              <w:t xml:space="preserve">qui </w:t>
            </w:r>
            <w:r w:rsidR="008D7F76" w:rsidRPr="00422881">
              <w:rPr>
                <w:lang w:val="fr-FR"/>
              </w:rPr>
              <w:t>sous-tendent</w:t>
            </w:r>
            <w:r w:rsidR="005D78F4" w:rsidRPr="00422881">
              <w:rPr>
                <w:lang w:val="fr-FR"/>
              </w:rPr>
              <w:t xml:space="preserve"> le</w:t>
            </w:r>
            <w:r w:rsidRPr="00422881">
              <w:rPr>
                <w:lang w:val="fr-FR"/>
              </w:rPr>
              <w:t xml:space="preserve"> comporteme</w:t>
            </w:r>
            <w:r w:rsidR="008D7F76" w:rsidRPr="00422881">
              <w:rPr>
                <w:lang w:val="fr-FR"/>
              </w:rPr>
              <w:t>nt des ménages</w:t>
            </w:r>
            <w:r w:rsidR="008E6C72" w:rsidRPr="00422881">
              <w:rPr>
                <w:lang w:val="fr-FR"/>
              </w:rPr>
              <w:t>.</w:t>
            </w:r>
          </w:p>
          <w:p w14:paraId="36D76BE1" w14:textId="126B5BA2" w:rsidR="00047584" w:rsidRPr="00422881" w:rsidRDefault="00C77DD2" w:rsidP="00B81263">
            <w:pPr>
              <w:keepNext/>
              <w:keepLines/>
              <w:spacing w:before="240" w:after="60"/>
              <w:rPr>
                <w:lang w:val="fr-FR"/>
              </w:rPr>
            </w:pPr>
            <w:r w:rsidRPr="00422881">
              <w:rPr>
                <w:lang w:val="fr-FR"/>
              </w:rPr>
              <w:t>La t</w:t>
            </w:r>
            <w:r w:rsidR="008D7F76" w:rsidRPr="00422881">
              <w:rPr>
                <w:lang w:val="fr-FR"/>
              </w:rPr>
              <w:t>riangul</w:t>
            </w:r>
            <w:r w:rsidRPr="00422881">
              <w:rPr>
                <w:lang w:val="fr-FR"/>
              </w:rPr>
              <w:t>ation d</w:t>
            </w:r>
            <w:r w:rsidR="008D7F76" w:rsidRPr="00422881">
              <w:rPr>
                <w:lang w:val="fr-FR"/>
              </w:rPr>
              <w:t xml:space="preserve">es informations recueillies auprès des bénéficiaires et </w:t>
            </w:r>
            <w:r w:rsidRPr="00422881">
              <w:rPr>
                <w:lang w:val="fr-FR"/>
              </w:rPr>
              <w:t xml:space="preserve">de </w:t>
            </w:r>
            <w:r w:rsidR="008D7F76" w:rsidRPr="00422881">
              <w:rPr>
                <w:lang w:val="fr-FR"/>
              </w:rPr>
              <w:t xml:space="preserve">celles collectées auprès d’autres informateurs clés, comme les </w:t>
            </w:r>
            <w:r w:rsidR="00B81263">
              <w:rPr>
                <w:lang w:val="fr-FR"/>
              </w:rPr>
              <w:t>commerçants</w:t>
            </w:r>
            <w:r w:rsidR="008D7F76" w:rsidRPr="00422881">
              <w:rPr>
                <w:lang w:val="fr-FR"/>
              </w:rPr>
              <w:t xml:space="preserve">, peut aider à repérer les incohérences. Par ailleurs, parler séparément aux femmes et aux hommes est utile pour comprendre qui contrôle les dépenses et comment l’argent est </w:t>
            </w:r>
            <w:r w:rsidRPr="00422881">
              <w:rPr>
                <w:lang w:val="fr-FR"/>
              </w:rPr>
              <w:t>utilisé</w:t>
            </w:r>
            <w:r w:rsidR="00047584" w:rsidRPr="00422881">
              <w:rPr>
                <w:lang w:val="fr-FR"/>
              </w:rPr>
              <w:t>.</w:t>
            </w:r>
          </w:p>
        </w:tc>
      </w:tr>
    </w:tbl>
    <w:p w14:paraId="4FB91D4D" w14:textId="77777777" w:rsidR="00047584" w:rsidRPr="00422881" w:rsidRDefault="00047584" w:rsidP="00AB121E">
      <w:pPr>
        <w:spacing w:after="360"/>
        <w:rPr>
          <w:sz w:val="22"/>
          <w:lang w:val="fr-FR"/>
        </w:rPr>
      </w:pPr>
    </w:p>
    <w:tbl>
      <w:tblPr>
        <w:tblStyle w:val="TableGray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848"/>
      </w:tblGrid>
      <w:tr w:rsidR="0047617F" w:rsidRPr="00422881" w14:paraId="0EE02A8E" w14:textId="77777777" w:rsidTr="0047617F">
        <w:tc>
          <w:tcPr>
            <w:tcW w:w="9848" w:type="dxa"/>
            <w:shd w:val="clear" w:color="auto" w:fill="D9D9D9"/>
          </w:tcPr>
          <w:p w14:paraId="2E499BA3" w14:textId="523F9B47" w:rsidR="0047617F" w:rsidRPr="00422881" w:rsidRDefault="00B431D7" w:rsidP="0047617F">
            <w:pPr>
              <w:pStyle w:val="RefTitre"/>
              <w:rPr>
                <w:lang w:val="fr-FR"/>
              </w:rPr>
            </w:pPr>
            <w:r w:rsidRPr="00422881">
              <w:rPr>
                <w:lang w:val="fr-FR"/>
              </w:rPr>
              <w:t>DOCUMENTS DE RÉFÉ</w:t>
            </w:r>
            <w:r w:rsidR="0047617F" w:rsidRPr="00422881">
              <w:rPr>
                <w:lang w:val="fr-FR"/>
              </w:rPr>
              <w:t xml:space="preserve">RENCE </w:t>
            </w:r>
          </w:p>
          <w:p w14:paraId="14753A5E" w14:textId="231FF642" w:rsidR="00940F51" w:rsidRPr="00807214" w:rsidRDefault="0047617F" w:rsidP="0047617F">
            <w:pPr>
              <w:pStyle w:val="RefItem1"/>
              <w:rPr>
                <w:rStyle w:val="Hyperlink"/>
                <w:lang w:val="fr-FR"/>
              </w:rPr>
            </w:pPr>
            <w:r w:rsidRPr="00807214">
              <w:rPr>
                <w:lang w:val="fr-FR"/>
              </w:rPr>
              <w:t xml:space="preserve">Food </w:t>
            </w:r>
            <w:proofErr w:type="spellStart"/>
            <w:r w:rsidRPr="00807214">
              <w:rPr>
                <w:lang w:val="fr-FR"/>
              </w:rPr>
              <w:t>Consumption</w:t>
            </w:r>
            <w:proofErr w:type="spellEnd"/>
            <w:r w:rsidRPr="00807214">
              <w:rPr>
                <w:lang w:val="fr-FR"/>
              </w:rPr>
              <w:t xml:space="preserve"> </w:t>
            </w:r>
            <w:proofErr w:type="spellStart"/>
            <w:r w:rsidRPr="00807214">
              <w:rPr>
                <w:lang w:val="fr-FR"/>
              </w:rPr>
              <w:t>Analysis</w:t>
            </w:r>
            <w:proofErr w:type="spellEnd"/>
            <w:r w:rsidRPr="00807214">
              <w:rPr>
                <w:lang w:val="fr-FR"/>
              </w:rPr>
              <w:t xml:space="preserve"> </w:t>
            </w:r>
            <w:r w:rsidR="00A973B5" w:rsidRPr="00807214">
              <w:rPr>
                <w:lang w:val="fr-FR"/>
              </w:rPr>
              <w:softHyphen/>
              <w:t>–</w:t>
            </w:r>
            <w:r w:rsidRPr="00807214">
              <w:rPr>
                <w:lang w:val="fr-FR"/>
              </w:rPr>
              <w:t xml:space="preserve"> </w:t>
            </w:r>
            <w:proofErr w:type="spellStart"/>
            <w:r w:rsidRPr="00807214">
              <w:rPr>
                <w:lang w:val="fr-FR"/>
              </w:rPr>
              <w:t>Technical</w:t>
            </w:r>
            <w:proofErr w:type="spellEnd"/>
            <w:r w:rsidRPr="00807214">
              <w:rPr>
                <w:lang w:val="fr-FR"/>
              </w:rPr>
              <w:t xml:space="preserve"> Guidance </w:t>
            </w:r>
            <w:proofErr w:type="spellStart"/>
            <w:r w:rsidRPr="00807214">
              <w:rPr>
                <w:lang w:val="fr-FR"/>
              </w:rPr>
              <w:t>Sheet</w:t>
            </w:r>
            <w:proofErr w:type="spellEnd"/>
            <w:r w:rsidR="00C77DD2" w:rsidRPr="00807214">
              <w:rPr>
                <w:lang w:val="fr-FR"/>
              </w:rPr>
              <w:t>, PAM</w:t>
            </w:r>
            <w:r w:rsidRPr="00807214">
              <w:rPr>
                <w:lang w:val="fr-FR"/>
              </w:rPr>
              <w:t xml:space="preserve">. </w:t>
            </w:r>
            <w:r w:rsidRPr="00807214">
              <w:rPr>
                <w:rStyle w:val="Hyperlink"/>
                <w:lang w:val="fr-FR"/>
              </w:rPr>
              <w:t>documents.wfp.org/stellent/groups/public/documents/manual_guide_proced/wfp197216.pdf</w:t>
            </w:r>
          </w:p>
          <w:p w14:paraId="12AEA336" w14:textId="77777777" w:rsidR="00A973B5" w:rsidRDefault="00A4154C" w:rsidP="00A973B5">
            <w:pPr>
              <w:pStyle w:val="RefItem1"/>
              <w:spacing w:after="0"/>
              <w:rPr>
                <w:lang w:val="en-GB"/>
              </w:rPr>
            </w:pPr>
            <w:r w:rsidRPr="00422881">
              <w:rPr>
                <w:lang w:val="fr-FR"/>
              </w:rPr>
              <w:t>Guide pour mesurer la diversité alimentaire au niveau du ménage et de l’individu</w:t>
            </w:r>
            <w:r w:rsidR="0047617F" w:rsidRPr="00422881">
              <w:rPr>
                <w:lang w:val="fr-FR"/>
              </w:rPr>
              <w:t xml:space="preserve">. </w:t>
            </w:r>
            <w:r w:rsidR="0047617F" w:rsidRPr="008F0CAC">
              <w:rPr>
                <w:lang w:val="en-GB"/>
              </w:rPr>
              <w:t xml:space="preserve">FAO 2011. </w:t>
            </w:r>
          </w:p>
          <w:p w14:paraId="3C1F111C" w14:textId="26718C5B" w:rsidR="0047617F" w:rsidRPr="008F0CAC" w:rsidRDefault="0035507B" w:rsidP="00A973B5">
            <w:pPr>
              <w:pStyle w:val="RefItem1"/>
              <w:rPr>
                <w:lang w:val="en-GB"/>
              </w:rPr>
            </w:pPr>
            <w:hyperlink r:id="rId9" w:history="1">
              <w:r w:rsidR="00A973B5" w:rsidRPr="00655D6E">
                <w:rPr>
                  <w:rStyle w:val="Hyperlink"/>
                </w:rPr>
                <w:t>http://www.fao.org/docrep/016/i1983f/i1983f.pdf</w:t>
              </w:r>
            </w:hyperlink>
          </w:p>
        </w:tc>
      </w:tr>
    </w:tbl>
    <w:p w14:paraId="2E0C4AFC" w14:textId="77777777" w:rsidR="00D77A5A" w:rsidRPr="008F0CAC" w:rsidRDefault="00D77A5A" w:rsidP="0047617F">
      <w:pPr>
        <w:rPr>
          <w:sz w:val="22"/>
          <w:lang w:val="en-GB"/>
        </w:rPr>
      </w:pPr>
    </w:p>
    <w:sectPr w:rsidR="00D77A5A" w:rsidRPr="008F0CAC" w:rsidSect="00777F8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A4F76" w14:textId="77777777" w:rsidR="001342C4" w:rsidRDefault="001342C4" w:rsidP="00856359">
      <w:r>
        <w:separator/>
      </w:r>
    </w:p>
  </w:endnote>
  <w:endnote w:type="continuationSeparator" w:id="0">
    <w:p w14:paraId="375A3B11" w14:textId="77777777" w:rsidR="001342C4" w:rsidRDefault="001342C4" w:rsidP="008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20236" w14:textId="2120B94A" w:rsidR="00BC184D" w:rsidRPr="009346E8" w:rsidRDefault="00BC184D" w:rsidP="00BC184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CH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9346E8">
      <w:rPr>
        <w:b/>
        <w:color w:val="808080" w:themeColor="background1" w:themeShade="80"/>
        <w:sz w:val="18"/>
        <w:szCs w:val="18"/>
        <w:lang w:val="fr-CH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5507B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BCB817F" w14:textId="507C1C2F" w:rsidR="00BC184D" w:rsidRPr="000E1D74" w:rsidRDefault="00BC184D" w:rsidP="00BC184D">
    <w:pPr>
      <w:pStyle w:val="Footer"/>
      <w:rPr>
        <w:lang w:val="fr-CH"/>
      </w:rPr>
    </w:pPr>
    <w:r w:rsidRPr="00430342">
      <w:rPr>
        <w:b/>
        <w:lang w:val="fr-CH"/>
      </w:rPr>
      <w:t>Module 5.</w:t>
    </w:r>
    <w:r w:rsidRPr="00430342">
      <w:rPr>
        <w:lang w:val="fr-CH"/>
      </w:rPr>
      <w:t xml:space="preserve"> Étape 2. </w:t>
    </w:r>
    <w:r w:rsidRPr="000E1D74">
      <w:fldChar w:fldCharType="begin"/>
    </w:r>
    <w:r w:rsidRPr="00430342">
      <w:rPr>
        <w:lang w:val="fr-CH"/>
      </w:rPr>
      <w:instrText xml:space="preserve"> STYLEREF  H1 \t  \* MERGEFORMAT </w:instrText>
    </w:r>
    <w:r w:rsidRPr="000E1D74">
      <w:fldChar w:fldCharType="end"/>
    </w:r>
    <w:r w:rsidRPr="000E1D74">
      <w:rPr>
        <w:lang w:val="fr-CH"/>
      </w:rPr>
      <w:t>Feuille de route sur le suivi des PTM</w:t>
    </w:r>
    <w:r w:rsidRPr="000E1D74">
      <w:fldChar w:fldCharType="begin"/>
    </w:r>
    <w:r w:rsidRPr="000E1D74">
      <w:rPr>
        <w:lang w:val="fr-CH"/>
      </w:rPr>
      <w:instrText xml:space="preserve"> STYLEREF  H1 \t  \* MERGEFORMAT </w:instrText>
    </w:r>
    <w:r w:rsidRPr="000E1D74">
      <w:fldChar w:fldCharType="end"/>
    </w:r>
    <w:r>
      <w:fldChar w:fldCharType="begin"/>
    </w:r>
    <w:r w:rsidRPr="000E1D74">
      <w:rPr>
        <w:lang w:val="fr-CH"/>
      </w:rPr>
      <w:instrText xml:space="preserve"> STYLEREF  H1 \t  \* MERGEFORMAT </w:instrText>
    </w:r>
    <w:r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A7D8" w14:textId="07284BF2" w:rsidR="00BC184D" w:rsidRPr="00B45C74" w:rsidRDefault="00BC184D" w:rsidP="00BC184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5507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A18064D" w14:textId="2B48DFCF" w:rsidR="00BC184D" w:rsidRPr="00777F8F" w:rsidRDefault="00BC184D" w:rsidP="00BC184D">
    <w:pPr>
      <w:pStyle w:val="Footer"/>
    </w:pPr>
    <w:r w:rsidRPr="00107E15">
      <w:rPr>
        <w:b/>
      </w:rPr>
      <w:t xml:space="preserve">Module </w:t>
    </w:r>
    <w:r>
      <w:rPr>
        <w:b/>
      </w:rPr>
      <w:t>5</w:t>
    </w:r>
    <w:r w:rsidRPr="00107E15">
      <w:rPr>
        <w:b/>
      </w:rPr>
      <w:t>.</w:t>
    </w:r>
    <w:r w:rsidRPr="00107E15">
      <w:t xml:space="preserve"> </w:t>
    </w:r>
    <w:proofErr w:type="spellStart"/>
    <w:r w:rsidR="00807214">
      <w:t>É</w:t>
    </w:r>
    <w:r>
      <w:t>tape</w:t>
    </w:r>
    <w:proofErr w:type="spellEnd"/>
    <w:r w:rsidRPr="00107E15">
      <w:t xml:space="preserve"> </w:t>
    </w:r>
    <w:r>
      <w:t>2</w:t>
    </w:r>
    <w:r w:rsidRPr="00107E15">
      <w:t>.</w:t>
    </w:r>
    <w:r>
      <w:t xml:space="preserve"> </w:t>
    </w:r>
    <w:r w:rsidR="0035507B">
      <w:fldChar w:fldCharType="begin"/>
    </w:r>
    <w:r w:rsidR="0035507B">
      <w:instrText xml:space="preserve"> STYLEREF  H1 \t  \* MERGEFORMAT </w:instrText>
    </w:r>
    <w:r w:rsidR="0035507B">
      <w:fldChar w:fldCharType="separate"/>
    </w:r>
    <w:r w:rsidR="0035507B" w:rsidRPr="0035507B">
      <w:rPr>
        <w:bCs/>
        <w:noProof/>
      </w:rPr>
      <w:t>Feuille de</w:t>
    </w:r>
    <w:r w:rsidR="0035507B">
      <w:rPr>
        <w:noProof/>
      </w:rPr>
      <w:t xml:space="preserve"> route pour le suivi des PTM</w:t>
    </w:r>
    <w:r w:rsidR="003550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B850" w14:textId="77777777" w:rsidR="001342C4" w:rsidRDefault="001342C4" w:rsidP="00856359">
      <w:r>
        <w:separator/>
      </w:r>
    </w:p>
  </w:footnote>
  <w:footnote w:type="continuationSeparator" w:id="0">
    <w:p w14:paraId="029F6D8E" w14:textId="77777777" w:rsidR="001342C4" w:rsidRDefault="001342C4" w:rsidP="0085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1F841" w14:textId="07A6DCC9" w:rsidR="00BC184D" w:rsidRPr="00807214" w:rsidRDefault="00BC184D" w:rsidP="00807214">
    <w:pPr>
      <w:spacing w:after="0" w:line="288" w:lineRule="auto"/>
      <w:jc w:val="left"/>
      <w:rPr>
        <w:sz w:val="14"/>
        <w:szCs w:val="14"/>
        <w:lang w:val="fr-CH"/>
      </w:rPr>
    </w:pPr>
    <w:r w:rsidRPr="00807214">
      <w:rPr>
        <w:rFonts w:cs="Caecilia-Light"/>
        <w:color w:val="DC281E"/>
        <w:sz w:val="14"/>
        <w:szCs w:val="14"/>
        <w:lang w:val="fr-CH"/>
      </w:rPr>
      <w:t xml:space="preserve">Mouvement international de la Croix-Rouge et du Croissant-Rouge </w:t>
    </w:r>
    <w:r w:rsidRPr="00807214">
      <w:rPr>
        <w:b/>
        <w:bCs/>
        <w:sz w:val="14"/>
        <w:szCs w:val="14"/>
        <w:lang w:val="fr-CH"/>
      </w:rPr>
      <w:t>I</w:t>
    </w:r>
    <w:r w:rsidRPr="00807214">
      <w:rPr>
        <w:b/>
        <w:color w:val="FF0000"/>
        <w:sz w:val="14"/>
        <w:szCs w:val="14"/>
        <w:lang w:val="fr-CH"/>
      </w:rPr>
      <w:t xml:space="preserve"> </w:t>
    </w:r>
    <w:r w:rsidRPr="00807214">
      <w:rPr>
        <w:b/>
        <w:sz w:val="14"/>
        <w:szCs w:val="14"/>
        <w:lang w:val="fr-CH"/>
      </w:rPr>
      <w:t xml:space="preserve">Boîte à outils </w:t>
    </w:r>
    <w:r w:rsidR="00807214" w:rsidRPr="00807214">
      <w:rPr>
        <w:b/>
        <w:sz w:val="14"/>
        <w:szCs w:val="14"/>
        <w:lang w:val="fr-CH"/>
      </w:rPr>
      <w:t>pour les</w:t>
    </w:r>
    <w:r w:rsidRPr="00807214">
      <w:rPr>
        <w:b/>
        <w:sz w:val="14"/>
        <w:szCs w:val="14"/>
        <w:lang w:val="fr-CH"/>
      </w:rPr>
      <w:t xml:space="preserve"> transferts monétaires dans les situations d’urgence</w:t>
    </w:r>
  </w:p>
  <w:p w14:paraId="1538438F" w14:textId="763324A6" w:rsidR="00BC184D" w:rsidRPr="00B431D7" w:rsidRDefault="00BC184D" w:rsidP="00B431D7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386A" w14:textId="33F101F6" w:rsidR="00BC184D" w:rsidRDefault="00326DB0" w:rsidP="00BC184D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FE51781" wp14:editId="7261E860">
          <wp:simplePos x="0" y="0"/>
          <wp:positionH relativeFrom="column">
            <wp:posOffset>307828</wp:posOffset>
          </wp:positionH>
          <wp:positionV relativeFrom="paragraph">
            <wp:posOffset>-108585</wp:posOffset>
          </wp:positionV>
          <wp:extent cx="789048" cy="826477"/>
          <wp:effectExtent l="0" t="0" r="0" b="0"/>
          <wp:wrapNone/>
          <wp:docPr id="9" name="Image 9" descr="https://www.icrc.org/attributes/display_images/logo_cicr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crc.org/attributes/display_images/logo_cicr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48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84D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BF44A47" wp14:editId="25D256CB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71540" w14:textId="5E3CEA78" w:rsidR="00BC184D" w:rsidRDefault="00326DB0" w:rsidP="00BC184D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1AACBDCC" wp14:editId="7D63F420">
          <wp:simplePos x="0" y="0"/>
          <wp:positionH relativeFrom="column">
            <wp:posOffset>2666512</wp:posOffset>
          </wp:positionH>
          <wp:positionV relativeFrom="paragraph">
            <wp:posOffset>73025</wp:posOffset>
          </wp:positionV>
          <wp:extent cx="3288323" cy="42491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323" cy="42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6EA73" w14:textId="495F0B2F" w:rsidR="00BC184D" w:rsidRDefault="00BC184D" w:rsidP="00BC184D">
    <w:pPr>
      <w:pStyle w:val="Header"/>
      <w:rPr>
        <w:color w:val="DC281E"/>
        <w:sz w:val="24"/>
        <w:szCs w:val="24"/>
      </w:rPr>
    </w:pPr>
  </w:p>
  <w:p w14:paraId="3CAD3271" w14:textId="77777777" w:rsidR="00BC184D" w:rsidRDefault="00BC184D" w:rsidP="00BC184D">
    <w:pPr>
      <w:pStyle w:val="Header"/>
      <w:spacing w:line="240" w:lineRule="auto"/>
      <w:rPr>
        <w:b/>
        <w:color w:val="DC281E"/>
        <w:sz w:val="24"/>
        <w:szCs w:val="24"/>
      </w:rPr>
    </w:pPr>
  </w:p>
  <w:p w14:paraId="5B74EBC5" w14:textId="77777777" w:rsidR="00BC184D" w:rsidRDefault="00BC184D" w:rsidP="00BC184D">
    <w:pPr>
      <w:pStyle w:val="Header"/>
      <w:spacing w:line="240" w:lineRule="auto"/>
      <w:rPr>
        <w:b/>
        <w:color w:val="DC281E"/>
        <w:sz w:val="24"/>
        <w:szCs w:val="24"/>
      </w:rPr>
    </w:pPr>
  </w:p>
  <w:p w14:paraId="2F85D2CA" w14:textId="7CB9A277" w:rsidR="00BC184D" w:rsidRPr="00B431D7" w:rsidRDefault="00BC184D" w:rsidP="00807214">
    <w:pPr>
      <w:pStyle w:val="Header1"/>
      <w:rPr>
        <w:rFonts w:ascii="Arial Bold" w:hAnsi="Arial Bold"/>
        <w:color w:val="DC281E"/>
        <w:lang w:val="fr-CH"/>
      </w:rPr>
    </w:pPr>
    <w:r w:rsidRPr="00B431D7">
      <w:rPr>
        <w:rFonts w:ascii="Arial Bold" w:hAnsi="Arial Bold"/>
        <w:color w:val="DC281E"/>
        <w:lang w:val="fr-CH"/>
      </w:rPr>
      <w:t xml:space="preserve">Boîte à outils </w:t>
    </w:r>
    <w:r w:rsidR="00807214">
      <w:rPr>
        <w:rFonts w:ascii="Arial Bold" w:hAnsi="Arial Bold"/>
        <w:color w:val="DC281E"/>
        <w:lang w:val="fr-CH"/>
      </w:rPr>
      <w:t>pour les</w:t>
    </w:r>
    <w:r w:rsidRPr="00B431D7">
      <w:rPr>
        <w:rFonts w:ascii="Arial Bold" w:hAnsi="Arial Bold"/>
        <w:color w:val="DC281E"/>
        <w:lang w:val="fr-CH"/>
      </w:rPr>
      <w:t xml:space="preserve">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C3F96"/>
    <w:multiLevelType w:val="hybridMultilevel"/>
    <w:tmpl w:val="6342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52778"/>
    <w:multiLevelType w:val="hybridMultilevel"/>
    <w:tmpl w:val="E3885B7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749F"/>
    <w:multiLevelType w:val="hybridMultilevel"/>
    <w:tmpl w:val="86D4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B0B"/>
    <w:multiLevelType w:val="hybridMultilevel"/>
    <w:tmpl w:val="6BDAFA3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357B"/>
    <w:multiLevelType w:val="hybridMultilevel"/>
    <w:tmpl w:val="C110226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DE34A0"/>
    <w:multiLevelType w:val="hybridMultilevel"/>
    <w:tmpl w:val="36BE8BD8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D2C1B"/>
    <w:multiLevelType w:val="hybridMultilevel"/>
    <w:tmpl w:val="739C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F60DA"/>
    <w:multiLevelType w:val="hybridMultilevel"/>
    <w:tmpl w:val="B342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E4C26"/>
    <w:multiLevelType w:val="hybridMultilevel"/>
    <w:tmpl w:val="2DD0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11"/>
  </w:num>
  <w:num w:numId="9">
    <w:abstractNumId w:val="7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E9"/>
    <w:rsid w:val="00005A9D"/>
    <w:rsid w:val="00024385"/>
    <w:rsid w:val="00047584"/>
    <w:rsid w:val="0005248B"/>
    <w:rsid w:val="000535E2"/>
    <w:rsid w:val="00080E80"/>
    <w:rsid w:val="00096260"/>
    <w:rsid w:val="000A3581"/>
    <w:rsid w:val="000A52DE"/>
    <w:rsid w:val="000C4838"/>
    <w:rsid w:val="000D28A3"/>
    <w:rsid w:val="000E1D74"/>
    <w:rsid w:val="00120D3D"/>
    <w:rsid w:val="001342C4"/>
    <w:rsid w:val="001528FF"/>
    <w:rsid w:val="00163084"/>
    <w:rsid w:val="001D47AC"/>
    <w:rsid w:val="001D72EA"/>
    <w:rsid w:val="00224E5D"/>
    <w:rsid w:val="00225E6F"/>
    <w:rsid w:val="00231451"/>
    <w:rsid w:val="00240388"/>
    <w:rsid w:val="00265EC5"/>
    <w:rsid w:val="00302997"/>
    <w:rsid w:val="00324468"/>
    <w:rsid w:val="00326DB0"/>
    <w:rsid w:val="00337FD9"/>
    <w:rsid w:val="0034188D"/>
    <w:rsid w:val="00342368"/>
    <w:rsid w:val="00344B00"/>
    <w:rsid w:val="0035507B"/>
    <w:rsid w:val="00380258"/>
    <w:rsid w:val="00396E85"/>
    <w:rsid w:val="003B1E20"/>
    <w:rsid w:val="003B2A30"/>
    <w:rsid w:val="003E18BA"/>
    <w:rsid w:val="00413981"/>
    <w:rsid w:val="004146A5"/>
    <w:rsid w:val="00422881"/>
    <w:rsid w:val="00430342"/>
    <w:rsid w:val="004365D4"/>
    <w:rsid w:val="00450B02"/>
    <w:rsid w:val="0047617F"/>
    <w:rsid w:val="004850FD"/>
    <w:rsid w:val="004854C5"/>
    <w:rsid w:val="00496574"/>
    <w:rsid w:val="004C2085"/>
    <w:rsid w:val="004C3041"/>
    <w:rsid w:val="004C52E9"/>
    <w:rsid w:val="004E0D28"/>
    <w:rsid w:val="004E32BA"/>
    <w:rsid w:val="004E51B4"/>
    <w:rsid w:val="005022E2"/>
    <w:rsid w:val="00503101"/>
    <w:rsid w:val="0050497D"/>
    <w:rsid w:val="00516128"/>
    <w:rsid w:val="005556BC"/>
    <w:rsid w:val="005A785D"/>
    <w:rsid w:val="005B622B"/>
    <w:rsid w:val="005D78F4"/>
    <w:rsid w:val="006465F2"/>
    <w:rsid w:val="00672E6C"/>
    <w:rsid w:val="006770ED"/>
    <w:rsid w:val="00697051"/>
    <w:rsid w:val="006A4BE4"/>
    <w:rsid w:val="006F5F47"/>
    <w:rsid w:val="00716D34"/>
    <w:rsid w:val="00722E35"/>
    <w:rsid w:val="007252A3"/>
    <w:rsid w:val="0076731D"/>
    <w:rsid w:val="00777B17"/>
    <w:rsid w:val="00777F8F"/>
    <w:rsid w:val="007B6326"/>
    <w:rsid w:val="007F0220"/>
    <w:rsid w:val="007F5203"/>
    <w:rsid w:val="00807214"/>
    <w:rsid w:val="0081126F"/>
    <w:rsid w:val="00817906"/>
    <w:rsid w:val="00817D9D"/>
    <w:rsid w:val="00821DEB"/>
    <w:rsid w:val="00852B7E"/>
    <w:rsid w:val="00856359"/>
    <w:rsid w:val="0087043C"/>
    <w:rsid w:val="00875277"/>
    <w:rsid w:val="00877580"/>
    <w:rsid w:val="00877E27"/>
    <w:rsid w:val="008B0C3A"/>
    <w:rsid w:val="008C25AC"/>
    <w:rsid w:val="008D7F76"/>
    <w:rsid w:val="008E6C72"/>
    <w:rsid w:val="008F0CAC"/>
    <w:rsid w:val="00905303"/>
    <w:rsid w:val="00911F5B"/>
    <w:rsid w:val="009346E8"/>
    <w:rsid w:val="00934ACE"/>
    <w:rsid w:val="00940F51"/>
    <w:rsid w:val="00981F30"/>
    <w:rsid w:val="0099744D"/>
    <w:rsid w:val="009A30DE"/>
    <w:rsid w:val="009F0D7B"/>
    <w:rsid w:val="00A06E88"/>
    <w:rsid w:val="00A203DE"/>
    <w:rsid w:val="00A4154C"/>
    <w:rsid w:val="00A669F8"/>
    <w:rsid w:val="00A7106E"/>
    <w:rsid w:val="00A81216"/>
    <w:rsid w:val="00A90EFE"/>
    <w:rsid w:val="00A973B5"/>
    <w:rsid w:val="00AB121E"/>
    <w:rsid w:val="00AC2154"/>
    <w:rsid w:val="00AC6B12"/>
    <w:rsid w:val="00AF6C8D"/>
    <w:rsid w:val="00B057E0"/>
    <w:rsid w:val="00B20E72"/>
    <w:rsid w:val="00B25C68"/>
    <w:rsid w:val="00B34391"/>
    <w:rsid w:val="00B431D7"/>
    <w:rsid w:val="00B5241C"/>
    <w:rsid w:val="00B52CEB"/>
    <w:rsid w:val="00B81263"/>
    <w:rsid w:val="00BB6FFA"/>
    <w:rsid w:val="00BC184D"/>
    <w:rsid w:val="00BF0A61"/>
    <w:rsid w:val="00C01580"/>
    <w:rsid w:val="00C152DD"/>
    <w:rsid w:val="00C63FE5"/>
    <w:rsid w:val="00C77DD2"/>
    <w:rsid w:val="00C9482C"/>
    <w:rsid w:val="00CB0622"/>
    <w:rsid w:val="00CB359C"/>
    <w:rsid w:val="00CD2AAB"/>
    <w:rsid w:val="00CD592B"/>
    <w:rsid w:val="00D004FD"/>
    <w:rsid w:val="00D20B0F"/>
    <w:rsid w:val="00D350EB"/>
    <w:rsid w:val="00D52366"/>
    <w:rsid w:val="00D74154"/>
    <w:rsid w:val="00D77A5A"/>
    <w:rsid w:val="00D96B76"/>
    <w:rsid w:val="00DA6833"/>
    <w:rsid w:val="00DB443D"/>
    <w:rsid w:val="00DB4488"/>
    <w:rsid w:val="00DB624D"/>
    <w:rsid w:val="00DE614B"/>
    <w:rsid w:val="00DE62EA"/>
    <w:rsid w:val="00DF5890"/>
    <w:rsid w:val="00E03537"/>
    <w:rsid w:val="00E0766A"/>
    <w:rsid w:val="00E631A4"/>
    <w:rsid w:val="00E84AA6"/>
    <w:rsid w:val="00E96EDD"/>
    <w:rsid w:val="00EB3851"/>
    <w:rsid w:val="00EC4890"/>
    <w:rsid w:val="00EC6148"/>
    <w:rsid w:val="00EE1DEE"/>
    <w:rsid w:val="00EF3D73"/>
    <w:rsid w:val="00FA249B"/>
    <w:rsid w:val="00FA289C"/>
    <w:rsid w:val="00FC33E8"/>
    <w:rsid w:val="00FD4FDE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830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60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0962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260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260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096260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2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16"/>
    <w:rPr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9626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96260"/>
    <w:rPr>
      <w:rFonts w:ascii="Arial" w:hAnsi="Arial" w:cs="Times New Roman"/>
      <w:b/>
      <w:bCs/>
    </w:rPr>
  </w:style>
  <w:style w:type="paragraph" w:customStyle="1" w:styleId="Default">
    <w:name w:val="Default"/>
    <w:rsid w:val="000962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9626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260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9626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6260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09626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6260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09626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6260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6260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6260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260"/>
    <w:rPr>
      <w:rFonts w:ascii="Arial" w:hAnsi="Arial" w:cs="Times New Roman"/>
      <w:b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096260"/>
    <w:rPr>
      <w:b/>
    </w:rPr>
  </w:style>
  <w:style w:type="character" w:styleId="Hyperlink">
    <w:name w:val="Hyperlink"/>
    <w:basedOn w:val="DefaultParagraphFont"/>
    <w:uiPriority w:val="99"/>
    <w:unhideWhenUsed/>
    <w:rsid w:val="000962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26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6260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962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9626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96260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962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9626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96260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96260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96260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96260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96260"/>
    <w:pPr>
      <w:numPr>
        <w:numId w:val="1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096260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96260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96260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9626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962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96260"/>
    <w:pPr>
      <w:keepNext/>
      <w:keepLines/>
      <w:framePr w:hSpace="141" w:wrap="around" w:vAnchor="text" w:hAnchor="margin" w:y="402"/>
      <w:numPr>
        <w:numId w:val="1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60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0962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260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260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096260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2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16"/>
    <w:rPr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9626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96260"/>
    <w:rPr>
      <w:rFonts w:ascii="Arial" w:hAnsi="Arial" w:cs="Times New Roman"/>
      <w:b/>
      <w:bCs/>
    </w:rPr>
  </w:style>
  <w:style w:type="paragraph" w:customStyle="1" w:styleId="Default">
    <w:name w:val="Default"/>
    <w:rsid w:val="000962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9626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260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9626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6260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09626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6260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09626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6260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6260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6260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260"/>
    <w:rPr>
      <w:rFonts w:ascii="Arial" w:hAnsi="Arial" w:cs="Times New Roman"/>
      <w:b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096260"/>
    <w:rPr>
      <w:b/>
    </w:rPr>
  </w:style>
  <w:style w:type="character" w:styleId="Hyperlink">
    <w:name w:val="Hyperlink"/>
    <w:basedOn w:val="DefaultParagraphFont"/>
    <w:uiPriority w:val="99"/>
    <w:unhideWhenUsed/>
    <w:rsid w:val="000962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26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6260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962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9626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96260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962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9626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96260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96260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96260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96260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96260"/>
    <w:pPr>
      <w:numPr>
        <w:numId w:val="1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096260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96260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96260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9626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962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96260"/>
    <w:pPr>
      <w:keepNext/>
      <w:keepLines/>
      <w:framePr w:hSpace="141" w:wrap="around" w:vAnchor="text" w:hAnchor="margin" w:y="402"/>
      <w:numPr>
        <w:numId w:val="1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o.org/docrep/016/i1983f/i1983f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374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65</cp:revision>
  <cp:lastPrinted>2015-10-13T16:04:00Z</cp:lastPrinted>
  <dcterms:created xsi:type="dcterms:W3CDTF">2014-12-10T11:13:00Z</dcterms:created>
  <dcterms:modified xsi:type="dcterms:W3CDTF">2016-04-29T13:13:00Z</dcterms:modified>
</cp:coreProperties>
</file>