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65" w:rsidRPr="009C100D" w:rsidRDefault="00C14365" w:rsidP="00D57984">
      <w:pPr>
        <w:pStyle w:val="H1"/>
        <w:rPr>
          <w:rFonts w:cs="Arial"/>
          <w:lang w:val="fr-FR"/>
        </w:rPr>
      </w:pPr>
      <w:r w:rsidRPr="009C100D">
        <w:rPr>
          <w:rFonts w:cs="Arial"/>
          <w:lang w:val="fr-FR"/>
        </w:rPr>
        <w:t>Feuille de route pour la définition du montant et de la fréquence des transferts</w:t>
      </w:r>
    </w:p>
    <w:p w:rsidR="00ED4F9F" w:rsidRPr="009C100D" w:rsidRDefault="00C05A37" w:rsidP="00D57984">
      <w:pPr>
        <w:pStyle w:val="H1"/>
        <w:ind w:left="-170"/>
        <w:rPr>
          <w:rFonts w:cs="Arial"/>
          <w:sz w:val="20"/>
          <w:szCs w:val="20"/>
          <w:lang w:val="fr-FR"/>
        </w:rPr>
      </w:pPr>
      <w:r>
        <w:rPr>
          <w:rFonts w:cs="Arial"/>
          <w:lang w:val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150pt">
            <v:imagedata r:id="rId8" o:title="03B-Response Analysis-rodmap-EN2"/>
          </v:shape>
        </w:pict>
      </w:r>
    </w:p>
    <w:p w:rsidR="00EF2552" w:rsidRPr="009C100D" w:rsidRDefault="00EF2552" w:rsidP="00507CFF">
      <w:pPr>
        <w:pStyle w:val="Heading2"/>
        <w:rPr>
          <w:rFonts w:cs="Arial"/>
          <w:lang w:val="fr-FR"/>
        </w:rPr>
      </w:pPr>
      <w:r w:rsidRPr="009C100D">
        <w:rPr>
          <w:rFonts w:cs="Arial"/>
          <w:lang w:val="fr-FR"/>
        </w:rPr>
        <w:t>INTRODUCTION</w:t>
      </w:r>
    </w:p>
    <w:p w:rsidR="00935ECF" w:rsidRPr="009C100D" w:rsidRDefault="00E62AF3" w:rsidP="00D45D24">
      <w:pPr>
        <w:rPr>
          <w:rFonts w:cs="Arial"/>
          <w:lang w:val="fr-FR"/>
        </w:rPr>
      </w:pPr>
      <w:r w:rsidRPr="009C100D">
        <w:rPr>
          <w:lang w:val="fr-FR"/>
        </w:rPr>
        <w:t>Cette</w:t>
      </w:r>
      <w:r w:rsidR="00935ECF" w:rsidRPr="009C100D">
        <w:rPr>
          <w:lang w:val="fr-FR"/>
        </w:rPr>
        <w:t xml:space="preserve"> feuille de route vous guidera tout au long du processus consistant à définir le montant et la fréquence des transferts les plus appropriés pour atteindre les objectifs de l’intervention d’urgence.</w:t>
      </w:r>
    </w:p>
    <w:p w:rsidR="00935ECF" w:rsidRPr="009C100D" w:rsidRDefault="00E62AF3" w:rsidP="00E62AF3">
      <w:pPr>
        <w:rPr>
          <w:lang w:val="fr-FR"/>
        </w:rPr>
      </w:pPr>
      <w:r w:rsidRPr="009C100D">
        <w:rPr>
          <w:lang w:val="fr-FR"/>
        </w:rPr>
        <w:t>Elle</w:t>
      </w:r>
      <w:r w:rsidR="00935ECF" w:rsidRPr="009C100D">
        <w:rPr>
          <w:lang w:val="fr-FR"/>
        </w:rPr>
        <w:t xml:space="preserve"> vous indiquera également quel</w:t>
      </w:r>
      <w:r w:rsidR="00C05A37">
        <w:rPr>
          <w:lang w:val="fr-FR"/>
        </w:rPr>
        <w:t>le</w:t>
      </w:r>
      <w:bookmarkStart w:id="0" w:name="_GoBack"/>
      <w:bookmarkEnd w:id="0"/>
      <w:r w:rsidR="00935ECF" w:rsidRPr="009C100D">
        <w:rPr>
          <w:lang w:val="fr-FR"/>
        </w:rPr>
        <w:t xml:space="preserve">s sont les </w:t>
      </w:r>
      <w:r w:rsidRPr="009C100D">
        <w:rPr>
          <w:lang w:val="fr-FR"/>
        </w:rPr>
        <w:t>ressources</w:t>
      </w:r>
      <w:r w:rsidR="00935ECF" w:rsidRPr="009C100D">
        <w:rPr>
          <w:lang w:val="fr-FR"/>
        </w:rPr>
        <w:t xml:space="preserve"> de la Boîte à outils qui sont les plus utiles pour cette deuxième étape et ses étapes subsidiaires. Ces outils devront être adaptés à vos besoins et à votre contexte.</w:t>
      </w:r>
    </w:p>
    <w:p w:rsidR="00935ECF" w:rsidRPr="009C100D" w:rsidRDefault="00935ECF" w:rsidP="00E62AF3">
      <w:pPr>
        <w:rPr>
          <w:lang w:val="fr-FR"/>
        </w:rPr>
      </w:pPr>
      <w:r w:rsidRPr="009C100D">
        <w:rPr>
          <w:lang w:val="fr-FR"/>
        </w:rPr>
        <w:t>Il est important de respecter les normes minimales définies pour cette étape</w:t>
      </w:r>
      <w:r w:rsidR="00E62AF3" w:rsidRPr="009C100D">
        <w:rPr>
          <w:lang w:val="fr-FR"/>
        </w:rPr>
        <w:t xml:space="preserve"> aux fins de garantir la qualité des programmes de transferts monétaires (PTM)</w:t>
      </w:r>
      <w:r w:rsidRPr="009C100D">
        <w:rPr>
          <w:lang w:val="fr-FR"/>
        </w:rPr>
        <w:t>.</w:t>
      </w:r>
    </w:p>
    <w:p w:rsidR="00935ECF" w:rsidRPr="009C100D" w:rsidRDefault="00935ECF" w:rsidP="004D6FF5">
      <w:pPr>
        <w:rPr>
          <w:lang w:val="fr-FR"/>
        </w:rPr>
      </w:pPr>
      <w:r w:rsidRPr="009C100D">
        <w:rPr>
          <w:lang w:val="fr-FR"/>
        </w:rPr>
        <w:t xml:space="preserve">Il est probable que vous deviez </w:t>
      </w:r>
      <w:r w:rsidRPr="009C100D">
        <w:rPr>
          <w:b/>
          <w:lang w:val="fr-FR"/>
        </w:rPr>
        <w:t>aller et venir</w:t>
      </w:r>
      <w:r w:rsidRPr="009C100D">
        <w:rPr>
          <w:lang w:val="fr-FR"/>
        </w:rPr>
        <w:t xml:space="preserve"> entre les différentes étapes subsidiaires </w:t>
      </w:r>
      <w:r w:rsidR="004D6FF5" w:rsidRPr="009C100D">
        <w:rPr>
          <w:lang w:val="fr-FR"/>
        </w:rPr>
        <w:t>pour orienter la prise de décisions à mesure que des informations deviennent disponibles et que la mise en œuvre du processus progresse</w:t>
      </w:r>
      <w:r w:rsidRPr="009C100D">
        <w:rPr>
          <w:lang w:val="fr-FR"/>
        </w:rPr>
        <w:t xml:space="preserve">. </w:t>
      </w:r>
    </w:p>
    <w:p w:rsidR="00935ECF" w:rsidRPr="009C100D" w:rsidRDefault="00935ECF" w:rsidP="00B8447D">
      <w:pPr>
        <w:rPr>
          <w:lang w:val="fr-FR"/>
        </w:rPr>
      </w:pPr>
      <w:r w:rsidRPr="009C100D">
        <w:rPr>
          <w:lang w:val="fr-FR"/>
        </w:rPr>
        <w:t xml:space="preserve">Pour obtenir des </w:t>
      </w:r>
      <w:r w:rsidR="00B8447D" w:rsidRPr="009C100D">
        <w:rPr>
          <w:lang w:val="fr-FR"/>
        </w:rPr>
        <w:t>orientations</w:t>
      </w:r>
      <w:r w:rsidRPr="009C100D">
        <w:rPr>
          <w:lang w:val="fr-FR"/>
        </w:rPr>
        <w:t xml:space="preserve"> plus détaillées sur la définition du montant et de la fréquence des transferts, veuillez consulter les documents de référence </w:t>
      </w:r>
      <w:r w:rsidR="00B8447D" w:rsidRPr="009C100D">
        <w:rPr>
          <w:lang w:val="fr-FR"/>
        </w:rPr>
        <w:t>mentionnés</w:t>
      </w:r>
      <w:r w:rsidRPr="009C100D">
        <w:rPr>
          <w:lang w:val="fr-FR"/>
        </w:rPr>
        <w:t xml:space="preserve"> à la fin du document.</w:t>
      </w:r>
    </w:p>
    <w:p w:rsidR="00EF2552" w:rsidRPr="009C100D" w:rsidRDefault="00C14365" w:rsidP="00507CFF">
      <w:pPr>
        <w:pStyle w:val="Heading2"/>
        <w:rPr>
          <w:rFonts w:cs="Arial"/>
          <w:lang w:val="fr-FR"/>
        </w:rPr>
      </w:pPr>
      <w:r w:rsidRPr="009C100D">
        <w:rPr>
          <w:rFonts w:cs="Arial"/>
          <w:lang w:val="fr-FR"/>
        </w:rPr>
        <w:t>Normes minimales</w:t>
      </w:r>
    </w:p>
    <w:p w:rsidR="00935ECF" w:rsidRPr="009C100D" w:rsidRDefault="00796885" w:rsidP="009D2547">
      <w:pPr>
        <w:pStyle w:val="Bullet1"/>
        <w:rPr>
          <w:rFonts w:cs="Arial"/>
          <w:lang w:val="fr-FR"/>
        </w:rPr>
      </w:pPr>
      <w:r w:rsidRPr="009C100D">
        <w:rPr>
          <w:rFonts w:cs="Arial"/>
          <w:lang w:val="fr-FR"/>
        </w:rPr>
        <w:t xml:space="preserve">Si l’objectif consiste à répondre aux besoins de base, </w:t>
      </w:r>
      <w:r w:rsidR="00F04968" w:rsidRPr="009C100D">
        <w:rPr>
          <w:rFonts w:cs="Arial"/>
          <w:lang w:val="fr-FR"/>
        </w:rPr>
        <w:t>vous devez prendre</w:t>
      </w:r>
      <w:r w:rsidRPr="009C100D">
        <w:rPr>
          <w:rFonts w:cs="Arial"/>
          <w:lang w:val="fr-FR"/>
        </w:rPr>
        <w:t xml:space="preserve"> en compte le coût </w:t>
      </w:r>
      <w:r w:rsidR="009D2547" w:rsidRPr="009C100D">
        <w:rPr>
          <w:rFonts w:cs="Arial"/>
          <w:lang w:val="fr-FR"/>
        </w:rPr>
        <w:t>des dépenses essentielles</w:t>
      </w:r>
      <w:r w:rsidRPr="009C100D">
        <w:rPr>
          <w:rFonts w:cs="Arial"/>
          <w:lang w:val="fr-FR"/>
        </w:rPr>
        <w:t xml:space="preserve"> </w:t>
      </w:r>
      <w:r w:rsidR="009D2547" w:rsidRPr="009C100D">
        <w:rPr>
          <w:rFonts w:cs="Arial"/>
          <w:lang w:val="fr-FR"/>
        </w:rPr>
        <w:t>(y compris vivres et articles et des services clés) sur le marché local</w:t>
      </w:r>
      <w:r w:rsidRPr="009C100D">
        <w:rPr>
          <w:rFonts w:cs="Arial"/>
          <w:lang w:val="fr-FR"/>
        </w:rPr>
        <w:t xml:space="preserve"> et les indicateurs nationaux existants. </w:t>
      </w:r>
    </w:p>
    <w:p w:rsidR="00EF2552" w:rsidRPr="009C100D" w:rsidRDefault="00796885" w:rsidP="00507CFF">
      <w:pPr>
        <w:pStyle w:val="Bullet1"/>
        <w:rPr>
          <w:rFonts w:cs="Arial"/>
          <w:lang w:val="fr-FR"/>
        </w:rPr>
      </w:pPr>
      <w:r w:rsidRPr="009C100D">
        <w:rPr>
          <w:rFonts w:cs="Arial"/>
          <w:lang w:val="fr-FR"/>
        </w:rPr>
        <w:t>Harmonisez votre programme avec les programmes existants afin de ne pas porter atteinte aux systèmes nationaux</w:t>
      </w:r>
      <w:r w:rsidR="00F04968" w:rsidRPr="009C100D">
        <w:rPr>
          <w:rFonts w:cs="Arial"/>
          <w:lang w:val="fr-FR"/>
        </w:rPr>
        <w:t xml:space="preserve"> en place</w:t>
      </w:r>
      <w:r w:rsidRPr="009C100D">
        <w:rPr>
          <w:rFonts w:cs="Arial"/>
          <w:lang w:val="fr-FR"/>
        </w:rPr>
        <w:t>.</w:t>
      </w:r>
    </w:p>
    <w:p w:rsidR="00EF2552" w:rsidRPr="009C100D" w:rsidRDefault="00796885" w:rsidP="009D2547">
      <w:pPr>
        <w:pStyle w:val="Bullet1"/>
        <w:rPr>
          <w:rFonts w:cs="Arial"/>
          <w:lang w:val="fr-FR"/>
        </w:rPr>
      </w:pPr>
      <w:r w:rsidRPr="009C100D">
        <w:rPr>
          <w:rFonts w:cs="Arial"/>
          <w:lang w:val="fr-FR"/>
        </w:rPr>
        <w:t xml:space="preserve">Discutez du montant des transferts avec la communauté afin de </w:t>
      </w:r>
      <w:r w:rsidR="009D2547" w:rsidRPr="009C100D">
        <w:rPr>
          <w:rFonts w:cs="Arial"/>
          <w:lang w:val="fr-FR"/>
        </w:rPr>
        <w:t>garantir l’équité et la prise en compte des</w:t>
      </w:r>
      <w:r w:rsidRPr="009C100D">
        <w:rPr>
          <w:rFonts w:cs="Arial"/>
          <w:lang w:val="fr-FR"/>
        </w:rPr>
        <w:t xml:space="preserve"> spécificités du contexte local.</w:t>
      </w:r>
    </w:p>
    <w:p w:rsidR="00EF2552" w:rsidRPr="009C100D" w:rsidRDefault="00796885" w:rsidP="00F6760A">
      <w:pPr>
        <w:pStyle w:val="Bullet1"/>
        <w:rPr>
          <w:rFonts w:cs="Arial"/>
          <w:lang w:val="fr-FR"/>
        </w:rPr>
      </w:pPr>
      <w:r w:rsidRPr="009C100D">
        <w:rPr>
          <w:rFonts w:cs="Arial"/>
          <w:lang w:val="fr-FR"/>
        </w:rPr>
        <w:t xml:space="preserve">Prévoyez </w:t>
      </w:r>
      <w:r w:rsidR="00F6760A" w:rsidRPr="009C100D">
        <w:rPr>
          <w:rFonts w:cs="Arial"/>
          <w:lang w:val="fr-FR"/>
        </w:rPr>
        <w:t>d’adapter le</w:t>
      </w:r>
      <w:r w:rsidRPr="009C100D">
        <w:rPr>
          <w:rFonts w:cs="Arial"/>
          <w:lang w:val="fr-FR"/>
        </w:rPr>
        <w:t xml:space="preserve"> montant des transferts en cas </w:t>
      </w:r>
      <w:r w:rsidR="00F04968" w:rsidRPr="009C100D">
        <w:rPr>
          <w:rFonts w:cs="Arial"/>
          <w:lang w:val="fr-FR"/>
        </w:rPr>
        <w:t>de variation</w:t>
      </w:r>
      <w:r w:rsidRPr="009C100D">
        <w:rPr>
          <w:rFonts w:cs="Arial"/>
          <w:lang w:val="fr-FR"/>
        </w:rPr>
        <w:t xml:space="preserve"> imprévue des prix.</w:t>
      </w:r>
    </w:p>
    <w:p w:rsidR="00796885" w:rsidRPr="009C100D" w:rsidRDefault="00796885" w:rsidP="00F6760A">
      <w:pPr>
        <w:pStyle w:val="Bullet1"/>
        <w:rPr>
          <w:rFonts w:cs="Arial"/>
          <w:lang w:val="fr-FR"/>
        </w:rPr>
      </w:pPr>
      <w:r w:rsidRPr="009C100D">
        <w:rPr>
          <w:rFonts w:cs="Arial"/>
          <w:lang w:val="fr-FR"/>
        </w:rPr>
        <w:t>Prenez en compte les taux de rémunération locaux</w:t>
      </w:r>
      <w:r w:rsidR="008728B8" w:rsidRPr="009C100D">
        <w:rPr>
          <w:rFonts w:cs="Arial"/>
          <w:lang w:val="fr-FR"/>
        </w:rPr>
        <w:t xml:space="preserve"> ainsi que les lois nationale</w:t>
      </w:r>
      <w:r w:rsidR="00F04968" w:rsidRPr="009C100D">
        <w:rPr>
          <w:rFonts w:cs="Arial"/>
          <w:lang w:val="fr-FR"/>
        </w:rPr>
        <w:t>s</w:t>
      </w:r>
      <w:r w:rsidR="000026A3" w:rsidRPr="009C100D">
        <w:rPr>
          <w:rFonts w:cs="Arial"/>
          <w:lang w:val="fr-FR"/>
        </w:rPr>
        <w:t>/</w:t>
      </w:r>
      <w:r w:rsidR="008728B8" w:rsidRPr="009C100D">
        <w:rPr>
          <w:rFonts w:cs="Arial"/>
          <w:lang w:val="fr-FR"/>
        </w:rPr>
        <w:t xml:space="preserve">réglementations fiscales </w:t>
      </w:r>
      <w:r w:rsidR="00F6760A" w:rsidRPr="009C100D">
        <w:rPr>
          <w:rFonts w:cs="Arial"/>
          <w:lang w:val="fr-FR"/>
        </w:rPr>
        <w:t>pertinentes lorsque vous définissez</w:t>
      </w:r>
      <w:r w:rsidR="008728B8" w:rsidRPr="009C100D">
        <w:rPr>
          <w:rFonts w:cs="Arial"/>
          <w:lang w:val="fr-FR"/>
        </w:rPr>
        <w:t xml:space="preserve"> le montant des salaires dans le cadre d’un programme « argent contre travail ».</w:t>
      </w:r>
    </w:p>
    <w:p w:rsidR="00EF2552" w:rsidRPr="009C100D" w:rsidRDefault="00C14365" w:rsidP="00507CFF">
      <w:pPr>
        <w:pStyle w:val="Heading2"/>
        <w:rPr>
          <w:rFonts w:cs="Arial"/>
          <w:lang w:val="fr-FR"/>
        </w:rPr>
      </w:pPr>
      <w:r w:rsidRPr="009C100D">
        <w:rPr>
          <w:rFonts w:cs="Arial"/>
          <w:lang w:val="fr-FR"/>
        </w:rPr>
        <w:lastRenderedPageBreak/>
        <w:t>Étapes subsidiaires et outils</w:t>
      </w:r>
    </w:p>
    <w:p w:rsidR="00231EF6" w:rsidRPr="009C100D" w:rsidRDefault="008728B8" w:rsidP="00D45D24">
      <w:pPr>
        <w:pStyle w:val="Heading3"/>
        <w:rPr>
          <w:rFonts w:cs="Arial"/>
          <w:lang w:val="fr-FR"/>
        </w:rPr>
      </w:pPr>
      <w:r w:rsidRPr="009C100D">
        <w:rPr>
          <w:rFonts w:cs="Arial"/>
          <w:lang w:val="fr-FR"/>
        </w:rPr>
        <w:t>Définition du montant des transferts</w:t>
      </w:r>
    </w:p>
    <w:p w:rsidR="008728B8" w:rsidRPr="009C100D" w:rsidRDefault="00833E38" w:rsidP="005A7F17">
      <w:pPr>
        <w:rPr>
          <w:rFonts w:cs="Arial"/>
          <w:lang w:val="fr-FR"/>
        </w:rPr>
      </w:pPr>
      <w:r w:rsidRPr="009C100D">
        <w:rPr>
          <w:rFonts w:cs="Arial"/>
          <w:lang w:val="fr-FR"/>
        </w:rPr>
        <w:t xml:space="preserve">Le montant des transferts doit </w:t>
      </w:r>
      <w:r w:rsidR="00ED3CF8" w:rsidRPr="009C100D">
        <w:rPr>
          <w:rFonts w:cs="Arial"/>
          <w:lang w:val="fr-FR"/>
        </w:rPr>
        <w:t>correspondre à</w:t>
      </w:r>
      <w:r w:rsidRPr="009C100D">
        <w:rPr>
          <w:rFonts w:cs="Arial"/>
          <w:lang w:val="fr-FR"/>
        </w:rPr>
        <w:t xml:space="preserve"> ce dont les ménages </w:t>
      </w:r>
      <w:r w:rsidR="00ED3CF8" w:rsidRPr="009C100D">
        <w:rPr>
          <w:rFonts w:cs="Arial"/>
          <w:lang w:val="fr-FR"/>
        </w:rPr>
        <w:t xml:space="preserve">ont besoin </w:t>
      </w:r>
      <w:r w:rsidRPr="009C100D">
        <w:rPr>
          <w:rFonts w:cs="Arial"/>
          <w:lang w:val="fr-FR"/>
        </w:rPr>
        <w:t>pour atteindre l’objectif du projet. Ce montant</w:t>
      </w:r>
      <w:r w:rsidR="005A7F17" w:rsidRPr="009C100D">
        <w:rPr>
          <w:rFonts w:cs="Arial"/>
          <w:lang w:val="fr-FR"/>
        </w:rPr>
        <w:t>, qui vise à combler un écart,</w:t>
      </w:r>
      <w:r w:rsidRPr="009C100D">
        <w:rPr>
          <w:rFonts w:cs="Arial"/>
          <w:lang w:val="fr-FR"/>
        </w:rPr>
        <w:t xml:space="preserve"> est souvent </w:t>
      </w:r>
      <w:r w:rsidR="0010398B" w:rsidRPr="009C100D">
        <w:rPr>
          <w:rFonts w:cs="Arial"/>
          <w:lang w:val="fr-FR"/>
        </w:rPr>
        <w:t>calculé</w:t>
      </w:r>
      <w:r w:rsidRPr="009C100D">
        <w:rPr>
          <w:rFonts w:cs="Arial"/>
          <w:lang w:val="fr-FR"/>
        </w:rPr>
        <w:t xml:space="preserve"> </w:t>
      </w:r>
      <w:r w:rsidR="005A7F17" w:rsidRPr="009C100D">
        <w:rPr>
          <w:rFonts w:cs="Arial"/>
          <w:lang w:val="fr-FR"/>
        </w:rPr>
        <w:t>en faisant la</w:t>
      </w:r>
      <w:r w:rsidRPr="009C100D">
        <w:rPr>
          <w:rFonts w:cs="Arial"/>
          <w:lang w:val="fr-FR"/>
        </w:rPr>
        <w:t xml:space="preserve"> différence entre les besoins </w:t>
      </w:r>
      <w:r w:rsidR="005A7F17" w:rsidRPr="009C100D">
        <w:rPr>
          <w:rFonts w:cs="Arial"/>
          <w:lang w:val="fr-FR"/>
        </w:rPr>
        <w:t>des individus</w:t>
      </w:r>
      <w:r w:rsidRPr="009C100D">
        <w:rPr>
          <w:rFonts w:cs="Arial"/>
          <w:lang w:val="fr-FR"/>
        </w:rPr>
        <w:t xml:space="preserve"> et leur capacité </w:t>
      </w:r>
      <w:r w:rsidR="005A7F17" w:rsidRPr="009C100D">
        <w:rPr>
          <w:rFonts w:cs="Arial"/>
          <w:lang w:val="fr-FR"/>
        </w:rPr>
        <w:t>de</w:t>
      </w:r>
      <w:r w:rsidRPr="009C100D">
        <w:rPr>
          <w:rFonts w:cs="Arial"/>
          <w:lang w:val="fr-FR"/>
        </w:rPr>
        <w:t xml:space="preserve"> satisfaire ces besoins sans recourir à des</w:t>
      </w:r>
      <w:r w:rsidR="00930622" w:rsidRPr="009C100D">
        <w:rPr>
          <w:rFonts w:cs="Arial"/>
          <w:lang w:val="fr-FR"/>
        </w:rPr>
        <w:t xml:space="preserve"> stratégies d’adaptation néfast</w:t>
      </w:r>
      <w:r w:rsidRPr="009C100D">
        <w:rPr>
          <w:rFonts w:cs="Arial"/>
          <w:lang w:val="fr-FR"/>
        </w:rPr>
        <w:t xml:space="preserve">es. Les données issues de l’évaluation vous aideront à identifier </w:t>
      </w:r>
      <w:r w:rsidR="005A7F17" w:rsidRPr="009C100D">
        <w:rPr>
          <w:rFonts w:cs="Arial"/>
          <w:lang w:val="fr-FR"/>
        </w:rPr>
        <w:t>c</w:t>
      </w:r>
      <w:r w:rsidRPr="009C100D">
        <w:rPr>
          <w:rFonts w:cs="Arial"/>
          <w:lang w:val="fr-FR"/>
        </w:rPr>
        <w:t xml:space="preserve">es besoins. </w:t>
      </w:r>
      <w:r w:rsidR="00167BEE" w:rsidRPr="009C100D">
        <w:rPr>
          <w:rFonts w:cs="Arial"/>
          <w:lang w:val="fr-FR"/>
        </w:rPr>
        <w:t>Les données</w:t>
      </w:r>
      <w:r w:rsidR="00024483" w:rsidRPr="009C100D">
        <w:rPr>
          <w:rFonts w:cs="Arial"/>
          <w:lang w:val="fr-FR"/>
        </w:rPr>
        <w:t xml:space="preserve"> additionnelles</w:t>
      </w:r>
      <w:r w:rsidR="00167BEE" w:rsidRPr="009C100D">
        <w:rPr>
          <w:rFonts w:cs="Arial"/>
          <w:lang w:val="fr-FR"/>
        </w:rPr>
        <w:t xml:space="preserve"> relatives aux prix appliqués </w:t>
      </w:r>
      <w:r w:rsidR="005A7F17" w:rsidRPr="009C100D">
        <w:rPr>
          <w:rFonts w:cs="Arial"/>
          <w:lang w:val="fr-FR"/>
        </w:rPr>
        <w:t>sur</w:t>
      </w:r>
      <w:r w:rsidR="00167BEE" w:rsidRPr="009C100D">
        <w:rPr>
          <w:rFonts w:cs="Arial"/>
          <w:lang w:val="fr-FR"/>
        </w:rPr>
        <w:t xml:space="preserve"> les marchés</w:t>
      </w:r>
      <w:r w:rsidRPr="009C100D">
        <w:rPr>
          <w:rFonts w:cs="Arial"/>
          <w:lang w:val="fr-FR"/>
        </w:rPr>
        <w:t xml:space="preserve"> </w:t>
      </w:r>
      <w:r w:rsidR="00167BEE" w:rsidRPr="009C100D">
        <w:rPr>
          <w:rFonts w:cs="Arial"/>
          <w:lang w:val="fr-FR"/>
        </w:rPr>
        <w:t xml:space="preserve">et </w:t>
      </w:r>
      <w:r w:rsidR="005A7F17" w:rsidRPr="009C100D">
        <w:rPr>
          <w:rFonts w:cs="Arial"/>
          <w:lang w:val="fr-FR"/>
        </w:rPr>
        <w:t xml:space="preserve">aux </w:t>
      </w:r>
      <w:r w:rsidR="00167BEE" w:rsidRPr="009C100D">
        <w:rPr>
          <w:rFonts w:cs="Arial"/>
          <w:lang w:val="fr-FR"/>
        </w:rPr>
        <w:t xml:space="preserve">dépenses </w:t>
      </w:r>
      <w:r w:rsidR="005A7F17" w:rsidRPr="009C100D">
        <w:rPr>
          <w:rFonts w:cs="Arial"/>
          <w:lang w:val="fr-FR"/>
        </w:rPr>
        <w:t>essentielles</w:t>
      </w:r>
      <w:r w:rsidR="00167BEE" w:rsidRPr="009C100D">
        <w:rPr>
          <w:rFonts w:cs="Arial"/>
          <w:lang w:val="fr-FR"/>
        </w:rPr>
        <w:t xml:space="preserve"> vous aideront à estimer </w:t>
      </w:r>
      <w:r w:rsidR="005A7F17" w:rsidRPr="009C100D">
        <w:rPr>
          <w:rFonts w:cs="Arial"/>
          <w:lang w:val="fr-FR"/>
        </w:rPr>
        <w:t>ce qu’il faut s’attendre à payer sur le marché local pour satisfaire aux</w:t>
      </w:r>
      <w:r w:rsidR="00167BEE" w:rsidRPr="009C100D">
        <w:rPr>
          <w:rFonts w:cs="Arial"/>
          <w:lang w:val="fr-FR"/>
        </w:rPr>
        <w:t xml:space="preserve"> besoins. </w:t>
      </w:r>
      <w:r w:rsidR="005A7F17" w:rsidRPr="009C100D">
        <w:rPr>
          <w:rFonts w:cs="Arial"/>
          <w:lang w:val="fr-FR"/>
        </w:rPr>
        <w:t>L</w:t>
      </w:r>
      <w:r w:rsidR="00167BEE" w:rsidRPr="009C100D">
        <w:rPr>
          <w:rFonts w:cs="Arial"/>
          <w:lang w:val="fr-FR"/>
        </w:rPr>
        <w:t>es coûts liés au transport</w:t>
      </w:r>
      <w:r w:rsidR="005A7F17" w:rsidRPr="009C100D">
        <w:rPr>
          <w:rFonts w:cs="Arial"/>
          <w:lang w:val="fr-FR"/>
        </w:rPr>
        <w:t xml:space="preserve"> doivent être pris en compte</w:t>
      </w:r>
      <w:r w:rsidR="00167BEE" w:rsidRPr="009C100D">
        <w:rPr>
          <w:rFonts w:cs="Arial"/>
          <w:lang w:val="fr-FR"/>
        </w:rPr>
        <w:t>.</w:t>
      </w:r>
    </w:p>
    <w:p w:rsidR="00167BEE" w:rsidRPr="009C100D" w:rsidRDefault="00167BEE" w:rsidP="002B0371">
      <w:pPr>
        <w:rPr>
          <w:rFonts w:cs="Arial"/>
          <w:lang w:val="fr-FR"/>
        </w:rPr>
      </w:pPr>
      <w:r w:rsidRPr="009C100D">
        <w:rPr>
          <w:rFonts w:cs="Arial"/>
          <w:lang w:val="fr-FR"/>
        </w:rPr>
        <w:t xml:space="preserve">Les questions auxquelles vous devrez répondre </w:t>
      </w:r>
      <w:r w:rsidR="002B0371" w:rsidRPr="009C100D">
        <w:rPr>
          <w:rFonts w:cs="Arial"/>
          <w:lang w:val="fr-FR"/>
        </w:rPr>
        <w:t>au moment de définir</w:t>
      </w:r>
      <w:r w:rsidRPr="009C100D">
        <w:rPr>
          <w:rFonts w:cs="Arial"/>
          <w:lang w:val="fr-FR"/>
        </w:rPr>
        <w:t xml:space="preserve"> le montant des transferts sont les suivantes :</w:t>
      </w:r>
    </w:p>
    <w:p w:rsidR="00167BEE" w:rsidRPr="009C100D" w:rsidRDefault="00167BEE" w:rsidP="002B0371">
      <w:pPr>
        <w:pStyle w:val="Bullet2"/>
        <w:rPr>
          <w:lang w:val="fr-FR"/>
        </w:rPr>
      </w:pPr>
      <w:r w:rsidRPr="009C100D">
        <w:rPr>
          <w:lang w:val="fr-FR"/>
        </w:rPr>
        <w:t xml:space="preserve">Quels sont les besoins </w:t>
      </w:r>
      <w:r w:rsidR="00B72076" w:rsidRPr="009C100D">
        <w:rPr>
          <w:lang w:val="fr-FR"/>
        </w:rPr>
        <w:t>que les transferts monétaires visent à</w:t>
      </w:r>
      <w:r w:rsidR="00775705" w:rsidRPr="009C100D">
        <w:rPr>
          <w:lang w:val="fr-FR"/>
        </w:rPr>
        <w:t xml:space="preserve"> </w:t>
      </w:r>
      <w:r w:rsidR="002B0371" w:rsidRPr="009C100D">
        <w:rPr>
          <w:lang w:val="fr-FR"/>
        </w:rPr>
        <w:t>couvrir</w:t>
      </w:r>
      <w:r w:rsidR="00B72076" w:rsidRPr="009C100D">
        <w:rPr>
          <w:lang w:val="fr-FR"/>
        </w:rPr>
        <w:t xml:space="preserve"> et dans quelle mesure</w:t>
      </w:r>
      <w:r w:rsidR="00775705" w:rsidRPr="009C100D">
        <w:rPr>
          <w:lang w:val="fr-FR"/>
        </w:rPr>
        <w:t> ?</w:t>
      </w:r>
    </w:p>
    <w:p w:rsidR="003B205B" w:rsidRPr="009C100D" w:rsidRDefault="002B0371" w:rsidP="002B0371">
      <w:pPr>
        <w:pStyle w:val="Bullet2"/>
        <w:rPr>
          <w:lang w:val="fr-FR"/>
        </w:rPr>
      </w:pPr>
      <w:r w:rsidRPr="009C100D">
        <w:rPr>
          <w:lang w:val="fr-FR"/>
        </w:rPr>
        <w:t xml:space="preserve">Combien les bénéficiaires devront-ils payer sur les marchés locaux pour accéder aux </w:t>
      </w:r>
      <w:r w:rsidR="00B72076" w:rsidRPr="009C100D">
        <w:rPr>
          <w:lang w:val="fr-FR"/>
        </w:rPr>
        <w:t xml:space="preserve">biens ou </w:t>
      </w:r>
      <w:r w:rsidRPr="009C100D">
        <w:rPr>
          <w:lang w:val="fr-FR"/>
        </w:rPr>
        <w:t>aux</w:t>
      </w:r>
      <w:r w:rsidR="00B72076" w:rsidRPr="009C100D">
        <w:rPr>
          <w:lang w:val="fr-FR"/>
        </w:rPr>
        <w:t xml:space="preserve"> services </w:t>
      </w:r>
      <w:r w:rsidRPr="009C100D">
        <w:rPr>
          <w:lang w:val="fr-FR"/>
        </w:rPr>
        <w:t>voulus</w:t>
      </w:r>
      <w:r w:rsidR="00B72076" w:rsidRPr="009C100D">
        <w:rPr>
          <w:lang w:val="fr-FR"/>
        </w:rPr>
        <w:t xml:space="preserve"> ? </w:t>
      </w:r>
    </w:p>
    <w:p w:rsidR="00014B84" w:rsidRPr="009C100D" w:rsidRDefault="00B72076" w:rsidP="002B0371">
      <w:pPr>
        <w:pStyle w:val="Bullet2"/>
        <w:rPr>
          <w:lang w:val="fr-FR"/>
        </w:rPr>
      </w:pPr>
      <w:r w:rsidRPr="009C100D">
        <w:rPr>
          <w:lang w:val="fr-FR"/>
        </w:rPr>
        <w:t xml:space="preserve">Quels sont les besoins </w:t>
      </w:r>
      <w:r w:rsidR="002B0371" w:rsidRPr="009C100D">
        <w:rPr>
          <w:lang w:val="fr-FR"/>
        </w:rPr>
        <w:t>auxquels</w:t>
      </w:r>
      <w:r w:rsidRPr="009C100D">
        <w:rPr>
          <w:lang w:val="fr-FR"/>
        </w:rPr>
        <w:t xml:space="preserve"> les ménages peuvent satisfaire par leurs propres moyens (grâce à leur revenu et à d’autres formes d’aide) ? </w:t>
      </w:r>
    </w:p>
    <w:p w:rsidR="00B72076" w:rsidRPr="009C100D" w:rsidRDefault="00B72076" w:rsidP="002B0371">
      <w:pPr>
        <w:pStyle w:val="Bullet2"/>
        <w:rPr>
          <w:lang w:val="fr-FR"/>
        </w:rPr>
      </w:pPr>
      <w:r w:rsidRPr="009C100D">
        <w:rPr>
          <w:lang w:val="fr-FR"/>
        </w:rPr>
        <w:t xml:space="preserve">Les ménages sont-ils susceptibles de dépenser l’argent reçu </w:t>
      </w:r>
      <w:r w:rsidR="00775705" w:rsidRPr="009C100D">
        <w:rPr>
          <w:lang w:val="fr-FR"/>
        </w:rPr>
        <w:t>pour</w:t>
      </w:r>
      <w:r w:rsidRPr="009C100D">
        <w:rPr>
          <w:lang w:val="fr-FR"/>
        </w:rPr>
        <w:t xml:space="preserve"> </w:t>
      </w:r>
      <w:r w:rsidR="002B0371" w:rsidRPr="009C100D">
        <w:rPr>
          <w:lang w:val="fr-FR"/>
        </w:rPr>
        <w:t>acheter</w:t>
      </w:r>
      <w:r w:rsidR="00775705" w:rsidRPr="009C100D">
        <w:rPr>
          <w:lang w:val="fr-FR"/>
        </w:rPr>
        <w:t xml:space="preserve"> </w:t>
      </w:r>
      <w:r w:rsidRPr="009C100D">
        <w:rPr>
          <w:lang w:val="fr-FR"/>
        </w:rPr>
        <w:t xml:space="preserve">d’autres biens et services ? </w:t>
      </w:r>
      <w:r w:rsidR="00775705" w:rsidRPr="009C100D">
        <w:rPr>
          <w:lang w:val="fr-FR"/>
        </w:rPr>
        <w:t xml:space="preserve">Par exemple </w:t>
      </w:r>
      <w:r w:rsidRPr="009C100D">
        <w:rPr>
          <w:lang w:val="fr-FR"/>
        </w:rPr>
        <w:t>pour</w:t>
      </w:r>
      <w:r w:rsidR="00775705" w:rsidRPr="009C100D">
        <w:rPr>
          <w:lang w:val="fr-FR"/>
        </w:rPr>
        <w:t xml:space="preserve"> couvrir</w:t>
      </w:r>
      <w:r w:rsidRPr="009C100D">
        <w:rPr>
          <w:lang w:val="fr-FR"/>
        </w:rPr>
        <w:t xml:space="preserve"> des dépenses qui ne sont pas l</w:t>
      </w:r>
      <w:r w:rsidR="002B0371" w:rsidRPr="009C100D">
        <w:rPr>
          <w:lang w:val="fr-FR"/>
        </w:rPr>
        <w:t xml:space="preserve">iées aux objectifs du projet (par </w:t>
      </w:r>
      <w:r w:rsidRPr="009C100D">
        <w:rPr>
          <w:lang w:val="fr-FR"/>
        </w:rPr>
        <w:t>ex.</w:t>
      </w:r>
      <w:r w:rsidR="002B0371" w:rsidRPr="009C100D">
        <w:rPr>
          <w:lang w:val="fr-FR"/>
        </w:rPr>
        <w:t xml:space="preserve"> </w:t>
      </w:r>
      <w:r w:rsidRPr="009C100D">
        <w:rPr>
          <w:lang w:val="fr-FR"/>
        </w:rPr>
        <w:t>achat de vivre</w:t>
      </w:r>
      <w:r w:rsidR="00775705" w:rsidRPr="009C100D">
        <w:rPr>
          <w:lang w:val="fr-FR"/>
        </w:rPr>
        <w:t>s</w:t>
      </w:r>
      <w:r w:rsidRPr="009C100D">
        <w:rPr>
          <w:lang w:val="fr-FR"/>
        </w:rPr>
        <w:t xml:space="preserve"> dans le cadre d’un projet consacré au logement) ou pour</w:t>
      </w:r>
      <w:r w:rsidR="00775705" w:rsidRPr="009C100D">
        <w:rPr>
          <w:lang w:val="fr-FR"/>
        </w:rPr>
        <w:t xml:space="preserve"> couvrir l</w:t>
      </w:r>
      <w:r w:rsidRPr="009C100D">
        <w:rPr>
          <w:lang w:val="fr-FR"/>
        </w:rPr>
        <w:t>es dépen</w:t>
      </w:r>
      <w:r w:rsidR="002B0371" w:rsidRPr="009C100D">
        <w:rPr>
          <w:lang w:val="fr-FR"/>
        </w:rPr>
        <w:t xml:space="preserve">ses engendrées par le projet (par </w:t>
      </w:r>
      <w:r w:rsidRPr="009C100D">
        <w:rPr>
          <w:lang w:val="fr-FR"/>
        </w:rPr>
        <w:t xml:space="preserve">ex. pour se rendre sur le lieu de distribution </w:t>
      </w:r>
      <w:r w:rsidR="00775705" w:rsidRPr="009C100D">
        <w:rPr>
          <w:lang w:val="fr-FR"/>
        </w:rPr>
        <w:t>en transport public</w:t>
      </w:r>
      <w:r w:rsidRPr="009C100D">
        <w:rPr>
          <w:lang w:val="fr-FR"/>
        </w:rPr>
        <w:t>).</w:t>
      </w:r>
    </w:p>
    <w:p w:rsidR="00B72076" w:rsidRPr="009C100D" w:rsidRDefault="005A442E" w:rsidP="002B0371">
      <w:pPr>
        <w:rPr>
          <w:rFonts w:cs="Arial"/>
          <w:lang w:val="fr-FR"/>
        </w:rPr>
      </w:pPr>
      <w:r w:rsidRPr="009C100D">
        <w:rPr>
          <w:rFonts w:cs="Arial"/>
          <w:lang w:val="fr-FR"/>
        </w:rPr>
        <w:t xml:space="preserve">L’outil </w:t>
      </w:r>
      <w:r w:rsidR="002B0371" w:rsidRPr="009C100D">
        <w:rPr>
          <w:rFonts w:cs="Arial"/>
          <w:lang w:val="fr-FR"/>
        </w:rPr>
        <w:t>de</w:t>
      </w:r>
      <w:r w:rsidRPr="009C100D">
        <w:rPr>
          <w:rFonts w:cs="Arial"/>
          <w:lang w:val="fr-FR"/>
        </w:rPr>
        <w:t xml:space="preserve"> calcul rapide du montant des transferts</w:t>
      </w:r>
      <w:r w:rsidR="002B0371" w:rsidRPr="009C100D">
        <w:rPr>
          <w:rFonts w:cs="Arial"/>
          <w:lang w:val="fr-FR"/>
        </w:rPr>
        <w:t xml:space="preserve"> monétaires</w:t>
      </w:r>
      <w:r w:rsidRPr="009C100D">
        <w:rPr>
          <w:rFonts w:cs="Arial"/>
          <w:lang w:val="fr-FR"/>
        </w:rPr>
        <w:t xml:space="preserve"> fournit un modèle permettant de définir le montant des transferts sur la base des questions énoncées ci-dessus.</w:t>
      </w:r>
    </w:p>
    <w:p w:rsidR="00014B84" w:rsidRPr="009C100D" w:rsidRDefault="005522AB" w:rsidP="002B0371">
      <w:pPr>
        <w:rPr>
          <w:rFonts w:cs="Arial"/>
          <w:lang w:val="fr-FR"/>
        </w:rPr>
      </w:pPr>
      <w:r w:rsidRPr="009C100D">
        <w:rPr>
          <w:rFonts w:cs="Arial"/>
          <w:lang w:val="fr-FR"/>
        </w:rPr>
        <w:t>Si votre projet p</w:t>
      </w:r>
      <w:r w:rsidR="002B0371" w:rsidRPr="009C100D">
        <w:rPr>
          <w:rFonts w:cs="Arial"/>
          <w:lang w:val="fr-FR"/>
        </w:rPr>
        <w:t xml:space="preserve">révoit différentes modalités (par </w:t>
      </w:r>
      <w:r w:rsidRPr="009C100D">
        <w:rPr>
          <w:rFonts w:cs="Arial"/>
          <w:lang w:val="fr-FR"/>
        </w:rPr>
        <w:t>ex. des programmes « argent contre travail »</w:t>
      </w:r>
      <w:r w:rsidR="00775705" w:rsidRPr="009C100D">
        <w:rPr>
          <w:rFonts w:cs="Arial"/>
          <w:lang w:val="fr-FR"/>
        </w:rPr>
        <w:t>)</w:t>
      </w:r>
      <w:r w:rsidRPr="009C100D">
        <w:rPr>
          <w:rFonts w:cs="Arial"/>
          <w:lang w:val="fr-FR"/>
        </w:rPr>
        <w:t xml:space="preserve"> ou concerne des secteurs</w:t>
      </w:r>
      <w:r w:rsidR="002B0371" w:rsidRPr="009C100D">
        <w:rPr>
          <w:rFonts w:cs="Arial"/>
          <w:lang w:val="fr-FR"/>
        </w:rPr>
        <w:t xml:space="preserve"> spécifiques (par </w:t>
      </w:r>
      <w:r w:rsidR="00775705" w:rsidRPr="009C100D">
        <w:rPr>
          <w:rFonts w:cs="Arial"/>
          <w:lang w:val="fr-FR"/>
        </w:rPr>
        <w:t>ex. le logement ou</w:t>
      </w:r>
      <w:r w:rsidRPr="009C100D">
        <w:rPr>
          <w:rFonts w:cs="Arial"/>
          <w:lang w:val="fr-FR"/>
        </w:rPr>
        <w:t xml:space="preserve"> les moyens de subsistance), des aspects supplémentaires</w:t>
      </w:r>
      <w:r w:rsidR="00775705" w:rsidRPr="009C100D">
        <w:rPr>
          <w:rFonts w:cs="Arial"/>
          <w:lang w:val="fr-FR"/>
        </w:rPr>
        <w:t xml:space="preserve"> devront être pris en compte</w:t>
      </w:r>
      <w:r w:rsidRPr="009C100D">
        <w:rPr>
          <w:rFonts w:cs="Arial"/>
          <w:lang w:val="fr-FR"/>
        </w:rPr>
        <w:t xml:space="preserve">. L’outil consacré aux </w:t>
      </w:r>
      <w:r w:rsidR="002B0371" w:rsidRPr="009C100D">
        <w:rPr>
          <w:rFonts w:cs="Arial"/>
          <w:lang w:val="fr-FR"/>
        </w:rPr>
        <w:t>questions</w:t>
      </w:r>
      <w:r w:rsidRPr="009C100D">
        <w:rPr>
          <w:rFonts w:cs="Arial"/>
          <w:lang w:val="fr-FR"/>
        </w:rPr>
        <w:t xml:space="preserve"> à prendre en compte pour fixer le montant des transferts énumère un certain nombre de ces aspects. </w:t>
      </w:r>
    </w:p>
    <w:p w:rsidR="00ED38CC" w:rsidRPr="009C100D" w:rsidRDefault="008728B8" w:rsidP="00D45D24">
      <w:pPr>
        <w:pStyle w:val="Heading3"/>
        <w:rPr>
          <w:rFonts w:cs="Arial"/>
          <w:lang w:val="fr-FR"/>
        </w:rPr>
      </w:pPr>
      <w:r w:rsidRPr="009C100D">
        <w:rPr>
          <w:rFonts w:cs="Arial"/>
          <w:lang w:val="fr-FR"/>
        </w:rPr>
        <w:t>Adaptation du montant à la taille des ménages</w:t>
      </w:r>
    </w:p>
    <w:p w:rsidR="00802E9F" w:rsidRPr="009C100D" w:rsidRDefault="007D0837" w:rsidP="002B0371">
      <w:pPr>
        <w:rPr>
          <w:rFonts w:cs="Arial"/>
          <w:lang w:val="fr-FR"/>
        </w:rPr>
      </w:pPr>
      <w:r w:rsidRPr="009C100D">
        <w:rPr>
          <w:rFonts w:cs="Arial"/>
          <w:lang w:val="fr-FR"/>
        </w:rPr>
        <w:t>Il est plus simple de définir un montant fixe indépendamment de la taille des ménages</w:t>
      </w:r>
      <w:r w:rsidR="00775705" w:rsidRPr="009C100D">
        <w:rPr>
          <w:rFonts w:cs="Arial"/>
          <w:lang w:val="fr-FR"/>
        </w:rPr>
        <w:t>,</w:t>
      </w:r>
      <w:r w:rsidRPr="009C100D">
        <w:rPr>
          <w:rFonts w:cs="Arial"/>
          <w:lang w:val="fr-FR"/>
        </w:rPr>
        <w:t xml:space="preserve"> mais il est plus équitable de donner davantage d’argent aux ménages comptant davantage de membres. Toutefois, </w:t>
      </w:r>
      <w:r w:rsidR="008D322E" w:rsidRPr="009C100D">
        <w:rPr>
          <w:rFonts w:cs="Arial"/>
          <w:lang w:val="fr-FR"/>
        </w:rPr>
        <w:t xml:space="preserve">adapter le montant des transferts à la taille des ménages peut se révéler complexe, en particulier dans les situations d’urgence, car cela requiert </w:t>
      </w:r>
      <w:r w:rsidR="002B0371" w:rsidRPr="009C100D">
        <w:rPr>
          <w:rFonts w:cs="Arial"/>
          <w:lang w:val="fr-FR"/>
        </w:rPr>
        <w:t xml:space="preserve">de disposer </w:t>
      </w:r>
      <w:r w:rsidR="008D322E" w:rsidRPr="009C100D">
        <w:rPr>
          <w:rFonts w:cs="Arial"/>
          <w:lang w:val="fr-FR"/>
        </w:rPr>
        <w:t xml:space="preserve">d’informations actualisées et fiables sur la taille des ménages et </w:t>
      </w:r>
      <w:r w:rsidR="002B0371" w:rsidRPr="009C100D">
        <w:rPr>
          <w:rFonts w:cs="Arial"/>
          <w:lang w:val="fr-FR"/>
        </w:rPr>
        <w:t>de mettre</w:t>
      </w:r>
      <w:r w:rsidR="008D322E" w:rsidRPr="009C100D">
        <w:rPr>
          <w:rFonts w:cs="Arial"/>
          <w:lang w:val="fr-FR"/>
        </w:rPr>
        <w:t xml:space="preserve"> en place de</w:t>
      </w:r>
      <w:r w:rsidR="002B0371" w:rsidRPr="009C100D">
        <w:rPr>
          <w:rFonts w:cs="Arial"/>
          <w:lang w:val="fr-FR"/>
        </w:rPr>
        <w:t>s</w:t>
      </w:r>
      <w:r w:rsidR="008D322E" w:rsidRPr="009C100D">
        <w:rPr>
          <w:rFonts w:cs="Arial"/>
          <w:lang w:val="fr-FR"/>
        </w:rPr>
        <w:t xml:space="preserve"> procédures d’enregistrement et de paiement plus complexes. Vous devrez au bout du compte trouver un compromis entre ce qui est équitable et ce qui est faisable. L’outil consacré à l’adaptation du montant des transferts à la taille des ménages énumère les avantages et les inconvénients des montants fixes et des montants variables.</w:t>
      </w:r>
    </w:p>
    <w:p w:rsidR="00104B43" w:rsidRPr="009C100D" w:rsidRDefault="008728B8" w:rsidP="00D45D24">
      <w:pPr>
        <w:pStyle w:val="Heading3"/>
        <w:rPr>
          <w:rFonts w:cs="Arial"/>
          <w:lang w:val="fr-FR"/>
        </w:rPr>
      </w:pPr>
      <w:r w:rsidRPr="009C100D">
        <w:rPr>
          <w:rFonts w:cs="Arial"/>
          <w:lang w:val="fr-FR"/>
        </w:rPr>
        <w:t>Définition de la fréquence des transferts</w:t>
      </w:r>
    </w:p>
    <w:p w:rsidR="008D322E" w:rsidRPr="009C100D" w:rsidRDefault="008D322E" w:rsidP="00D45D24">
      <w:pPr>
        <w:rPr>
          <w:rFonts w:cs="Arial"/>
          <w:lang w:val="fr-FR"/>
        </w:rPr>
      </w:pPr>
      <w:r w:rsidRPr="009C100D">
        <w:rPr>
          <w:rFonts w:cs="Arial"/>
          <w:lang w:val="fr-FR"/>
        </w:rPr>
        <w:t>Les transferts monétaires peuvent avoir pour but de :</w:t>
      </w:r>
    </w:p>
    <w:p w:rsidR="008D322E" w:rsidRPr="009C100D" w:rsidRDefault="008D322E" w:rsidP="00923D09">
      <w:pPr>
        <w:pStyle w:val="Bullet2"/>
        <w:rPr>
          <w:lang w:val="fr-FR"/>
        </w:rPr>
      </w:pPr>
      <w:r w:rsidRPr="009C100D">
        <w:rPr>
          <w:lang w:val="fr-FR"/>
        </w:rPr>
        <w:t xml:space="preserve">satisfaire </w:t>
      </w:r>
      <w:r w:rsidR="00923D09" w:rsidRPr="009C100D">
        <w:rPr>
          <w:lang w:val="fr-FR"/>
        </w:rPr>
        <w:t>aux</w:t>
      </w:r>
      <w:r w:rsidRPr="009C100D">
        <w:rPr>
          <w:lang w:val="fr-FR"/>
        </w:rPr>
        <w:t xml:space="preserve"> besoins immédiats, </w:t>
      </w:r>
      <w:r w:rsidR="00E55314" w:rsidRPr="009C100D">
        <w:rPr>
          <w:lang w:val="fr-FR"/>
        </w:rPr>
        <w:t>par le biais d’</w:t>
      </w:r>
      <w:r w:rsidRPr="009C100D">
        <w:rPr>
          <w:lang w:val="fr-FR"/>
        </w:rPr>
        <w:t>un versement unique ;</w:t>
      </w:r>
    </w:p>
    <w:p w:rsidR="00466BA8" w:rsidRPr="009C100D" w:rsidRDefault="00775705" w:rsidP="00923D09">
      <w:pPr>
        <w:pStyle w:val="Bullet2"/>
        <w:rPr>
          <w:lang w:val="fr-FR"/>
        </w:rPr>
      </w:pPr>
      <w:r w:rsidRPr="009C100D">
        <w:rPr>
          <w:lang w:val="fr-FR"/>
        </w:rPr>
        <w:t xml:space="preserve">satisfaire </w:t>
      </w:r>
      <w:r w:rsidR="00923D09" w:rsidRPr="009C100D">
        <w:rPr>
          <w:lang w:val="fr-FR"/>
        </w:rPr>
        <w:t>à des</w:t>
      </w:r>
      <w:r w:rsidR="008D322E" w:rsidRPr="009C100D">
        <w:rPr>
          <w:lang w:val="fr-FR"/>
        </w:rPr>
        <w:t xml:space="preserve"> besoin</w:t>
      </w:r>
      <w:r w:rsidRPr="009C100D">
        <w:rPr>
          <w:lang w:val="fr-FR"/>
        </w:rPr>
        <w:t>s</w:t>
      </w:r>
      <w:r w:rsidR="008D322E" w:rsidRPr="009C100D">
        <w:rPr>
          <w:lang w:val="fr-FR"/>
        </w:rPr>
        <w:t xml:space="preserve"> récurrent</w:t>
      </w:r>
      <w:r w:rsidRPr="009C100D">
        <w:rPr>
          <w:lang w:val="fr-FR"/>
        </w:rPr>
        <w:t>s</w:t>
      </w:r>
      <w:r w:rsidR="008D322E" w:rsidRPr="009C100D">
        <w:rPr>
          <w:lang w:val="fr-FR"/>
        </w:rPr>
        <w:t xml:space="preserve">, </w:t>
      </w:r>
      <w:r w:rsidR="00E55314" w:rsidRPr="009C100D">
        <w:rPr>
          <w:lang w:val="fr-FR"/>
        </w:rPr>
        <w:t xml:space="preserve">par le biais </w:t>
      </w:r>
      <w:r w:rsidR="008D322E" w:rsidRPr="009C100D">
        <w:rPr>
          <w:lang w:val="fr-FR"/>
        </w:rPr>
        <w:t xml:space="preserve">de plusieurs </w:t>
      </w:r>
      <w:r w:rsidR="00804768" w:rsidRPr="009C100D">
        <w:rPr>
          <w:lang w:val="fr-FR"/>
        </w:rPr>
        <w:t>versements successif</w:t>
      </w:r>
      <w:r w:rsidR="008D322E" w:rsidRPr="009C100D">
        <w:rPr>
          <w:lang w:val="fr-FR"/>
        </w:rPr>
        <w:t>s ;</w:t>
      </w:r>
      <w:r w:rsidR="00466BA8" w:rsidRPr="009C100D">
        <w:rPr>
          <w:lang w:val="fr-FR"/>
        </w:rPr>
        <w:t xml:space="preserve"> </w:t>
      </w:r>
    </w:p>
    <w:p w:rsidR="00466BA8" w:rsidRPr="009C100D" w:rsidRDefault="008D322E" w:rsidP="005711AA">
      <w:pPr>
        <w:pStyle w:val="Bullet2"/>
        <w:rPr>
          <w:lang w:val="fr-FR"/>
        </w:rPr>
      </w:pPr>
      <w:r w:rsidRPr="009C100D">
        <w:rPr>
          <w:lang w:val="fr-FR"/>
        </w:rPr>
        <w:t xml:space="preserve">permettre aux ménages de réaliser un investissement, tel que l’achat </w:t>
      </w:r>
      <w:r w:rsidR="00E55314" w:rsidRPr="009C100D">
        <w:rPr>
          <w:lang w:val="fr-FR"/>
        </w:rPr>
        <w:t>d’articles</w:t>
      </w:r>
      <w:r w:rsidR="00930622" w:rsidRPr="009C100D">
        <w:rPr>
          <w:lang w:val="fr-FR"/>
        </w:rPr>
        <w:t xml:space="preserve"> </w:t>
      </w:r>
      <w:r w:rsidR="005711AA" w:rsidRPr="009C100D">
        <w:rPr>
          <w:lang w:val="fr-FR"/>
        </w:rPr>
        <w:t>destinés aux</w:t>
      </w:r>
      <w:r w:rsidR="00930622" w:rsidRPr="009C100D">
        <w:rPr>
          <w:lang w:val="fr-FR"/>
        </w:rPr>
        <w:t xml:space="preserve"> moyens de subsistance</w:t>
      </w:r>
      <w:r w:rsidR="00E55314" w:rsidRPr="009C100D">
        <w:rPr>
          <w:lang w:val="fr-FR"/>
        </w:rPr>
        <w:t xml:space="preserve"> ou </w:t>
      </w:r>
      <w:r w:rsidR="005711AA" w:rsidRPr="009C100D">
        <w:rPr>
          <w:lang w:val="fr-FR"/>
        </w:rPr>
        <w:t>au</w:t>
      </w:r>
      <w:r w:rsidR="00E55314" w:rsidRPr="009C100D">
        <w:rPr>
          <w:lang w:val="fr-FR"/>
        </w:rPr>
        <w:t xml:space="preserve"> logement, par le biais de plusieurs</w:t>
      </w:r>
      <w:r w:rsidR="00804768" w:rsidRPr="009C100D">
        <w:rPr>
          <w:lang w:val="fr-FR"/>
        </w:rPr>
        <w:t xml:space="preserve"> versements</w:t>
      </w:r>
      <w:r w:rsidR="00E55314" w:rsidRPr="009C100D">
        <w:rPr>
          <w:lang w:val="fr-FR"/>
        </w:rPr>
        <w:t xml:space="preserve"> </w:t>
      </w:r>
      <w:r w:rsidR="00804768" w:rsidRPr="009C100D">
        <w:rPr>
          <w:lang w:val="fr-FR"/>
        </w:rPr>
        <w:t>successif</w:t>
      </w:r>
      <w:r w:rsidR="00E55314" w:rsidRPr="009C100D">
        <w:rPr>
          <w:lang w:val="fr-FR"/>
        </w:rPr>
        <w:t>s.</w:t>
      </w:r>
    </w:p>
    <w:p w:rsidR="00E55314" w:rsidRPr="009C100D" w:rsidRDefault="00E55314" w:rsidP="005711AA">
      <w:pPr>
        <w:rPr>
          <w:rFonts w:cs="Arial"/>
          <w:lang w:val="fr-FR"/>
        </w:rPr>
      </w:pPr>
      <w:r w:rsidRPr="009C100D">
        <w:rPr>
          <w:rFonts w:cs="Arial"/>
          <w:lang w:val="fr-FR"/>
        </w:rPr>
        <w:t xml:space="preserve">Les versements uniques sont plus </w:t>
      </w:r>
      <w:r w:rsidR="00775705" w:rsidRPr="009C100D">
        <w:rPr>
          <w:rFonts w:cs="Arial"/>
          <w:lang w:val="fr-FR"/>
        </w:rPr>
        <w:t>approprié</w:t>
      </w:r>
      <w:r w:rsidRPr="009C100D">
        <w:rPr>
          <w:rFonts w:cs="Arial"/>
          <w:lang w:val="fr-FR"/>
        </w:rPr>
        <w:t xml:space="preserve">s </w:t>
      </w:r>
      <w:r w:rsidR="005711AA" w:rsidRPr="009C100D">
        <w:rPr>
          <w:rFonts w:cs="Arial"/>
          <w:lang w:val="fr-FR"/>
        </w:rPr>
        <w:t>dans le contexte des</w:t>
      </w:r>
      <w:r w:rsidRPr="009C100D">
        <w:rPr>
          <w:rFonts w:cs="Arial"/>
          <w:lang w:val="fr-FR"/>
        </w:rPr>
        <w:t xml:space="preserve"> besoins immédiats et permettent </w:t>
      </w:r>
      <w:r w:rsidR="00775705" w:rsidRPr="009C100D">
        <w:rPr>
          <w:rFonts w:cs="Arial"/>
          <w:lang w:val="fr-FR"/>
        </w:rPr>
        <w:t>la mise en</w:t>
      </w:r>
      <w:r w:rsidRPr="009C100D">
        <w:rPr>
          <w:rFonts w:cs="Arial"/>
          <w:lang w:val="fr-FR"/>
        </w:rPr>
        <w:t xml:space="preserve"> place </w:t>
      </w:r>
      <w:r w:rsidR="00775705" w:rsidRPr="009C100D">
        <w:rPr>
          <w:rFonts w:cs="Arial"/>
          <w:lang w:val="fr-FR"/>
        </w:rPr>
        <w:t>d’</w:t>
      </w:r>
      <w:r w:rsidRPr="009C100D">
        <w:rPr>
          <w:rFonts w:cs="Arial"/>
          <w:lang w:val="fr-FR"/>
        </w:rPr>
        <w:t xml:space="preserve">une intervention à grande échelle prévoyant des montants relativement peu élevés. </w:t>
      </w:r>
      <w:r w:rsidR="00804768" w:rsidRPr="009C100D">
        <w:rPr>
          <w:rFonts w:cs="Arial"/>
          <w:lang w:val="fr-FR"/>
        </w:rPr>
        <w:t xml:space="preserve">Les versements uniques permettront aux ménages de </w:t>
      </w:r>
      <w:r w:rsidR="005711AA" w:rsidRPr="009C100D">
        <w:rPr>
          <w:rFonts w:cs="Arial"/>
          <w:lang w:val="fr-FR"/>
        </w:rPr>
        <w:t xml:space="preserve">satisfaire </w:t>
      </w:r>
      <w:r w:rsidR="005F707B" w:rsidRPr="009C100D">
        <w:rPr>
          <w:rFonts w:cs="Arial"/>
          <w:lang w:val="fr-FR"/>
        </w:rPr>
        <w:t xml:space="preserve">à </w:t>
      </w:r>
      <w:r w:rsidR="00804768" w:rsidRPr="009C100D">
        <w:rPr>
          <w:rFonts w:cs="Arial"/>
          <w:lang w:val="fr-FR"/>
        </w:rPr>
        <w:t xml:space="preserve">un certain nombre de </w:t>
      </w:r>
      <w:r w:rsidR="005711AA" w:rsidRPr="009C100D">
        <w:rPr>
          <w:rFonts w:cs="Arial"/>
          <w:lang w:val="fr-FR"/>
        </w:rPr>
        <w:t xml:space="preserve">leurs </w:t>
      </w:r>
      <w:r w:rsidR="00804768" w:rsidRPr="009C100D">
        <w:rPr>
          <w:rFonts w:cs="Arial"/>
          <w:lang w:val="fr-FR"/>
        </w:rPr>
        <w:t>besoins, même si tous les ménages ne dépenseront pas l’argent reçu de la même manière, car leurs priorités peuvent varier.</w:t>
      </w:r>
    </w:p>
    <w:p w:rsidR="00804768" w:rsidRPr="009C100D" w:rsidRDefault="00804768" w:rsidP="005F707B">
      <w:pPr>
        <w:rPr>
          <w:rFonts w:cs="Arial"/>
          <w:lang w:val="fr-FR"/>
        </w:rPr>
      </w:pPr>
      <w:r w:rsidRPr="009C100D">
        <w:rPr>
          <w:rFonts w:cs="Arial"/>
          <w:lang w:val="fr-FR"/>
        </w:rPr>
        <w:t>Les versements multiples sont plus a</w:t>
      </w:r>
      <w:r w:rsidR="00775705" w:rsidRPr="009C100D">
        <w:rPr>
          <w:rFonts w:cs="Arial"/>
          <w:lang w:val="fr-FR"/>
        </w:rPr>
        <w:t>pproprié</w:t>
      </w:r>
      <w:r w:rsidRPr="009C100D">
        <w:rPr>
          <w:rFonts w:cs="Arial"/>
          <w:lang w:val="fr-FR"/>
        </w:rPr>
        <w:t xml:space="preserve">s </w:t>
      </w:r>
      <w:r w:rsidR="005F707B" w:rsidRPr="009C100D">
        <w:rPr>
          <w:rFonts w:cs="Arial"/>
          <w:lang w:val="fr-FR"/>
        </w:rPr>
        <w:t xml:space="preserve">dans le contexte des </w:t>
      </w:r>
      <w:r w:rsidRPr="009C100D">
        <w:rPr>
          <w:rFonts w:cs="Arial"/>
          <w:lang w:val="fr-FR"/>
        </w:rPr>
        <w:t xml:space="preserve">besoins récurrents, tels que l’achat d’articles alimentaires et non alimentaires </w:t>
      </w:r>
      <w:r w:rsidR="003541EE" w:rsidRPr="009C100D">
        <w:rPr>
          <w:rFonts w:cs="Arial"/>
          <w:lang w:val="fr-FR"/>
        </w:rPr>
        <w:t>comme</w:t>
      </w:r>
      <w:r w:rsidRPr="009C100D">
        <w:rPr>
          <w:rFonts w:cs="Arial"/>
          <w:lang w:val="fr-FR"/>
        </w:rPr>
        <w:t xml:space="preserve"> les combustibles, les produits d’hygiène ou l’eau. Ils sont également plus adaptés </w:t>
      </w:r>
      <w:r w:rsidR="005F707B" w:rsidRPr="009C100D">
        <w:rPr>
          <w:rFonts w:cs="Arial"/>
          <w:lang w:val="fr-FR"/>
        </w:rPr>
        <w:t xml:space="preserve">dans le contexte des </w:t>
      </w:r>
      <w:r w:rsidRPr="009C100D">
        <w:rPr>
          <w:rFonts w:cs="Arial"/>
          <w:lang w:val="fr-FR"/>
        </w:rPr>
        <w:t xml:space="preserve">besoins liés aux moyens de subsistance, au logement ou au relèvement, car les </w:t>
      </w:r>
      <w:r w:rsidR="003541EE" w:rsidRPr="009C100D">
        <w:rPr>
          <w:rFonts w:cs="Arial"/>
          <w:lang w:val="fr-FR"/>
        </w:rPr>
        <w:t xml:space="preserve">montants versés sont plus </w:t>
      </w:r>
      <w:r w:rsidR="00930622" w:rsidRPr="009C100D">
        <w:rPr>
          <w:rFonts w:cs="Arial"/>
          <w:lang w:val="fr-FR"/>
        </w:rPr>
        <w:t>élevé</w:t>
      </w:r>
      <w:r w:rsidRPr="009C100D">
        <w:rPr>
          <w:rFonts w:cs="Arial"/>
          <w:lang w:val="fr-FR"/>
        </w:rPr>
        <w:t xml:space="preserve">s et l’organisation doit fournir un soutien technique </w:t>
      </w:r>
      <w:r w:rsidR="00C6450C" w:rsidRPr="009C100D">
        <w:rPr>
          <w:rFonts w:cs="Arial"/>
          <w:lang w:val="fr-FR"/>
        </w:rPr>
        <w:t xml:space="preserve">plus </w:t>
      </w:r>
      <w:r w:rsidR="00C6450C" w:rsidRPr="009C100D">
        <w:rPr>
          <w:rFonts w:cs="Arial"/>
          <w:lang w:val="fr-FR"/>
        </w:rPr>
        <w:lastRenderedPageBreak/>
        <w:t>important</w:t>
      </w:r>
      <w:r w:rsidR="005F707B" w:rsidRPr="009C100D">
        <w:rPr>
          <w:rFonts w:cs="Arial"/>
          <w:lang w:val="fr-FR"/>
        </w:rPr>
        <w:t xml:space="preserve"> (par </w:t>
      </w:r>
      <w:r w:rsidRPr="009C100D">
        <w:rPr>
          <w:rFonts w:cs="Arial"/>
          <w:lang w:val="fr-FR"/>
        </w:rPr>
        <w:t xml:space="preserve">ex. </w:t>
      </w:r>
      <w:r w:rsidR="007C37BF" w:rsidRPr="009C100D">
        <w:rPr>
          <w:rFonts w:cs="Arial"/>
          <w:lang w:val="fr-FR"/>
        </w:rPr>
        <w:t xml:space="preserve">pour l’élaboration de </w:t>
      </w:r>
      <w:r w:rsidRPr="009C100D">
        <w:rPr>
          <w:rFonts w:cs="Arial"/>
          <w:lang w:val="fr-FR"/>
        </w:rPr>
        <w:t xml:space="preserve">plans </w:t>
      </w:r>
      <w:r w:rsidR="007C37BF" w:rsidRPr="009C100D">
        <w:rPr>
          <w:rFonts w:cs="Arial"/>
          <w:lang w:val="fr-FR"/>
        </w:rPr>
        <w:t>stratégiques relatifs aux moyens de subsistance</w:t>
      </w:r>
      <w:r w:rsidR="003541EE" w:rsidRPr="009C100D">
        <w:rPr>
          <w:rFonts w:cs="Arial"/>
          <w:lang w:val="fr-FR"/>
        </w:rPr>
        <w:t>,</w:t>
      </w:r>
      <w:r w:rsidR="007C37BF" w:rsidRPr="009C100D">
        <w:rPr>
          <w:rFonts w:cs="Arial"/>
          <w:lang w:val="fr-FR"/>
        </w:rPr>
        <w:t xml:space="preserve"> ou l’apport d’un soutien technique dans le domaine du logement).</w:t>
      </w:r>
    </w:p>
    <w:p w:rsidR="00611271" w:rsidRPr="009C100D" w:rsidRDefault="008728B8" w:rsidP="00D45D24">
      <w:pPr>
        <w:pStyle w:val="Heading3"/>
        <w:rPr>
          <w:rFonts w:cs="Arial"/>
          <w:lang w:val="fr-FR"/>
        </w:rPr>
      </w:pPr>
      <w:r w:rsidRPr="009C100D">
        <w:rPr>
          <w:rFonts w:cs="Arial"/>
          <w:lang w:val="fr-FR"/>
        </w:rPr>
        <w:t>Adaptation du montant aux variations des prix</w:t>
      </w:r>
    </w:p>
    <w:p w:rsidR="007C37BF" w:rsidRPr="009C100D" w:rsidRDefault="001B6DF0" w:rsidP="005F707B">
      <w:pPr>
        <w:rPr>
          <w:rFonts w:cs="Arial"/>
          <w:lang w:val="fr-FR"/>
        </w:rPr>
      </w:pPr>
      <w:r w:rsidRPr="009C100D">
        <w:rPr>
          <w:rFonts w:cs="Arial"/>
          <w:lang w:val="fr-FR"/>
        </w:rPr>
        <w:t xml:space="preserve">Si </w:t>
      </w:r>
      <w:r w:rsidR="003541EE" w:rsidRPr="009C100D">
        <w:rPr>
          <w:rFonts w:cs="Arial"/>
          <w:lang w:val="fr-FR"/>
        </w:rPr>
        <w:t xml:space="preserve">votre projet prévoit </w:t>
      </w:r>
      <w:r w:rsidRPr="009C100D">
        <w:rPr>
          <w:rFonts w:cs="Arial"/>
          <w:lang w:val="fr-FR"/>
        </w:rPr>
        <w:t>plusieurs versements</w:t>
      </w:r>
      <w:r w:rsidR="001C57D8" w:rsidRPr="009C100D">
        <w:rPr>
          <w:rFonts w:cs="Arial"/>
          <w:lang w:val="fr-FR"/>
        </w:rPr>
        <w:t xml:space="preserve">, vous devez prendre en compte les effets négatifs </w:t>
      </w:r>
      <w:r w:rsidR="003541EE" w:rsidRPr="009C100D">
        <w:rPr>
          <w:rFonts w:cs="Arial"/>
          <w:lang w:val="fr-FR"/>
        </w:rPr>
        <w:t>que pourrait avoir</w:t>
      </w:r>
      <w:r w:rsidR="001C57D8" w:rsidRPr="009C100D">
        <w:rPr>
          <w:rFonts w:cs="Arial"/>
          <w:lang w:val="fr-FR"/>
        </w:rPr>
        <w:t xml:space="preserve"> l’inflation sur l</w:t>
      </w:r>
      <w:r w:rsidR="00410E10" w:rsidRPr="009C100D">
        <w:rPr>
          <w:rFonts w:cs="Arial"/>
          <w:lang w:val="fr-FR"/>
        </w:rPr>
        <w:t xml:space="preserve">e </w:t>
      </w:r>
      <w:r w:rsidR="005F707B" w:rsidRPr="009C100D">
        <w:rPr>
          <w:rFonts w:cs="Arial"/>
          <w:lang w:val="fr-FR"/>
        </w:rPr>
        <w:t>pouvoir d’achat des bénéficiaires</w:t>
      </w:r>
      <w:r w:rsidR="001C57D8" w:rsidRPr="009C100D">
        <w:rPr>
          <w:rFonts w:cs="Arial"/>
          <w:lang w:val="fr-FR"/>
        </w:rPr>
        <w:t>. Pour cela, il existe deux solutions :</w:t>
      </w:r>
    </w:p>
    <w:p w:rsidR="001C57D8" w:rsidRPr="009C100D" w:rsidRDefault="005F707B" w:rsidP="005F707B">
      <w:pPr>
        <w:pStyle w:val="Bullet2"/>
        <w:rPr>
          <w:lang w:val="fr-FR"/>
        </w:rPr>
      </w:pPr>
      <w:r w:rsidRPr="009C100D">
        <w:rPr>
          <w:lang w:val="fr-FR"/>
        </w:rPr>
        <w:t>Au moment de définir le montant des transferts, p</w:t>
      </w:r>
      <w:r w:rsidR="001B6DF0" w:rsidRPr="009C100D">
        <w:rPr>
          <w:lang w:val="fr-FR"/>
        </w:rPr>
        <w:t>rendre en compte</w:t>
      </w:r>
      <w:r w:rsidRPr="009C100D">
        <w:rPr>
          <w:lang w:val="fr-FR"/>
        </w:rPr>
        <w:t xml:space="preserve"> </w:t>
      </w:r>
      <w:r w:rsidR="001B6DF0" w:rsidRPr="009C100D">
        <w:rPr>
          <w:lang w:val="fr-FR"/>
        </w:rPr>
        <w:t xml:space="preserve">l’inflation </w:t>
      </w:r>
      <w:r w:rsidRPr="009C100D">
        <w:rPr>
          <w:lang w:val="fr-FR"/>
        </w:rPr>
        <w:t>à laquelle on peut s’attendre</w:t>
      </w:r>
      <w:r w:rsidR="001B6DF0" w:rsidRPr="009C100D">
        <w:rPr>
          <w:lang w:val="fr-FR"/>
        </w:rPr>
        <w:t xml:space="preserve"> </w:t>
      </w:r>
      <w:r w:rsidRPr="009C100D">
        <w:rPr>
          <w:lang w:val="fr-FR"/>
        </w:rPr>
        <w:t>pendant</w:t>
      </w:r>
      <w:r w:rsidR="001B6DF0" w:rsidRPr="009C100D">
        <w:rPr>
          <w:lang w:val="fr-FR"/>
        </w:rPr>
        <w:t xml:space="preserve"> la période d’intervention</w:t>
      </w:r>
      <w:r w:rsidRPr="009C100D">
        <w:rPr>
          <w:lang w:val="fr-FR"/>
        </w:rPr>
        <w:t> </w:t>
      </w:r>
      <w:r w:rsidR="001B6DF0" w:rsidRPr="009C100D">
        <w:rPr>
          <w:lang w:val="fr-FR"/>
        </w:rPr>
        <w:t xml:space="preserve">: le montant sera adapté </w:t>
      </w:r>
      <w:r w:rsidR="00410E10" w:rsidRPr="009C100D">
        <w:rPr>
          <w:lang w:val="fr-FR"/>
        </w:rPr>
        <w:t>sur la base du</w:t>
      </w:r>
      <w:r w:rsidR="001B6DF0" w:rsidRPr="009C100D">
        <w:rPr>
          <w:lang w:val="fr-FR"/>
        </w:rPr>
        <w:t xml:space="preserve"> taux moyen d’inflation prévu au cours de la période considérée (voir l’outil </w:t>
      </w:r>
      <w:r w:rsidRPr="009C100D">
        <w:rPr>
          <w:lang w:val="fr-FR"/>
        </w:rPr>
        <w:t>de</w:t>
      </w:r>
      <w:r w:rsidR="001B6DF0" w:rsidRPr="009C100D">
        <w:rPr>
          <w:lang w:val="fr-FR"/>
        </w:rPr>
        <w:t xml:space="preserve"> calcul rapide du montant des transferts).</w:t>
      </w:r>
    </w:p>
    <w:p w:rsidR="00013EBA" w:rsidRPr="009C100D" w:rsidRDefault="001B6DF0" w:rsidP="003F047C">
      <w:pPr>
        <w:pStyle w:val="Bullet2"/>
        <w:rPr>
          <w:lang w:val="fr-FR"/>
        </w:rPr>
      </w:pPr>
      <w:r w:rsidRPr="009C100D">
        <w:rPr>
          <w:lang w:val="fr-FR"/>
        </w:rPr>
        <w:t xml:space="preserve">Élaborer un plan d’urgence prévoyant l’adaptation du montant des transferts ou le choix d’une autre modalité dans le cas où l’inflation dépasserait les valeurs maximales </w:t>
      </w:r>
      <w:r w:rsidR="00410E10" w:rsidRPr="009C100D">
        <w:rPr>
          <w:lang w:val="fr-FR"/>
        </w:rPr>
        <w:t>définies</w:t>
      </w:r>
      <w:r w:rsidR="00045133" w:rsidRPr="009C100D">
        <w:rPr>
          <w:lang w:val="fr-FR"/>
        </w:rPr>
        <w:t xml:space="preserve"> au préalable. L’outil relatif à l’adaptation du montant </w:t>
      </w:r>
      <w:r w:rsidR="00410E10" w:rsidRPr="009C100D">
        <w:rPr>
          <w:lang w:val="fr-FR"/>
        </w:rPr>
        <w:t xml:space="preserve">des transferts </w:t>
      </w:r>
      <w:r w:rsidR="00045133" w:rsidRPr="009C100D">
        <w:rPr>
          <w:lang w:val="fr-FR"/>
        </w:rPr>
        <w:t xml:space="preserve">aux variations des prix vous aidera à comprendre quelles sont les étapes nécessaires pour réagir de manière rapide et efficace </w:t>
      </w:r>
      <w:r w:rsidR="003F047C" w:rsidRPr="009C100D">
        <w:rPr>
          <w:lang w:val="fr-FR"/>
        </w:rPr>
        <w:t>dans ce contexte</w:t>
      </w:r>
      <w:r w:rsidR="004F1342" w:rsidRPr="009C100D">
        <w:rPr>
          <w:lang w:val="fr-FR"/>
        </w:rPr>
        <w:t>.</w:t>
      </w:r>
    </w:p>
    <w:tbl>
      <w:tblPr>
        <w:tblStyle w:val="TableGray"/>
        <w:tblW w:w="0" w:type="auto"/>
        <w:tblInd w:w="142" w:type="dxa"/>
        <w:tblLook w:val="04A0" w:firstRow="1" w:lastRow="0" w:firstColumn="1" w:lastColumn="0" w:noHBand="0" w:noVBand="1"/>
      </w:tblPr>
      <w:tblGrid>
        <w:gridCol w:w="9639"/>
      </w:tblGrid>
      <w:tr w:rsidR="00507CFF" w:rsidRPr="00C05A37" w:rsidTr="00507CFF">
        <w:tc>
          <w:tcPr>
            <w:tcW w:w="9639" w:type="dxa"/>
          </w:tcPr>
          <w:p w:rsidR="00507CFF" w:rsidRPr="00C05A37" w:rsidRDefault="00507CFF" w:rsidP="00507CFF">
            <w:pPr>
              <w:pStyle w:val="RefTitre"/>
              <w:rPr>
                <w:rFonts w:cs="Arial"/>
                <w:lang w:val="en-GB" w:eastAsia="it-IT"/>
              </w:rPr>
            </w:pPr>
            <w:r w:rsidRPr="00C05A37">
              <w:rPr>
                <w:rFonts w:cs="Arial"/>
                <w:lang w:val="en-GB" w:eastAsia="it-IT"/>
              </w:rPr>
              <w:t xml:space="preserve">DOCUMENTS </w:t>
            </w:r>
            <w:r w:rsidR="00C14365" w:rsidRPr="00C05A37">
              <w:rPr>
                <w:rFonts w:cs="Arial"/>
                <w:lang w:val="en-GB" w:eastAsia="it-IT"/>
              </w:rPr>
              <w:t>DE RÉFÉRENCE</w:t>
            </w:r>
          </w:p>
          <w:p w:rsidR="00507CFF" w:rsidRPr="00C05A37" w:rsidRDefault="00C14365" w:rsidP="003F047C">
            <w:pPr>
              <w:pStyle w:val="RefItem1"/>
              <w:rPr>
                <w:rFonts w:cs="Arial"/>
                <w:lang w:val="en-GB"/>
              </w:rPr>
            </w:pPr>
            <w:r w:rsidRPr="00C05A37">
              <w:rPr>
                <w:rFonts w:cs="Arial"/>
                <w:lang w:val="en-GB"/>
              </w:rPr>
              <w:t>O</w:t>
            </w:r>
            <w:r w:rsidR="003F047C" w:rsidRPr="00C05A37">
              <w:rPr>
                <w:rFonts w:cs="Arial"/>
                <w:lang w:val="en-GB"/>
              </w:rPr>
              <w:t xml:space="preserve">verseas </w:t>
            </w:r>
            <w:r w:rsidRPr="00C05A37">
              <w:rPr>
                <w:rFonts w:cs="Arial"/>
                <w:lang w:val="en-GB"/>
              </w:rPr>
              <w:t>D</w:t>
            </w:r>
            <w:r w:rsidR="003F047C" w:rsidRPr="00C05A37">
              <w:rPr>
                <w:rFonts w:cs="Arial"/>
                <w:lang w:val="en-GB"/>
              </w:rPr>
              <w:t>evelopment Institute</w:t>
            </w:r>
            <w:r w:rsidRPr="00C05A37">
              <w:rPr>
                <w:rFonts w:cs="Arial"/>
                <w:lang w:val="en-GB"/>
              </w:rPr>
              <w:t xml:space="preserve"> (2006), </w:t>
            </w:r>
            <w:r w:rsidR="00507CFF" w:rsidRPr="00C05A37">
              <w:rPr>
                <w:rFonts w:cs="Arial"/>
                <w:i/>
                <w:iCs/>
                <w:lang w:val="en-GB"/>
              </w:rPr>
              <w:t>Learning from cash responses to the tsunami</w:t>
            </w:r>
            <w:r w:rsidRPr="00C05A37">
              <w:rPr>
                <w:rFonts w:cs="Arial"/>
                <w:lang w:val="en-GB"/>
              </w:rPr>
              <w:t>,</w:t>
            </w:r>
            <w:r w:rsidR="003F047C" w:rsidRPr="00C05A37">
              <w:rPr>
                <w:rFonts w:cs="Arial"/>
                <w:lang w:val="en-GB"/>
              </w:rPr>
              <w:t xml:space="preserve"> Issues Paper</w:t>
            </w:r>
            <w:r w:rsidR="00507CFF" w:rsidRPr="00C05A37">
              <w:rPr>
                <w:rFonts w:cs="Arial"/>
                <w:lang w:val="en-GB"/>
              </w:rPr>
              <w:t xml:space="preserve"> </w:t>
            </w:r>
            <w:r w:rsidRPr="00C05A37">
              <w:rPr>
                <w:rFonts w:cs="Arial"/>
                <w:lang w:val="en-GB"/>
              </w:rPr>
              <w:t xml:space="preserve">3, </w:t>
            </w:r>
            <w:r w:rsidR="003F047C" w:rsidRPr="00C05A37">
              <w:rPr>
                <w:rFonts w:cs="Arial"/>
                <w:lang w:val="en-GB"/>
              </w:rPr>
              <w:t>Setting the value</w:t>
            </w:r>
            <w:r w:rsidRPr="00C05A37">
              <w:rPr>
                <w:rFonts w:cs="Arial"/>
                <w:lang w:val="en-GB"/>
              </w:rPr>
              <w:t xml:space="preserve"> (</w:t>
            </w:r>
            <w:proofErr w:type="spellStart"/>
            <w:r w:rsidRPr="00C05A37">
              <w:rPr>
                <w:rFonts w:cs="Arial"/>
                <w:lang w:val="en-GB"/>
              </w:rPr>
              <w:t>en</w:t>
            </w:r>
            <w:proofErr w:type="spellEnd"/>
            <w:r w:rsidRPr="00C05A37">
              <w:rPr>
                <w:rFonts w:cs="Arial"/>
                <w:lang w:val="en-GB"/>
              </w:rPr>
              <w:t xml:space="preserve"> </w:t>
            </w:r>
            <w:proofErr w:type="spellStart"/>
            <w:r w:rsidRPr="00C05A37">
              <w:rPr>
                <w:rFonts w:cs="Arial"/>
                <w:lang w:val="en-GB"/>
              </w:rPr>
              <w:t>anglais</w:t>
            </w:r>
            <w:proofErr w:type="spellEnd"/>
            <w:r w:rsidRPr="00C05A37">
              <w:rPr>
                <w:rFonts w:cs="Arial"/>
                <w:lang w:val="en-GB"/>
              </w:rPr>
              <w:t>) :</w:t>
            </w:r>
            <w:r w:rsidR="00507CFF" w:rsidRPr="00C05A37">
              <w:rPr>
                <w:rFonts w:cs="Arial"/>
                <w:lang w:val="en-GB"/>
              </w:rPr>
              <w:t xml:space="preserve"> </w:t>
            </w:r>
            <w:r w:rsidR="00D712BC" w:rsidRPr="00C05A37">
              <w:rPr>
                <w:rFonts w:cs="Arial"/>
                <w:lang w:val="en-GB"/>
              </w:rPr>
              <w:br/>
            </w:r>
            <w:hyperlink r:id="rId9" w:history="1">
              <w:r w:rsidRPr="00C05A37">
                <w:rPr>
                  <w:rStyle w:val="Hyperlink"/>
                  <w:rFonts w:cs="Arial"/>
                  <w:lang w:val="en-GB"/>
                </w:rPr>
                <w:t>http://www.odi.org/publications/3997-learning-cash-responses-tsunami-issues-papers</w:t>
              </w:r>
            </w:hyperlink>
          </w:p>
          <w:p w:rsidR="00507CFF" w:rsidRPr="009C100D" w:rsidRDefault="00C14365" w:rsidP="003F047C">
            <w:pPr>
              <w:pStyle w:val="RefItem1"/>
              <w:rPr>
                <w:rFonts w:cs="Arial"/>
                <w:lang w:val="fr-FR"/>
              </w:rPr>
            </w:pPr>
            <w:r w:rsidRPr="009C100D">
              <w:rPr>
                <w:rFonts w:cs="Arial"/>
                <w:lang w:val="fr-FR"/>
              </w:rPr>
              <w:t>Mouvement international de la Croix-Rouge et du Croissant-Rouge</w:t>
            </w:r>
            <w:r w:rsidR="00507CFF" w:rsidRPr="009C100D">
              <w:rPr>
                <w:rFonts w:cs="Arial"/>
                <w:lang w:val="fr-FR"/>
              </w:rPr>
              <w:t xml:space="preserve"> (2012)</w:t>
            </w:r>
            <w:r w:rsidRPr="009C100D">
              <w:rPr>
                <w:rFonts w:cs="Arial"/>
                <w:lang w:val="fr-FR"/>
              </w:rPr>
              <w:t xml:space="preserve">, </w:t>
            </w:r>
            <w:r w:rsidRPr="009C100D">
              <w:rPr>
                <w:rFonts w:cs="Arial"/>
                <w:i/>
                <w:iCs/>
                <w:lang w:val="fr-FR"/>
              </w:rPr>
              <w:t>Market Analysis Guidance</w:t>
            </w:r>
            <w:r w:rsidR="00507CFF" w:rsidRPr="009C100D">
              <w:rPr>
                <w:rFonts w:cs="Arial"/>
                <w:lang w:val="fr-FR"/>
              </w:rPr>
              <w:t xml:space="preserve"> </w:t>
            </w:r>
            <w:r w:rsidR="003F047C" w:rsidRPr="009C100D">
              <w:rPr>
                <w:rFonts w:cs="Arial"/>
                <w:lang w:val="fr-FR"/>
              </w:rPr>
              <w:t>(en anglais)</w:t>
            </w:r>
          </w:p>
          <w:p w:rsidR="00507CFF" w:rsidRPr="009C100D" w:rsidRDefault="00C14365" w:rsidP="00507CFF">
            <w:pPr>
              <w:pStyle w:val="RefItem1"/>
              <w:rPr>
                <w:rFonts w:cs="Arial"/>
                <w:lang w:val="fr-FR"/>
              </w:rPr>
            </w:pPr>
            <w:r w:rsidRPr="009C100D">
              <w:rPr>
                <w:rFonts w:cs="Arial"/>
                <w:lang w:val="fr-FR"/>
              </w:rPr>
              <w:t xml:space="preserve">Mouvement international de la Croix-Rouge et du Croissant-Rouge </w:t>
            </w:r>
            <w:r w:rsidR="00507CFF" w:rsidRPr="009C100D">
              <w:rPr>
                <w:rFonts w:cs="Arial"/>
                <w:lang w:val="fr-FR"/>
              </w:rPr>
              <w:t>(2007)</w:t>
            </w:r>
            <w:r w:rsidRPr="009C100D">
              <w:rPr>
                <w:rFonts w:cs="Arial"/>
                <w:lang w:val="fr-FR"/>
              </w:rPr>
              <w:t>,</w:t>
            </w:r>
            <w:r w:rsidR="00507CFF" w:rsidRPr="009C100D">
              <w:rPr>
                <w:rFonts w:cs="Arial"/>
                <w:lang w:val="fr-FR"/>
              </w:rPr>
              <w:t xml:space="preserve"> </w:t>
            </w:r>
            <w:r w:rsidRPr="009C100D">
              <w:rPr>
                <w:rFonts w:cs="Arial"/>
                <w:lang w:val="fr-FR"/>
              </w:rPr>
              <w:t>Lignes directrices sur les programmes de tran</w:t>
            </w:r>
            <w:r w:rsidR="000026A3" w:rsidRPr="009C100D">
              <w:rPr>
                <w:rFonts w:cs="Arial"/>
                <w:lang w:val="fr-FR"/>
              </w:rPr>
              <w:t>sferts monétaires, pages 28 à 31</w:t>
            </w:r>
            <w:r w:rsidRPr="009C100D">
              <w:rPr>
                <w:rFonts w:cs="Arial"/>
                <w:lang w:val="fr-FR"/>
              </w:rPr>
              <w:t> :</w:t>
            </w:r>
            <w:r w:rsidR="00507CFF" w:rsidRPr="009C100D">
              <w:rPr>
                <w:rFonts w:cs="Arial"/>
                <w:lang w:val="fr-FR"/>
              </w:rPr>
              <w:t xml:space="preserve"> </w:t>
            </w:r>
            <w:r w:rsidR="00D712BC" w:rsidRPr="009C100D">
              <w:rPr>
                <w:rFonts w:cs="Arial"/>
                <w:lang w:val="fr-FR"/>
              </w:rPr>
              <w:br/>
            </w:r>
            <w:hyperlink r:id="rId10" w:history="1">
              <w:r w:rsidR="003F047C" w:rsidRPr="009C100D">
                <w:rPr>
                  <w:rStyle w:val="Hyperlink"/>
                  <w:rFonts w:cs="Arial"/>
                  <w:lang w:val="fr-FR"/>
                </w:rPr>
                <w:t>http://www.cashlearning.org/downloads/resources/guidelines/icrc-cashguidelines-fr-oct08.pdf</w:t>
              </w:r>
            </w:hyperlink>
          </w:p>
          <w:p w:rsidR="00507CFF" w:rsidRPr="009C100D" w:rsidRDefault="00507CFF" w:rsidP="003F047C">
            <w:pPr>
              <w:pStyle w:val="RefItem1"/>
              <w:rPr>
                <w:rFonts w:eastAsia="Times New Roman" w:cs="Arial"/>
                <w:sz w:val="22"/>
                <w:szCs w:val="22"/>
                <w:lang w:val="fr-FR"/>
              </w:rPr>
            </w:pPr>
            <w:r w:rsidRPr="009C100D">
              <w:rPr>
                <w:rFonts w:cs="Arial"/>
                <w:lang w:val="fr-FR"/>
              </w:rPr>
              <w:t>A</w:t>
            </w:r>
            <w:r w:rsidR="003F047C" w:rsidRPr="009C100D">
              <w:rPr>
                <w:rFonts w:cs="Arial"/>
                <w:lang w:val="fr-FR"/>
              </w:rPr>
              <w:t xml:space="preserve">ction contre la faim </w:t>
            </w:r>
            <w:r w:rsidRPr="009C100D">
              <w:rPr>
                <w:rFonts w:cs="Arial"/>
                <w:lang w:val="fr-FR"/>
              </w:rPr>
              <w:t>(2007)</w:t>
            </w:r>
            <w:r w:rsidR="00C14365" w:rsidRPr="009C100D">
              <w:rPr>
                <w:rFonts w:cs="Arial"/>
                <w:lang w:val="fr-FR"/>
              </w:rPr>
              <w:t>,</w:t>
            </w:r>
            <w:r w:rsidRPr="009C100D">
              <w:rPr>
                <w:rFonts w:cs="Arial"/>
                <w:lang w:val="fr-FR"/>
              </w:rPr>
              <w:t xml:space="preserve"> </w:t>
            </w:r>
            <w:proofErr w:type="spellStart"/>
            <w:r w:rsidRPr="009C100D">
              <w:rPr>
                <w:rFonts w:cs="Arial"/>
                <w:i/>
                <w:iCs/>
                <w:lang w:val="fr-FR"/>
              </w:rPr>
              <w:t>Impleme</w:t>
            </w:r>
            <w:r w:rsidR="00C14365" w:rsidRPr="009C100D">
              <w:rPr>
                <w:rFonts w:cs="Arial"/>
                <w:i/>
                <w:iCs/>
                <w:lang w:val="fr-FR"/>
              </w:rPr>
              <w:t>ntin</w:t>
            </w:r>
            <w:r w:rsidR="003F047C" w:rsidRPr="009C100D">
              <w:rPr>
                <w:rFonts w:cs="Arial"/>
                <w:i/>
                <w:iCs/>
                <w:lang w:val="fr-FR"/>
              </w:rPr>
              <w:t>g</w:t>
            </w:r>
            <w:proofErr w:type="spellEnd"/>
            <w:r w:rsidR="003F047C" w:rsidRPr="009C100D">
              <w:rPr>
                <w:rFonts w:cs="Arial"/>
                <w:i/>
                <w:iCs/>
                <w:lang w:val="fr-FR"/>
              </w:rPr>
              <w:t xml:space="preserve"> cash-</w:t>
            </w:r>
            <w:proofErr w:type="spellStart"/>
            <w:r w:rsidR="003F047C" w:rsidRPr="009C100D">
              <w:rPr>
                <w:rFonts w:cs="Arial"/>
                <w:i/>
                <w:iCs/>
                <w:lang w:val="fr-FR"/>
              </w:rPr>
              <w:t>based</w:t>
            </w:r>
            <w:proofErr w:type="spellEnd"/>
            <w:r w:rsidR="003F047C" w:rsidRPr="009C100D">
              <w:rPr>
                <w:rFonts w:cs="Arial"/>
                <w:i/>
                <w:iCs/>
                <w:lang w:val="fr-FR"/>
              </w:rPr>
              <w:t xml:space="preserve"> interventions</w:t>
            </w:r>
            <w:r w:rsidR="00C14365" w:rsidRPr="009C100D">
              <w:rPr>
                <w:rFonts w:cs="Arial"/>
                <w:lang w:val="fr-FR"/>
              </w:rPr>
              <w:t>, p</w:t>
            </w:r>
            <w:r w:rsidRPr="009C100D">
              <w:rPr>
                <w:rFonts w:cs="Arial"/>
                <w:lang w:val="fr-FR"/>
              </w:rPr>
              <w:t>a</w:t>
            </w:r>
            <w:r w:rsidR="00C14365" w:rsidRPr="009C100D">
              <w:rPr>
                <w:rFonts w:cs="Arial"/>
                <w:lang w:val="fr-FR"/>
              </w:rPr>
              <w:t>ges 69 à 75 (en anglais) :</w:t>
            </w:r>
            <w:r w:rsidR="00D712BC" w:rsidRPr="009C100D">
              <w:rPr>
                <w:rFonts w:cs="Arial"/>
                <w:lang w:val="fr-FR"/>
              </w:rPr>
              <w:br/>
            </w:r>
            <w:hyperlink r:id="rId11" w:history="1">
              <w:r w:rsidRPr="009C100D">
                <w:rPr>
                  <w:rStyle w:val="Hyperlink"/>
                  <w:rFonts w:cs="Arial"/>
                  <w:lang w:val="fr-FR"/>
                </w:rPr>
                <w:t>http://www.actionagainsthunger.org/publication/2007/10/implementing-cash-based-interventions-guideline-aid-workers</w:t>
              </w:r>
            </w:hyperlink>
          </w:p>
        </w:tc>
      </w:tr>
    </w:tbl>
    <w:p w:rsidR="00013EBA" w:rsidRPr="009C100D" w:rsidRDefault="00C05A37" w:rsidP="00D45D24">
      <w:pPr>
        <w:rPr>
          <w:rFonts w:cs="Arial"/>
          <w:lang w:val="fr-FR"/>
        </w:rPr>
      </w:pPr>
    </w:p>
    <w:sectPr w:rsidR="00013EBA" w:rsidRPr="009C100D" w:rsidSect="00555E96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134" w:bottom="1134" w:left="1134" w:header="708" w:footer="708" w:gutter="0"/>
      <w:cols w:space="708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2B40FF" w15:done="0"/>
  <w15:commentEx w15:paraId="6336AEBB" w15:done="0"/>
  <w15:commentEx w15:paraId="48DD077E" w15:done="0"/>
  <w15:commentEx w15:paraId="75D9CD49" w15:done="0"/>
  <w15:commentEx w15:paraId="422DCF54" w15:done="0"/>
  <w15:commentEx w15:paraId="6EFCC56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69B" w:rsidRDefault="00FD669B" w:rsidP="00CA1799">
      <w:r>
        <w:separator/>
      </w:r>
    </w:p>
  </w:endnote>
  <w:endnote w:type="continuationSeparator" w:id="0">
    <w:p w:rsidR="00FD669B" w:rsidRDefault="00FD669B" w:rsidP="00CA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A7E" w:rsidRDefault="001C3930" w:rsidP="009164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34DB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4A7E" w:rsidRDefault="00C05A37" w:rsidP="00CA179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A7E" w:rsidRDefault="001C3930" w:rsidP="009164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34D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5A37">
      <w:rPr>
        <w:rStyle w:val="PageNumber"/>
        <w:noProof/>
      </w:rPr>
      <w:t>3</w:t>
    </w:r>
    <w:r>
      <w:rPr>
        <w:rStyle w:val="PageNumber"/>
      </w:rPr>
      <w:fldChar w:fldCharType="end"/>
    </w:r>
  </w:p>
  <w:p w:rsidR="00E24A7E" w:rsidRPr="00C14365" w:rsidRDefault="00D34DBF" w:rsidP="00CA1799">
    <w:pPr>
      <w:pStyle w:val="Footer"/>
      <w:ind w:right="360"/>
      <w:rPr>
        <w:lang w:val="fr-FR"/>
      </w:rPr>
    </w:pPr>
    <w:r w:rsidRPr="00C14365">
      <w:rPr>
        <w:b/>
        <w:lang w:val="fr-FR"/>
      </w:rPr>
      <w:t>Module 3.</w:t>
    </w:r>
    <w:r w:rsidRPr="00C14365">
      <w:rPr>
        <w:lang w:val="fr-FR"/>
      </w:rPr>
      <w:t xml:space="preserve"> </w:t>
    </w:r>
    <w:r w:rsidR="00C14365" w:rsidRPr="00C14365">
      <w:rPr>
        <w:lang w:val="fr-FR"/>
      </w:rPr>
      <w:t>Étape</w:t>
    </w:r>
    <w:r w:rsidRPr="00C14365">
      <w:rPr>
        <w:lang w:val="fr-FR"/>
      </w:rPr>
      <w:t xml:space="preserve"> 2. </w:t>
    </w:r>
    <w:r w:rsidR="00C14365">
      <w:rPr>
        <w:lang w:val="fr-FR"/>
      </w:rPr>
      <w:t>Feuille de route pour la définition du montant et de la fréquence des transferts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E96" w:rsidRPr="00B45C74" w:rsidRDefault="001C3930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555E96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C05A37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555E96" w:rsidRPr="00C14365" w:rsidRDefault="00555E96" w:rsidP="00ED1B2B">
    <w:pPr>
      <w:pStyle w:val="Footer"/>
      <w:rPr>
        <w:lang w:val="fr-FR"/>
      </w:rPr>
    </w:pPr>
    <w:r w:rsidRPr="00C14365">
      <w:rPr>
        <w:b/>
        <w:lang w:val="fr-FR"/>
      </w:rPr>
      <w:t>Module 3.</w:t>
    </w:r>
    <w:r w:rsidRPr="00C14365">
      <w:rPr>
        <w:lang w:val="fr-FR"/>
      </w:rPr>
      <w:t xml:space="preserve"> </w:t>
    </w:r>
    <w:r w:rsidR="00C14365" w:rsidRPr="00C14365">
      <w:rPr>
        <w:lang w:val="fr-FR"/>
      </w:rPr>
      <w:t>Étape</w:t>
    </w:r>
    <w:r w:rsidRPr="00C14365">
      <w:rPr>
        <w:lang w:val="fr-FR"/>
      </w:rPr>
      <w:t xml:space="preserve"> 2. </w:t>
    </w:r>
    <w:fldSimple w:instr=" STYLEREF  H1 \t  \* MERGEFORMAT ">
      <w:r w:rsidR="00C05A37" w:rsidRPr="00C05A37">
        <w:rPr>
          <w:noProof/>
          <w:lang w:val="fr-FR"/>
        </w:rPr>
        <w:t>Feuille de route pour la définition du montant et de la fréquence des transferts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69B" w:rsidRDefault="00FD669B" w:rsidP="00CA1799">
      <w:r>
        <w:separator/>
      </w:r>
    </w:p>
  </w:footnote>
  <w:footnote w:type="continuationSeparator" w:id="0">
    <w:p w:rsidR="00FD669B" w:rsidRDefault="00FD669B" w:rsidP="00CA1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E96" w:rsidRPr="00C14365" w:rsidRDefault="00C14365" w:rsidP="0065420E">
    <w:pPr>
      <w:pStyle w:val="Header"/>
      <w:rPr>
        <w:sz w:val="14"/>
        <w:szCs w:val="14"/>
        <w:lang w:val="fr-FR"/>
      </w:rPr>
    </w:pPr>
    <w:r>
      <w:rPr>
        <w:rStyle w:val="Pantone485"/>
        <w:sz w:val="14"/>
        <w:szCs w:val="14"/>
        <w:lang w:val="fr-FR"/>
      </w:rPr>
      <w:t>Mouvement international de la Croix-Rouge et du Croissant-Rouge</w:t>
    </w:r>
    <w:r w:rsidR="00555E96" w:rsidRPr="00C14365">
      <w:rPr>
        <w:rFonts w:cs="Caecilia-Light"/>
        <w:color w:val="FF0000"/>
        <w:sz w:val="14"/>
        <w:szCs w:val="14"/>
        <w:lang w:val="fr-FR"/>
      </w:rPr>
      <w:t xml:space="preserve"> </w:t>
    </w:r>
    <w:r w:rsidR="00555E96" w:rsidRPr="00C14365">
      <w:rPr>
        <w:rStyle w:val="PageNumber"/>
        <w:bCs/>
        <w:sz w:val="14"/>
        <w:szCs w:val="14"/>
        <w:lang w:val="fr-FR"/>
      </w:rPr>
      <w:t>I</w:t>
    </w:r>
    <w:r w:rsidR="00555E96" w:rsidRPr="00C14365">
      <w:rPr>
        <w:rStyle w:val="PageNumber"/>
        <w:color w:val="FF0000"/>
        <w:sz w:val="14"/>
        <w:szCs w:val="14"/>
        <w:lang w:val="fr-FR"/>
      </w:rPr>
      <w:t xml:space="preserve"> </w:t>
    </w:r>
    <w:r>
      <w:rPr>
        <w:b/>
        <w:sz w:val="14"/>
        <w:szCs w:val="14"/>
        <w:lang w:val="fr-FR"/>
      </w:rPr>
      <w:t xml:space="preserve">Boîte à outils pour </w:t>
    </w:r>
    <w:r w:rsidR="0065420E">
      <w:rPr>
        <w:b/>
        <w:sz w:val="14"/>
        <w:szCs w:val="14"/>
        <w:lang w:val="fr-FR"/>
      </w:rPr>
      <w:t>les transferts monétaires</w:t>
    </w:r>
    <w:r>
      <w:rPr>
        <w:b/>
        <w:sz w:val="14"/>
        <w:szCs w:val="14"/>
        <w:lang w:val="fr-FR"/>
      </w:rPr>
      <w:t xml:space="preserve"> dans les situations d’urgence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A4" w:rsidRDefault="000C76A4" w:rsidP="000C76A4">
    <w:pPr>
      <w:pStyle w:val="Header1"/>
    </w:pPr>
    <w:r>
      <w:rPr>
        <w:rFonts w:ascii="Arial Bold" w:hAnsi="Arial Bold"/>
        <w:noProof/>
        <w:color w:val="DC281E"/>
        <w:lang w:val="en-GB" w:eastAsia="en-GB"/>
      </w:rPr>
      <w:drawing>
        <wp:anchor distT="0" distB="0" distL="114300" distR="114300" simplePos="0" relativeHeight="251660288" behindDoc="0" locked="0" layoutInCell="1" allowOverlap="1" wp14:anchorId="0777B0E3" wp14:editId="15C9B940">
          <wp:simplePos x="0" y="0"/>
          <wp:positionH relativeFrom="margin">
            <wp:posOffset>316865</wp:posOffset>
          </wp:positionH>
          <wp:positionV relativeFrom="margin">
            <wp:posOffset>-1280795</wp:posOffset>
          </wp:positionV>
          <wp:extent cx="630555" cy="735330"/>
          <wp:effectExtent l="0" t="0" r="0" b="7620"/>
          <wp:wrapSquare wrapText="bothSides"/>
          <wp:docPr id="2" name="Picture 2" descr="T:\Language\2015\French\Z_Jonathan\Références\Cash in emergencies\CICR logo-F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Language\2015\French\Z_Jonathan\Références\Cash in emergencies\CICR logo-F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C76A4" w:rsidRDefault="000C76A4" w:rsidP="000C76A4">
    <w:pPr>
      <w:pStyle w:val="Header1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6D49C58" wp14:editId="557EE2D7">
          <wp:simplePos x="0" y="0"/>
          <wp:positionH relativeFrom="margin">
            <wp:posOffset>2590165</wp:posOffset>
          </wp:positionH>
          <wp:positionV relativeFrom="margin">
            <wp:posOffset>-915670</wp:posOffset>
          </wp:positionV>
          <wp:extent cx="3187065" cy="3086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C-French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7065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55E96" w:rsidRDefault="00555E96" w:rsidP="00C16D71">
    <w:pPr>
      <w:pStyle w:val="Header"/>
      <w:spacing w:line="240" w:lineRule="auto"/>
      <w:rPr>
        <w:b/>
        <w:color w:val="DC281E"/>
        <w:sz w:val="24"/>
        <w:szCs w:val="24"/>
      </w:rPr>
    </w:pPr>
  </w:p>
  <w:p w:rsidR="000C76A4" w:rsidRDefault="000C76A4" w:rsidP="00C16D71">
    <w:pPr>
      <w:pStyle w:val="Header"/>
      <w:spacing w:line="240" w:lineRule="auto"/>
      <w:rPr>
        <w:b/>
        <w:color w:val="DC281E"/>
        <w:sz w:val="24"/>
        <w:szCs w:val="24"/>
      </w:rPr>
    </w:pPr>
  </w:p>
  <w:p w:rsidR="00555E96" w:rsidRDefault="00555E96" w:rsidP="00C16D71">
    <w:pPr>
      <w:pStyle w:val="Header"/>
      <w:spacing w:line="240" w:lineRule="auto"/>
      <w:rPr>
        <w:b/>
        <w:color w:val="DC281E"/>
        <w:sz w:val="24"/>
        <w:szCs w:val="24"/>
      </w:rPr>
    </w:pPr>
  </w:p>
  <w:p w:rsidR="00555E96" w:rsidRPr="00C14365" w:rsidRDefault="00C14365" w:rsidP="000C76A4">
    <w:pPr>
      <w:pStyle w:val="Header1"/>
      <w:rPr>
        <w:rFonts w:ascii="Arial Bold" w:hAnsi="Arial Bold"/>
        <w:color w:val="DC281E"/>
        <w:lang w:val="fr-FR"/>
      </w:rPr>
    </w:pPr>
    <w:r>
      <w:rPr>
        <w:rFonts w:ascii="Arial Bold" w:hAnsi="Arial Bold"/>
        <w:color w:val="DC281E"/>
        <w:lang w:val="fr-FR"/>
      </w:rPr>
      <w:t>Boîte à outils pour l</w:t>
    </w:r>
    <w:r w:rsidR="000C76A4">
      <w:rPr>
        <w:rFonts w:ascii="Arial Bold" w:hAnsi="Arial Bold"/>
        <w:color w:val="DC281E"/>
        <w:lang w:val="fr-FR"/>
      </w:rPr>
      <w:t>es transferts monétaires</w:t>
    </w:r>
    <w:r>
      <w:rPr>
        <w:rFonts w:ascii="Arial Bold" w:hAnsi="Arial Bold"/>
        <w:color w:val="DC281E"/>
        <w:lang w:val="fr-FR"/>
      </w:rPr>
      <w:t xml:space="preserve"> dans les situations d’urgence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02652"/>
    <w:multiLevelType w:val="hybridMultilevel"/>
    <w:tmpl w:val="9CF4AF48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20167"/>
    <w:multiLevelType w:val="hybridMultilevel"/>
    <w:tmpl w:val="EEBA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46E50"/>
    <w:multiLevelType w:val="hybridMultilevel"/>
    <w:tmpl w:val="78806A2A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25864"/>
    <w:multiLevelType w:val="hybridMultilevel"/>
    <w:tmpl w:val="7FB6FBEA"/>
    <w:lvl w:ilvl="0" w:tplc="4B1032CE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="ArialMT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02994"/>
    <w:multiLevelType w:val="hybridMultilevel"/>
    <w:tmpl w:val="9236B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630407"/>
    <w:multiLevelType w:val="hybridMultilevel"/>
    <w:tmpl w:val="3AFE9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BB65D5"/>
    <w:multiLevelType w:val="hybridMultilevel"/>
    <w:tmpl w:val="F1D89208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B67CF0"/>
    <w:multiLevelType w:val="hybridMultilevel"/>
    <w:tmpl w:val="F470F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112787"/>
    <w:multiLevelType w:val="hybridMultilevel"/>
    <w:tmpl w:val="5FCC9A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D3D6413"/>
    <w:multiLevelType w:val="hybridMultilevel"/>
    <w:tmpl w:val="C478B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623AFB"/>
    <w:multiLevelType w:val="hybridMultilevel"/>
    <w:tmpl w:val="F0DA8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5"/>
  </w:num>
  <w:num w:numId="5">
    <w:abstractNumId w:val="13"/>
  </w:num>
  <w:num w:numId="6">
    <w:abstractNumId w:val="16"/>
  </w:num>
  <w:num w:numId="7">
    <w:abstractNumId w:val="10"/>
  </w:num>
  <w:num w:numId="8">
    <w:abstractNumId w:val="14"/>
  </w:num>
  <w:num w:numId="9">
    <w:abstractNumId w:val="4"/>
  </w:num>
  <w:num w:numId="10">
    <w:abstractNumId w:val="12"/>
  </w:num>
  <w:num w:numId="11">
    <w:abstractNumId w:val="1"/>
  </w:num>
  <w:num w:numId="12">
    <w:abstractNumId w:val="0"/>
  </w:num>
  <w:num w:numId="13">
    <w:abstractNumId w:val="7"/>
  </w:num>
  <w:num w:numId="14">
    <w:abstractNumId w:val="2"/>
  </w:num>
  <w:num w:numId="15">
    <w:abstractNumId w:val="8"/>
  </w:num>
  <w:num w:numId="16">
    <w:abstractNumId w:val="11"/>
  </w:num>
  <w:num w:numId="17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aud Devred">
    <w15:presenceInfo w15:providerId="AD" w15:userId="S-1-5-21-2160216369-3329932071-3968528880-48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7EFC"/>
    <w:rsid w:val="000026A3"/>
    <w:rsid w:val="00024483"/>
    <w:rsid w:val="00031084"/>
    <w:rsid w:val="00045133"/>
    <w:rsid w:val="00053FD1"/>
    <w:rsid w:val="00056E1C"/>
    <w:rsid w:val="000B2261"/>
    <w:rsid w:val="000C56E6"/>
    <w:rsid w:val="000C76A4"/>
    <w:rsid w:val="0010398B"/>
    <w:rsid w:val="00167BEE"/>
    <w:rsid w:val="001761FB"/>
    <w:rsid w:val="00192C10"/>
    <w:rsid w:val="001B6DF0"/>
    <w:rsid w:val="001C3930"/>
    <w:rsid w:val="001C57D8"/>
    <w:rsid w:val="00205729"/>
    <w:rsid w:val="002B0371"/>
    <w:rsid w:val="002C2C92"/>
    <w:rsid w:val="002E40E0"/>
    <w:rsid w:val="00336E81"/>
    <w:rsid w:val="003541EE"/>
    <w:rsid w:val="003F047C"/>
    <w:rsid w:val="00410E10"/>
    <w:rsid w:val="00423184"/>
    <w:rsid w:val="00447155"/>
    <w:rsid w:val="00466BA8"/>
    <w:rsid w:val="00477AF1"/>
    <w:rsid w:val="004955F5"/>
    <w:rsid w:val="004D6FF5"/>
    <w:rsid w:val="004E1573"/>
    <w:rsid w:val="004F1342"/>
    <w:rsid w:val="004F3396"/>
    <w:rsid w:val="004F6087"/>
    <w:rsid w:val="00507CFF"/>
    <w:rsid w:val="005522AB"/>
    <w:rsid w:val="00555E96"/>
    <w:rsid w:val="005711AA"/>
    <w:rsid w:val="005A0845"/>
    <w:rsid w:val="005A260E"/>
    <w:rsid w:val="005A442E"/>
    <w:rsid w:val="005A7F17"/>
    <w:rsid w:val="005B1688"/>
    <w:rsid w:val="005B2AA1"/>
    <w:rsid w:val="005F707B"/>
    <w:rsid w:val="0065420E"/>
    <w:rsid w:val="00664B61"/>
    <w:rsid w:val="006A28A2"/>
    <w:rsid w:val="006B5769"/>
    <w:rsid w:val="006B7328"/>
    <w:rsid w:val="006D408A"/>
    <w:rsid w:val="006F5166"/>
    <w:rsid w:val="007042F1"/>
    <w:rsid w:val="00733CC8"/>
    <w:rsid w:val="00775705"/>
    <w:rsid w:val="00796885"/>
    <w:rsid w:val="007979A7"/>
    <w:rsid w:val="007C37BF"/>
    <w:rsid w:val="007D0837"/>
    <w:rsid w:val="00802E9F"/>
    <w:rsid w:val="00804768"/>
    <w:rsid w:val="00833E38"/>
    <w:rsid w:val="008728B8"/>
    <w:rsid w:val="00890483"/>
    <w:rsid w:val="008D322E"/>
    <w:rsid w:val="00917188"/>
    <w:rsid w:val="00923D09"/>
    <w:rsid w:val="00930622"/>
    <w:rsid w:val="00935ECF"/>
    <w:rsid w:val="00982F4D"/>
    <w:rsid w:val="009C100D"/>
    <w:rsid w:val="009C2F13"/>
    <w:rsid w:val="009D2547"/>
    <w:rsid w:val="00A61AD4"/>
    <w:rsid w:val="00A832C5"/>
    <w:rsid w:val="00A91ABF"/>
    <w:rsid w:val="00AD58C2"/>
    <w:rsid w:val="00B05A65"/>
    <w:rsid w:val="00B07EFC"/>
    <w:rsid w:val="00B13819"/>
    <w:rsid w:val="00B3168A"/>
    <w:rsid w:val="00B72076"/>
    <w:rsid w:val="00B8447D"/>
    <w:rsid w:val="00B934B5"/>
    <w:rsid w:val="00C04CBA"/>
    <w:rsid w:val="00C05A37"/>
    <w:rsid w:val="00C14365"/>
    <w:rsid w:val="00C271DC"/>
    <w:rsid w:val="00C55BC4"/>
    <w:rsid w:val="00C56C52"/>
    <w:rsid w:val="00C6450C"/>
    <w:rsid w:val="00C706DF"/>
    <w:rsid w:val="00C72EB8"/>
    <w:rsid w:val="00D077D0"/>
    <w:rsid w:val="00D31CB5"/>
    <w:rsid w:val="00D34DBF"/>
    <w:rsid w:val="00D45D24"/>
    <w:rsid w:val="00D57984"/>
    <w:rsid w:val="00D712BC"/>
    <w:rsid w:val="00DE4839"/>
    <w:rsid w:val="00E259B2"/>
    <w:rsid w:val="00E30A1B"/>
    <w:rsid w:val="00E51940"/>
    <w:rsid w:val="00E55314"/>
    <w:rsid w:val="00E62AF3"/>
    <w:rsid w:val="00E8711C"/>
    <w:rsid w:val="00ED3CF8"/>
    <w:rsid w:val="00ED4F9F"/>
    <w:rsid w:val="00EF2552"/>
    <w:rsid w:val="00F04968"/>
    <w:rsid w:val="00F62663"/>
    <w:rsid w:val="00F6760A"/>
    <w:rsid w:val="00FD669B"/>
    <w:rsid w:val="00FE539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2BC"/>
    <w:pPr>
      <w:spacing w:after="120"/>
      <w:jc w:val="both"/>
    </w:pPr>
    <w:rPr>
      <w:rFonts w:ascii="Arial" w:hAnsi="Arial" w:cs="Times New Roman"/>
    </w:rPr>
  </w:style>
  <w:style w:type="paragraph" w:styleId="Heading1">
    <w:name w:val="heading 1"/>
    <w:basedOn w:val="H1"/>
    <w:next w:val="Normal"/>
    <w:link w:val="Heading1Char"/>
    <w:uiPriority w:val="9"/>
    <w:rsid w:val="00D712B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2BC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12BC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2BC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TableGrid">
    <w:name w:val="Table Grid"/>
    <w:basedOn w:val="TableNormal"/>
    <w:uiPriority w:val="59"/>
    <w:rsid w:val="00D712BC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12BC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D712BC"/>
    <w:rPr>
      <w:rFonts w:ascii="Arial" w:hAnsi="Arial" w:cs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D712BC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712BC"/>
    <w:rPr>
      <w:rFonts w:ascii="Arial" w:hAnsi="Arial" w:cs="Times New Roman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D712BC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D712B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6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6AE"/>
    <w:rPr>
      <w:lang w:val="en-GB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D712BC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D712BC"/>
    <w:rPr>
      <w:rFonts w:ascii="Arial" w:hAnsi="Arial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2B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2BC"/>
    <w:rPr>
      <w:rFonts w:ascii="Lucida Grande" w:hAnsi="Lucida Grande" w:cs="Lucida Grande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712BC"/>
    <w:rPr>
      <w:rFonts w:ascii="Arial" w:eastAsiaTheme="minorHAnsi" w:hAnsi="Arial" w:cstheme="minorBidi"/>
      <w:szCs w:val="22"/>
    </w:rPr>
  </w:style>
  <w:style w:type="table" w:styleId="MediumShading1-Accent1">
    <w:name w:val="Medium Shading 1 Accent 1"/>
    <w:basedOn w:val="TableNormal"/>
    <w:uiPriority w:val="63"/>
    <w:rsid w:val="00B05A6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712BC"/>
    <w:rPr>
      <w:rFonts w:ascii="Arial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712BC"/>
    <w:rPr>
      <w:rFonts w:ascii="Arial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12BC"/>
    <w:rPr>
      <w:rFonts w:ascii="Arial" w:hAnsi="Arial" w:cs="Times New Roman"/>
      <w:b/>
      <w:sz w:val="22"/>
      <w:szCs w:val="24"/>
    </w:rPr>
  </w:style>
  <w:style w:type="paragraph" w:customStyle="1" w:styleId="Default">
    <w:name w:val="Default"/>
    <w:rsid w:val="00D712B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712B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12BC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D712BC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712BC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D712BC"/>
    <w:rPr>
      <w:vertAlign w:val="superscript"/>
    </w:rPr>
  </w:style>
  <w:style w:type="paragraph" w:styleId="Revision">
    <w:name w:val="Revision"/>
    <w:hidden/>
    <w:uiPriority w:val="99"/>
    <w:semiHidden/>
    <w:rsid w:val="00D712BC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D712BC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D712BC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D712BC"/>
    <w:pPr>
      <w:numPr>
        <w:numId w:val="14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D712BC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D712BC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D712BC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D712BC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D712BC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D712BC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D712BC"/>
    <w:pPr>
      <w:numPr>
        <w:numId w:val="15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D712BC"/>
    <w:pPr>
      <w:numPr>
        <w:ilvl w:val="1"/>
        <w:numId w:val="1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D712BC"/>
    <w:pPr>
      <w:numPr>
        <w:numId w:val="13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D712BC"/>
    <w:pPr>
      <w:numPr>
        <w:numId w:val="16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D712BC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D712BC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D712BC"/>
    <w:pPr>
      <w:keepNext/>
      <w:keepLines/>
      <w:framePr w:hSpace="141" w:wrap="around" w:vAnchor="text" w:hAnchor="margin" w:y="402"/>
      <w:numPr>
        <w:numId w:val="17"/>
      </w:numPr>
      <w:spacing w:beforeLines="60" w:afterLines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2BC"/>
    <w:pPr>
      <w:spacing w:after="120"/>
      <w:jc w:val="both"/>
    </w:pPr>
    <w:rPr>
      <w:rFonts w:ascii="Arial" w:hAnsi="Arial" w:cs="Times New Roman"/>
    </w:rPr>
  </w:style>
  <w:style w:type="paragraph" w:styleId="Heading1">
    <w:name w:val="heading 1"/>
    <w:basedOn w:val="H1"/>
    <w:next w:val="Normal"/>
    <w:link w:val="Heading1Char"/>
    <w:uiPriority w:val="9"/>
    <w:rsid w:val="00D712B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2BC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12BC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2BC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TableGrid">
    <w:name w:val="Table Grid"/>
    <w:basedOn w:val="TableNormal"/>
    <w:uiPriority w:val="59"/>
    <w:rsid w:val="00D712BC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12BC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D712BC"/>
    <w:rPr>
      <w:rFonts w:ascii="Arial" w:hAnsi="Arial" w:cs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D712BC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712BC"/>
    <w:rPr>
      <w:rFonts w:ascii="Arial" w:hAnsi="Arial" w:cs="Times New Roman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D712BC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D712B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6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6AE"/>
    <w:rPr>
      <w:lang w:val="en-GB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D712BC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D712BC"/>
    <w:rPr>
      <w:rFonts w:ascii="Arial" w:hAnsi="Arial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2B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2BC"/>
    <w:rPr>
      <w:rFonts w:ascii="Lucida Grande" w:hAnsi="Lucida Grande" w:cs="Lucida Grande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712BC"/>
    <w:rPr>
      <w:rFonts w:ascii="Arial" w:eastAsiaTheme="minorHAnsi" w:hAnsi="Arial" w:cstheme="minorBidi"/>
      <w:szCs w:val="22"/>
    </w:rPr>
  </w:style>
  <w:style w:type="table" w:styleId="MediumShading1-Accent1">
    <w:name w:val="Medium Shading 1 Accent 1"/>
    <w:basedOn w:val="TableNormal"/>
    <w:uiPriority w:val="63"/>
    <w:rsid w:val="00B05A6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712BC"/>
    <w:rPr>
      <w:rFonts w:ascii="Arial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712BC"/>
    <w:rPr>
      <w:rFonts w:ascii="Arial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12BC"/>
    <w:rPr>
      <w:rFonts w:ascii="Arial" w:hAnsi="Arial" w:cs="Times New Roman"/>
      <w:b/>
      <w:sz w:val="22"/>
      <w:szCs w:val="24"/>
    </w:rPr>
  </w:style>
  <w:style w:type="paragraph" w:customStyle="1" w:styleId="Default">
    <w:name w:val="Default"/>
    <w:rsid w:val="00D712B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712B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12BC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D712BC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712BC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D712BC"/>
    <w:rPr>
      <w:vertAlign w:val="superscript"/>
    </w:rPr>
  </w:style>
  <w:style w:type="paragraph" w:styleId="Revision">
    <w:name w:val="Revision"/>
    <w:hidden/>
    <w:uiPriority w:val="99"/>
    <w:semiHidden/>
    <w:rsid w:val="00D712BC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D712BC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D712BC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D712BC"/>
    <w:pPr>
      <w:numPr>
        <w:numId w:val="14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D712BC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D712BC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D712BC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D712BC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D712BC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D712BC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D712BC"/>
    <w:pPr>
      <w:numPr>
        <w:numId w:val="15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D712BC"/>
    <w:pPr>
      <w:numPr>
        <w:ilvl w:val="1"/>
        <w:numId w:val="1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D712BC"/>
    <w:pPr>
      <w:numPr>
        <w:numId w:val="13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D712BC"/>
    <w:pPr>
      <w:numPr>
        <w:numId w:val="16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D712BC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D712BC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D712BC"/>
    <w:pPr>
      <w:keepNext/>
      <w:keepLines/>
      <w:framePr w:hSpace="141" w:wrap="around" w:vAnchor="text" w:hAnchor="margin" w:y="402"/>
      <w:numPr>
        <w:numId w:val="17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ctionagainsthunger.org/publication/2007/10/implementing-cash-based-interventions-guideline-aid-worker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ashlearning.org/downloads/resources/guidelines/icrc-cashguidelines-fr-oct0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di.org/publications/3997-learning-cash-responses-tsunami-issues-paper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282</TotalTime>
  <Pages>3</Pages>
  <Words>1253</Words>
  <Characters>7146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Private</Company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Florence MAROT</cp:lastModifiedBy>
  <cp:revision>86</cp:revision>
  <cp:lastPrinted>2015-12-10T16:15:00Z</cp:lastPrinted>
  <dcterms:created xsi:type="dcterms:W3CDTF">2014-11-19T16:25:00Z</dcterms:created>
  <dcterms:modified xsi:type="dcterms:W3CDTF">2016-04-29T13:11:00Z</dcterms:modified>
</cp:coreProperties>
</file>