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F76" w:rsidRPr="009F68A7" w:rsidRDefault="004E1822" w:rsidP="009F6BBD">
      <w:pPr>
        <w:pStyle w:val="H1"/>
        <w:rPr>
          <w:rFonts w:cs="Arial"/>
          <w:lang w:val="fr-FR"/>
        </w:rPr>
      </w:pPr>
      <w:r w:rsidRPr="009F68A7">
        <w:rPr>
          <w:rFonts w:cs="Arial"/>
          <w:lang w:val="fr-FR"/>
        </w:rPr>
        <w:t>Feuille de route pour l</w:t>
      </w:r>
      <w:r w:rsidR="00940BFD" w:rsidRPr="009F68A7">
        <w:rPr>
          <w:rFonts w:cs="Arial"/>
          <w:lang w:val="fr-FR"/>
        </w:rPr>
        <w:t>e</w:t>
      </w:r>
      <w:r w:rsidRPr="009F68A7">
        <w:rPr>
          <w:rFonts w:cs="Arial"/>
          <w:lang w:val="fr-FR"/>
        </w:rPr>
        <w:t xml:space="preserve"> ciblage</w:t>
      </w:r>
    </w:p>
    <w:p w:rsidR="006E7139" w:rsidRPr="009F68A7" w:rsidRDefault="00CB4854" w:rsidP="006E7139">
      <w:pPr>
        <w:pStyle w:val="H1"/>
        <w:ind w:left="-170"/>
        <w:rPr>
          <w:sz w:val="20"/>
          <w:szCs w:val="20"/>
          <w:lang w:val="fr-FR"/>
        </w:rPr>
      </w:pPr>
      <w:r>
        <w:rPr>
          <w:rFonts w:cs="Arial"/>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55pt;height:150.1pt">
            <v:imagedata r:id="rId8" o:title="03B-Response Analysis-rodmap-EN3"/>
          </v:shape>
        </w:pict>
      </w:r>
    </w:p>
    <w:p w:rsidR="009A11C0" w:rsidRPr="009F68A7" w:rsidRDefault="009A11C0" w:rsidP="009F6BBD">
      <w:pPr>
        <w:pStyle w:val="Heading2"/>
        <w:rPr>
          <w:rFonts w:cs="Arial"/>
          <w:lang w:val="fr-FR"/>
        </w:rPr>
      </w:pPr>
      <w:r w:rsidRPr="009F68A7">
        <w:rPr>
          <w:rFonts w:cs="Arial"/>
          <w:lang w:val="fr-FR"/>
        </w:rPr>
        <w:t>INTRODUCTION</w:t>
      </w:r>
    </w:p>
    <w:p w:rsidR="004E1822" w:rsidRPr="009F68A7" w:rsidRDefault="009E49AD" w:rsidP="009E49AD">
      <w:pPr>
        <w:rPr>
          <w:rFonts w:cs="Arial"/>
          <w:lang w:val="fr-FR"/>
        </w:rPr>
      </w:pPr>
      <w:r w:rsidRPr="009F68A7">
        <w:rPr>
          <w:lang w:val="fr-FR"/>
        </w:rPr>
        <w:t>Cette</w:t>
      </w:r>
      <w:r w:rsidR="004E1822" w:rsidRPr="009F68A7">
        <w:rPr>
          <w:lang w:val="fr-FR"/>
        </w:rPr>
        <w:t xml:space="preserve"> feuille de route vous guidera tout au long du processus </w:t>
      </w:r>
      <w:r w:rsidRPr="009F68A7">
        <w:rPr>
          <w:lang w:val="fr-FR"/>
        </w:rPr>
        <w:t>de</w:t>
      </w:r>
      <w:r w:rsidR="004E1822" w:rsidRPr="009F68A7">
        <w:rPr>
          <w:lang w:val="fr-FR"/>
        </w:rPr>
        <w:t xml:space="preserve"> ciblage des programmes de transferts monétaires</w:t>
      </w:r>
      <w:r w:rsidRPr="009F68A7">
        <w:rPr>
          <w:lang w:val="fr-FR"/>
        </w:rPr>
        <w:t xml:space="preserve"> (PTM)</w:t>
      </w:r>
      <w:r w:rsidR="004E1822" w:rsidRPr="009F68A7">
        <w:rPr>
          <w:lang w:val="fr-FR"/>
        </w:rPr>
        <w:t>.</w:t>
      </w:r>
    </w:p>
    <w:p w:rsidR="004E1822" w:rsidRPr="009F68A7" w:rsidRDefault="009E49AD" w:rsidP="009E49AD">
      <w:pPr>
        <w:rPr>
          <w:lang w:val="fr-FR"/>
        </w:rPr>
      </w:pPr>
      <w:r w:rsidRPr="009F68A7">
        <w:rPr>
          <w:lang w:val="fr-FR"/>
        </w:rPr>
        <w:t>Elle</w:t>
      </w:r>
      <w:r w:rsidR="004E1822" w:rsidRPr="009F68A7">
        <w:rPr>
          <w:lang w:val="fr-FR"/>
        </w:rPr>
        <w:t xml:space="preserve"> vous indiquera également quel</w:t>
      </w:r>
      <w:r w:rsidR="00CB4854">
        <w:rPr>
          <w:lang w:val="fr-FR"/>
        </w:rPr>
        <w:t>le</w:t>
      </w:r>
      <w:bookmarkStart w:id="0" w:name="_GoBack"/>
      <w:bookmarkEnd w:id="0"/>
      <w:r w:rsidR="004E1822" w:rsidRPr="009F68A7">
        <w:rPr>
          <w:lang w:val="fr-FR"/>
        </w:rPr>
        <w:t xml:space="preserve">s sont les </w:t>
      </w:r>
      <w:r w:rsidRPr="009F68A7">
        <w:rPr>
          <w:lang w:val="fr-FR"/>
        </w:rPr>
        <w:t>ressources</w:t>
      </w:r>
      <w:r w:rsidR="004E1822" w:rsidRPr="009F68A7">
        <w:rPr>
          <w:lang w:val="fr-FR"/>
        </w:rPr>
        <w:t xml:space="preserve"> de la Boîte à outils qui s</w:t>
      </w:r>
      <w:r w:rsidR="00B33E68" w:rsidRPr="009F68A7">
        <w:rPr>
          <w:lang w:val="fr-FR"/>
        </w:rPr>
        <w:t>ont les plus utiles pour cette troisième</w:t>
      </w:r>
      <w:r w:rsidR="004E1822" w:rsidRPr="009F68A7">
        <w:rPr>
          <w:lang w:val="fr-FR"/>
        </w:rPr>
        <w:t xml:space="preserve"> étape et ses étapes subsidiaires. Ces outils devront être adaptés à vos besoins et à votre contexte.</w:t>
      </w:r>
    </w:p>
    <w:p w:rsidR="004E1822" w:rsidRPr="009F68A7" w:rsidRDefault="004E1822" w:rsidP="009E49AD">
      <w:pPr>
        <w:rPr>
          <w:lang w:val="fr-FR"/>
        </w:rPr>
      </w:pPr>
      <w:r w:rsidRPr="009F68A7">
        <w:rPr>
          <w:lang w:val="fr-FR"/>
        </w:rPr>
        <w:t>Il est important de respecter les normes minimales définies pour cette étape</w:t>
      </w:r>
      <w:r w:rsidR="009E49AD" w:rsidRPr="009F68A7">
        <w:rPr>
          <w:lang w:val="fr-FR"/>
        </w:rPr>
        <w:t xml:space="preserve"> aux fins de garantir la qualité des PTM</w:t>
      </w:r>
      <w:r w:rsidRPr="009F68A7">
        <w:rPr>
          <w:lang w:val="fr-FR"/>
        </w:rPr>
        <w:t>.</w:t>
      </w:r>
    </w:p>
    <w:p w:rsidR="004E1822" w:rsidRPr="009F68A7" w:rsidRDefault="004E1822" w:rsidP="009E49AD">
      <w:pPr>
        <w:rPr>
          <w:lang w:val="fr-FR"/>
        </w:rPr>
      </w:pPr>
      <w:r w:rsidRPr="009F68A7">
        <w:rPr>
          <w:lang w:val="fr-FR"/>
        </w:rPr>
        <w:t xml:space="preserve">Il est probable que vous deviez </w:t>
      </w:r>
      <w:r w:rsidRPr="009F68A7">
        <w:rPr>
          <w:b/>
          <w:lang w:val="fr-FR"/>
        </w:rPr>
        <w:t>aller et venir</w:t>
      </w:r>
      <w:r w:rsidRPr="009F68A7">
        <w:rPr>
          <w:lang w:val="fr-FR"/>
        </w:rPr>
        <w:t xml:space="preserve"> entre les différentes étapes subsidiaires </w:t>
      </w:r>
      <w:r w:rsidR="009E49AD" w:rsidRPr="009F68A7">
        <w:rPr>
          <w:lang w:val="fr-FR"/>
        </w:rPr>
        <w:t>pour orienter la prise de décisions à mesure que des informations deviennent disponibles et que la mise en œuvre du processus progresse</w:t>
      </w:r>
      <w:r w:rsidRPr="009F68A7">
        <w:rPr>
          <w:lang w:val="fr-FR"/>
        </w:rPr>
        <w:t xml:space="preserve">. </w:t>
      </w:r>
    </w:p>
    <w:p w:rsidR="004E1822" w:rsidRPr="009F68A7" w:rsidRDefault="004E1822" w:rsidP="009E49AD">
      <w:pPr>
        <w:rPr>
          <w:lang w:val="fr-FR"/>
        </w:rPr>
      </w:pPr>
      <w:r w:rsidRPr="009F68A7">
        <w:rPr>
          <w:lang w:val="fr-FR"/>
        </w:rPr>
        <w:t xml:space="preserve">Pour obtenir des </w:t>
      </w:r>
      <w:r w:rsidR="009E49AD" w:rsidRPr="009F68A7">
        <w:rPr>
          <w:lang w:val="fr-FR"/>
        </w:rPr>
        <w:t>orientations</w:t>
      </w:r>
      <w:r w:rsidRPr="009F68A7">
        <w:rPr>
          <w:lang w:val="fr-FR"/>
        </w:rPr>
        <w:t xml:space="preserve"> plus détaillées sur le ciblage, veuillez consulter les documents de référence </w:t>
      </w:r>
      <w:r w:rsidR="009E49AD" w:rsidRPr="009F68A7">
        <w:rPr>
          <w:lang w:val="fr-FR"/>
        </w:rPr>
        <w:t>mentionnés</w:t>
      </w:r>
      <w:r w:rsidRPr="009F68A7">
        <w:rPr>
          <w:lang w:val="fr-FR"/>
        </w:rPr>
        <w:t xml:space="preserve"> à la fin du document.</w:t>
      </w:r>
    </w:p>
    <w:p w:rsidR="009A11C0" w:rsidRPr="009F68A7" w:rsidRDefault="004E1822" w:rsidP="009F6BBD">
      <w:pPr>
        <w:pStyle w:val="Heading2"/>
        <w:rPr>
          <w:rFonts w:cs="Arial"/>
          <w:lang w:val="fr-FR"/>
        </w:rPr>
      </w:pPr>
      <w:r w:rsidRPr="009F68A7">
        <w:rPr>
          <w:rFonts w:cs="Arial"/>
          <w:lang w:val="fr-FR"/>
        </w:rPr>
        <w:t>Normes minimales</w:t>
      </w:r>
    </w:p>
    <w:p w:rsidR="002F6D4F" w:rsidRPr="009F68A7" w:rsidRDefault="002F6D4F" w:rsidP="000C3650">
      <w:pPr>
        <w:pStyle w:val="Bullet1"/>
        <w:rPr>
          <w:lang w:val="fr-FR"/>
        </w:rPr>
      </w:pPr>
      <w:r w:rsidRPr="009F68A7">
        <w:rPr>
          <w:lang w:val="fr-FR"/>
        </w:rPr>
        <w:t xml:space="preserve">Lors du ciblage géographique, </w:t>
      </w:r>
      <w:r w:rsidR="00F56E22" w:rsidRPr="009F68A7">
        <w:rPr>
          <w:lang w:val="fr-FR"/>
        </w:rPr>
        <w:t>vous deve</w:t>
      </w:r>
      <w:r w:rsidR="00940BFD" w:rsidRPr="009F68A7">
        <w:rPr>
          <w:lang w:val="fr-FR"/>
        </w:rPr>
        <w:t>z prendre en</w:t>
      </w:r>
      <w:r w:rsidRPr="009F68A7">
        <w:rPr>
          <w:lang w:val="fr-FR"/>
        </w:rPr>
        <w:t xml:space="preserve"> compte l’impact </w:t>
      </w:r>
      <w:r w:rsidR="00F56E22" w:rsidRPr="009F68A7">
        <w:rPr>
          <w:lang w:val="fr-FR"/>
        </w:rPr>
        <w:t>de la situation d’urgence et les</w:t>
      </w:r>
      <w:r w:rsidRPr="009F68A7">
        <w:rPr>
          <w:lang w:val="fr-FR"/>
        </w:rPr>
        <w:t xml:space="preserve"> vulnérabilités de la région.</w:t>
      </w:r>
    </w:p>
    <w:p w:rsidR="009A11C0" w:rsidRPr="009F68A7" w:rsidRDefault="002F6D4F" w:rsidP="009E49AD">
      <w:pPr>
        <w:pStyle w:val="Bullet1"/>
        <w:rPr>
          <w:lang w:val="fr-FR"/>
        </w:rPr>
      </w:pPr>
      <w:r w:rsidRPr="009F68A7">
        <w:rPr>
          <w:lang w:val="fr-FR"/>
        </w:rPr>
        <w:t>Les critères de ciblage doivent être liés aux objectifs de l’intervention, adaptés au con</w:t>
      </w:r>
      <w:r w:rsidR="00940BFD" w:rsidRPr="009F68A7">
        <w:rPr>
          <w:lang w:val="fr-FR"/>
        </w:rPr>
        <w:t>texte et à la population locale</w:t>
      </w:r>
      <w:r w:rsidRPr="009F68A7">
        <w:rPr>
          <w:lang w:val="fr-FR"/>
        </w:rPr>
        <w:t xml:space="preserve"> et </w:t>
      </w:r>
      <w:r w:rsidR="009E49AD" w:rsidRPr="009F68A7">
        <w:rPr>
          <w:lang w:val="fr-FR"/>
        </w:rPr>
        <w:t>mesurables</w:t>
      </w:r>
      <w:r w:rsidRPr="009F68A7">
        <w:rPr>
          <w:lang w:val="fr-FR"/>
        </w:rPr>
        <w:t xml:space="preserve"> </w:t>
      </w:r>
      <w:r w:rsidR="009E49AD" w:rsidRPr="009F68A7">
        <w:rPr>
          <w:lang w:val="fr-FR"/>
        </w:rPr>
        <w:t>à l’aide</w:t>
      </w:r>
      <w:r w:rsidRPr="009F68A7">
        <w:rPr>
          <w:lang w:val="fr-FR"/>
        </w:rPr>
        <w:t xml:space="preserve"> des ressources disponibles.</w:t>
      </w:r>
    </w:p>
    <w:p w:rsidR="009A11C0" w:rsidRPr="009F68A7" w:rsidRDefault="002F6D4F" w:rsidP="000C3650">
      <w:pPr>
        <w:pStyle w:val="Bullet1"/>
        <w:rPr>
          <w:lang w:val="fr-FR"/>
        </w:rPr>
      </w:pPr>
      <w:r w:rsidRPr="009F68A7">
        <w:rPr>
          <w:lang w:val="fr-FR"/>
        </w:rPr>
        <w:t>La population touchée doit participer à la sélection des critères de ciblage.</w:t>
      </w:r>
    </w:p>
    <w:p w:rsidR="009A11C0" w:rsidRPr="009F68A7" w:rsidRDefault="002F6D4F" w:rsidP="000C3650">
      <w:pPr>
        <w:pStyle w:val="Bullet1"/>
        <w:rPr>
          <w:lang w:val="fr-FR"/>
        </w:rPr>
      </w:pPr>
      <w:r w:rsidRPr="009F68A7">
        <w:rPr>
          <w:lang w:val="fr-FR"/>
        </w:rPr>
        <w:t>Le choix du mécanisme de ciblage doit prendre en compte les aspects liés aux coûts, à la précision et à la faisabilité.</w:t>
      </w:r>
    </w:p>
    <w:p w:rsidR="009A11C0" w:rsidRPr="009F68A7" w:rsidRDefault="004E1822" w:rsidP="009F6BBD">
      <w:pPr>
        <w:pStyle w:val="Heading2"/>
        <w:rPr>
          <w:rFonts w:cs="Arial"/>
          <w:lang w:val="fr-FR"/>
        </w:rPr>
      </w:pPr>
      <w:r w:rsidRPr="009F68A7">
        <w:rPr>
          <w:rFonts w:cs="Arial"/>
          <w:lang w:val="fr-FR"/>
        </w:rPr>
        <w:t>Étapes subsidiaires et outils</w:t>
      </w:r>
    </w:p>
    <w:p w:rsidR="0070358F" w:rsidRPr="009F68A7" w:rsidRDefault="0070358F" w:rsidP="00E65191">
      <w:pPr>
        <w:rPr>
          <w:lang w:val="fr-FR"/>
        </w:rPr>
      </w:pPr>
      <w:r w:rsidRPr="009F68A7">
        <w:rPr>
          <w:lang w:val="fr-FR"/>
        </w:rPr>
        <w:t xml:space="preserve">Le ciblage des </w:t>
      </w:r>
      <w:r w:rsidR="009E49AD" w:rsidRPr="009F68A7">
        <w:rPr>
          <w:lang w:val="fr-FR"/>
        </w:rPr>
        <w:t>PTM</w:t>
      </w:r>
      <w:r w:rsidRPr="009F68A7">
        <w:rPr>
          <w:lang w:val="fr-FR"/>
        </w:rPr>
        <w:t xml:space="preserve"> </w:t>
      </w:r>
      <w:r w:rsidR="00940BFD" w:rsidRPr="009F68A7">
        <w:rPr>
          <w:lang w:val="fr-FR"/>
        </w:rPr>
        <w:t>consiste à adapter les activités prévu</w:t>
      </w:r>
      <w:r w:rsidR="009432DB" w:rsidRPr="009F68A7">
        <w:rPr>
          <w:lang w:val="fr-FR"/>
        </w:rPr>
        <w:t>es aux différents bénéficiaires. Cela</w:t>
      </w:r>
      <w:r w:rsidR="00940BFD" w:rsidRPr="009F68A7">
        <w:rPr>
          <w:lang w:val="fr-FR"/>
        </w:rPr>
        <w:t xml:space="preserve"> </w:t>
      </w:r>
      <w:r w:rsidR="009E49AD" w:rsidRPr="009F68A7">
        <w:rPr>
          <w:lang w:val="fr-FR"/>
        </w:rPr>
        <w:t>exige</w:t>
      </w:r>
      <w:r w:rsidR="009432DB" w:rsidRPr="009F68A7">
        <w:rPr>
          <w:lang w:val="fr-FR"/>
        </w:rPr>
        <w:t xml:space="preserve"> de fixer des objectifs clairs sur la base de l’évaluation des besoins. Il existe </w:t>
      </w:r>
      <w:r w:rsidR="009E49AD" w:rsidRPr="009F68A7">
        <w:rPr>
          <w:lang w:val="fr-FR"/>
        </w:rPr>
        <w:t xml:space="preserve">plusieurs </w:t>
      </w:r>
      <w:r w:rsidR="009432DB" w:rsidRPr="009F68A7">
        <w:rPr>
          <w:lang w:val="fr-FR"/>
        </w:rPr>
        <w:t xml:space="preserve">approches en matière de ciblage et vous devrez sélectionner </w:t>
      </w:r>
      <w:r w:rsidR="009E49AD" w:rsidRPr="009F68A7">
        <w:rPr>
          <w:lang w:val="fr-FR"/>
        </w:rPr>
        <w:t xml:space="preserve">celle qui est </w:t>
      </w:r>
      <w:r w:rsidR="009432DB" w:rsidRPr="009F68A7">
        <w:rPr>
          <w:lang w:val="fr-FR"/>
        </w:rPr>
        <w:t xml:space="preserve">la plus appropriée </w:t>
      </w:r>
      <w:r w:rsidR="00F56E22" w:rsidRPr="009F68A7">
        <w:rPr>
          <w:lang w:val="fr-FR"/>
        </w:rPr>
        <w:t>dans</w:t>
      </w:r>
      <w:r w:rsidR="009432DB" w:rsidRPr="009F68A7">
        <w:rPr>
          <w:lang w:val="fr-FR"/>
        </w:rPr>
        <w:t xml:space="preserve"> votre contexte. Toutes les décisions </w:t>
      </w:r>
      <w:r w:rsidR="009432DB" w:rsidRPr="009F68A7">
        <w:rPr>
          <w:lang w:val="fr-FR"/>
        </w:rPr>
        <w:lastRenderedPageBreak/>
        <w:t xml:space="preserve">relatives au ciblage devront être communiquées de manière claire aux acteurs internes et externes ainsi qu’à la population touchée. Ces décisions devront par ailleurs prendre en compte les marchés locaux et l’accès des bénéficiaires visés à ces </w:t>
      </w:r>
      <w:r w:rsidR="00E65191" w:rsidRPr="009F68A7">
        <w:rPr>
          <w:lang w:val="fr-FR"/>
        </w:rPr>
        <w:t>marchés</w:t>
      </w:r>
      <w:r w:rsidR="009432DB" w:rsidRPr="009F68A7">
        <w:rPr>
          <w:lang w:val="fr-FR"/>
        </w:rPr>
        <w:t xml:space="preserve">, </w:t>
      </w:r>
      <w:r w:rsidR="00E65191" w:rsidRPr="009F68A7">
        <w:rPr>
          <w:lang w:val="fr-FR"/>
        </w:rPr>
        <w:t>ainsi que</w:t>
      </w:r>
      <w:r w:rsidR="009432DB" w:rsidRPr="009F68A7">
        <w:rPr>
          <w:lang w:val="fr-FR"/>
        </w:rPr>
        <w:t xml:space="preserve"> </w:t>
      </w:r>
      <w:r w:rsidR="00E65191" w:rsidRPr="009F68A7">
        <w:rPr>
          <w:lang w:val="fr-FR"/>
        </w:rPr>
        <w:t>les régions couvertes par les</w:t>
      </w:r>
      <w:r w:rsidR="009432DB" w:rsidRPr="009F68A7">
        <w:rPr>
          <w:lang w:val="fr-FR"/>
        </w:rPr>
        <w:t xml:space="preserve"> </w:t>
      </w:r>
      <w:r w:rsidR="00E65191" w:rsidRPr="009F68A7">
        <w:rPr>
          <w:lang w:val="fr-FR"/>
        </w:rPr>
        <w:t xml:space="preserve">éventuels prestataires de transferts monétaires et les méthodes potentielles de distribution et </w:t>
      </w:r>
      <w:r w:rsidR="009432DB" w:rsidRPr="009F68A7">
        <w:rPr>
          <w:lang w:val="fr-FR"/>
        </w:rPr>
        <w:t xml:space="preserve">l’accès </w:t>
      </w:r>
      <w:r w:rsidR="00E65191" w:rsidRPr="009F68A7">
        <w:rPr>
          <w:lang w:val="fr-FR"/>
        </w:rPr>
        <w:t>à ces services</w:t>
      </w:r>
      <w:r w:rsidR="009432DB" w:rsidRPr="009F68A7">
        <w:rPr>
          <w:lang w:val="fr-FR"/>
        </w:rPr>
        <w:t>.</w:t>
      </w:r>
    </w:p>
    <w:p w:rsidR="00717F76" w:rsidRPr="009F68A7" w:rsidRDefault="002F6D4F" w:rsidP="000C3650">
      <w:pPr>
        <w:pStyle w:val="Heading3"/>
        <w:rPr>
          <w:lang w:val="fr-FR"/>
        </w:rPr>
      </w:pPr>
      <w:r w:rsidRPr="009F68A7">
        <w:rPr>
          <w:lang w:val="fr-FR"/>
        </w:rPr>
        <w:t>Ciblage géographique</w:t>
      </w:r>
    </w:p>
    <w:p w:rsidR="00030FF8" w:rsidRPr="009F68A7" w:rsidRDefault="00F53DB1" w:rsidP="00F53DB1">
      <w:pPr>
        <w:rPr>
          <w:lang w:val="fr-FR"/>
        </w:rPr>
      </w:pPr>
      <w:r w:rsidRPr="009F68A7">
        <w:rPr>
          <w:lang w:val="fr-FR"/>
        </w:rPr>
        <w:t>Dans une situation d’urgence, l</w:t>
      </w:r>
      <w:r w:rsidR="00923F4E" w:rsidRPr="009F68A7">
        <w:rPr>
          <w:lang w:val="fr-FR"/>
        </w:rPr>
        <w:t xml:space="preserve">e ciblage géographique </w:t>
      </w:r>
      <w:r w:rsidRPr="009F68A7">
        <w:rPr>
          <w:lang w:val="fr-FR"/>
        </w:rPr>
        <w:t>consiste à identifier</w:t>
      </w:r>
      <w:r w:rsidR="006269D4" w:rsidRPr="009F68A7">
        <w:rPr>
          <w:lang w:val="fr-FR"/>
        </w:rPr>
        <w:t xml:space="preserve"> </w:t>
      </w:r>
      <w:r w:rsidRPr="009F68A7">
        <w:rPr>
          <w:lang w:val="fr-FR"/>
        </w:rPr>
        <w:t xml:space="preserve">les </w:t>
      </w:r>
      <w:r w:rsidR="00923F4E" w:rsidRPr="009F68A7">
        <w:rPr>
          <w:lang w:val="fr-FR"/>
        </w:rPr>
        <w:t>unités ad</w:t>
      </w:r>
      <w:r w:rsidR="006269D4" w:rsidRPr="009F68A7">
        <w:rPr>
          <w:lang w:val="fr-FR"/>
        </w:rPr>
        <w:t xml:space="preserve">ministratives, </w:t>
      </w:r>
      <w:r w:rsidRPr="009F68A7">
        <w:rPr>
          <w:lang w:val="fr-FR"/>
        </w:rPr>
        <w:t xml:space="preserve">les </w:t>
      </w:r>
      <w:r w:rsidR="00923F4E" w:rsidRPr="009F68A7">
        <w:rPr>
          <w:lang w:val="fr-FR"/>
        </w:rPr>
        <w:t>zones</w:t>
      </w:r>
      <w:r w:rsidR="006269D4" w:rsidRPr="009F68A7">
        <w:rPr>
          <w:lang w:val="fr-FR"/>
        </w:rPr>
        <w:t xml:space="preserve"> de moyens de subsistance ou </w:t>
      </w:r>
      <w:r w:rsidRPr="009F68A7">
        <w:rPr>
          <w:lang w:val="fr-FR"/>
        </w:rPr>
        <w:t>les</w:t>
      </w:r>
      <w:r w:rsidR="00923F4E" w:rsidRPr="009F68A7">
        <w:rPr>
          <w:lang w:val="fr-FR"/>
        </w:rPr>
        <w:t xml:space="preserve"> limites similaires </w:t>
      </w:r>
      <w:r w:rsidRPr="009F68A7">
        <w:rPr>
          <w:lang w:val="fr-FR"/>
        </w:rPr>
        <w:t xml:space="preserve">qui seront ciblées par </w:t>
      </w:r>
      <w:r w:rsidR="006269D4" w:rsidRPr="009F68A7">
        <w:rPr>
          <w:lang w:val="fr-FR"/>
        </w:rPr>
        <w:t>l’</w:t>
      </w:r>
      <w:r w:rsidR="00923F4E" w:rsidRPr="009F68A7">
        <w:rPr>
          <w:lang w:val="fr-FR"/>
        </w:rPr>
        <w:t xml:space="preserve">intervention d’urgence. </w:t>
      </w:r>
      <w:r w:rsidR="006269D4" w:rsidRPr="009F68A7">
        <w:rPr>
          <w:lang w:val="fr-FR"/>
        </w:rPr>
        <w:t>C</w:t>
      </w:r>
      <w:r w:rsidR="00923F4E" w:rsidRPr="009F68A7">
        <w:rPr>
          <w:lang w:val="fr-FR"/>
        </w:rPr>
        <w:t>es éléments</w:t>
      </w:r>
      <w:r w:rsidR="006269D4" w:rsidRPr="009F68A7">
        <w:rPr>
          <w:lang w:val="fr-FR"/>
        </w:rPr>
        <w:t xml:space="preserve"> auront été </w:t>
      </w:r>
      <w:r w:rsidR="00F56E22" w:rsidRPr="009F68A7">
        <w:rPr>
          <w:lang w:val="fr-FR"/>
        </w:rPr>
        <w:t>identifiés</w:t>
      </w:r>
      <w:r w:rsidR="00923F4E" w:rsidRPr="009F68A7">
        <w:rPr>
          <w:lang w:val="fr-FR"/>
        </w:rPr>
        <w:t xml:space="preserve"> lors de la planification de l’évaluation prévue </w:t>
      </w:r>
      <w:r w:rsidRPr="009F68A7">
        <w:rPr>
          <w:lang w:val="fr-FR"/>
        </w:rPr>
        <w:t>a</w:t>
      </w:r>
      <w:r w:rsidR="00923F4E" w:rsidRPr="009F68A7">
        <w:rPr>
          <w:lang w:val="fr-FR"/>
        </w:rPr>
        <w:t xml:space="preserve">u module 2. Les </w:t>
      </w:r>
      <w:r w:rsidR="006269D4" w:rsidRPr="009F68A7">
        <w:rPr>
          <w:lang w:val="fr-FR"/>
        </w:rPr>
        <w:t xml:space="preserve">zones </w:t>
      </w:r>
      <w:r w:rsidR="00923F4E" w:rsidRPr="009F68A7">
        <w:rPr>
          <w:lang w:val="fr-FR"/>
        </w:rPr>
        <w:t>géographiques touchée</w:t>
      </w:r>
      <w:r w:rsidR="002B0F93" w:rsidRPr="009F68A7">
        <w:rPr>
          <w:lang w:val="fr-FR"/>
        </w:rPr>
        <w:t>s</w:t>
      </w:r>
      <w:r w:rsidR="00923F4E" w:rsidRPr="009F68A7">
        <w:rPr>
          <w:lang w:val="fr-FR"/>
        </w:rPr>
        <w:t xml:space="preserve"> par une catastrophe sont </w:t>
      </w:r>
      <w:r w:rsidRPr="009F68A7">
        <w:rPr>
          <w:lang w:val="fr-FR"/>
        </w:rPr>
        <w:t>recensées</w:t>
      </w:r>
      <w:r w:rsidR="00923F4E" w:rsidRPr="009F68A7">
        <w:rPr>
          <w:lang w:val="fr-FR"/>
        </w:rPr>
        <w:t xml:space="preserve"> principalement </w:t>
      </w:r>
      <w:r w:rsidRPr="009F68A7">
        <w:rPr>
          <w:lang w:val="fr-FR"/>
        </w:rPr>
        <w:t>par le biais de</w:t>
      </w:r>
      <w:r w:rsidR="00923F4E" w:rsidRPr="009F68A7">
        <w:rPr>
          <w:lang w:val="fr-FR"/>
        </w:rPr>
        <w:t xml:space="preserve"> la collecte de données et d’informations secondaires sur </w:t>
      </w:r>
      <w:r w:rsidR="006207F7" w:rsidRPr="009F68A7">
        <w:rPr>
          <w:lang w:val="fr-FR"/>
        </w:rPr>
        <w:t>l</w:t>
      </w:r>
      <w:r w:rsidR="002B0F93" w:rsidRPr="009F68A7">
        <w:rPr>
          <w:lang w:val="fr-FR"/>
        </w:rPr>
        <w:t>a localisation des</w:t>
      </w:r>
      <w:r w:rsidR="006207F7" w:rsidRPr="009F68A7">
        <w:rPr>
          <w:lang w:val="fr-FR"/>
        </w:rPr>
        <w:t xml:space="preserve"> </w:t>
      </w:r>
      <w:r w:rsidR="002B0F93" w:rsidRPr="009F68A7">
        <w:rPr>
          <w:lang w:val="fr-FR"/>
        </w:rPr>
        <w:t>populations touchées.</w:t>
      </w:r>
    </w:p>
    <w:tbl>
      <w:tblPr>
        <w:tblStyle w:val="TableGray"/>
        <w:tblW w:w="0" w:type="auto"/>
        <w:tblLook w:val="04A0" w:firstRow="1" w:lastRow="0" w:firstColumn="1" w:lastColumn="0" w:noHBand="0" w:noVBand="1"/>
      </w:tblPr>
      <w:tblGrid>
        <w:gridCol w:w="9848"/>
      </w:tblGrid>
      <w:tr w:rsidR="00EF63B5" w:rsidRPr="00CB4854" w:rsidTr="00EF63B5">
        <w:tc>
          <w:tcPr>
            <w:tcW w:w="9848" w:type="dxa"/>
          </w:tcPr>
          <w:p w:rsidR="00EF63B5" w:rsidRPr="009F68A7" w:rsidRDefault="002B0F93" w:rsidP="00F53DB1">
            <w:pPr>
              <w:spacing w:after="0"/>
              <w:rPr>
                <w:lang w:val="fr-FR"/>
              </w:rPr>
            </w:pPr>
            <w:r w:rsidRPr="009F68A7">
              <w:rPr>
                <w:lang w:val="fr-FR"/>
              </w:rPr>
              <w:t xml:space="preserve">La définition de la zone d’intervention sera fondée sur </w:t>
            </w:r>
            <w:r w:rsidRPr="009F68A7">
              <w:rPr>
                <w:b/>
                <w:lang w:val="fr-FR"/>
              </w:rPr>
              <w:t>les données collectées à la fois avant et après la catastrophe</w:t>
            </w:r>
            <w:r w:rsidRPr="009F68A7">
              <w:rPr>
                <w:lang w:val="fr-FR"/>
              </w:rPr>
              <w:t xml:space="preserve">. </w:t>
            </w:r>
            <w:r w:rsidR="00F53DB1" w:rsidRPr="009F68A7">
              <w:rPr>
                <w:lang w:val="fr-FR"/>
              </w:rPr>
              <w:t>Comme il est difficile</w:t>
            </w:r>
            <w:r w:rsidRPr="009F68A7">
              <w:rPr>
                <w:lang w:val="fr-FR"/>
              </w:rPr>
              <w:t xml:space="preserve">, </w:t>
            </w:r>
            <w:r w:rsidR="00F53DB1" w:rsidRPr="009F68A7">
              <w:rPr>
                <w:lang w:val="fr-FR"/>
              </w:rPr>
              <w:t>en cas de</w:t>
            </w:r>
            <w:r w:rsidRPr="009F68A7">
              <w:rPr>
                <w:lang w:val="fr-FR"/>
              </w:rPr>
              <w:t xml:space="preserve"> </w:t>
            </w:r>
            <w:r w:rsidR="0056103B" w:rsidRPr="009F68A7">
              <w:rPr>
                <w:lang w:val="fr-FR"/>
              </w:rPr>
              <w:t>catastrophe</w:t>
            </w:r>
            <w:r w:rsidRPr="009F68A7">
              <w:rPr>
                <w:lang w:val="fr-FR"/>
              </w:rPr>
              <w:t xml:space="preserve"> </w:t>
            </w:r>
            <w:r w:rsidR="00F53DB1" w:rsidRPr="009F68A7">
              <w:rPr>
                <w:lang w:val="fr-FR"/>
              </w:rPr>
              <w:t>soudaine</w:t>
            </w:r>
            <w:r w:rsidRPr="009F68A7">
              <w:rPr>
                <w:lang w:val="fr-FR"/>
              </w:rPr>
              <w:t xml:space="preserve">, d’obtenir des informations fiables, la définition de la zone d’intervention sera souvent fondée sur </w:t>
            </w:r>
            <w:r w:rsidRPr="009F68A7">
              <w:rPr>
                <w:b/>
                <w:lang w:val="fr-FR"/>
              </w:rPr>
              <w:t>l’expérience et la coordination</w:t>
            </w:r>
            <w:r w:rsidRPr="009F68A7">
              <w:rPr>
                <w:lang w:val="fr-FR"/>
              </w:rPr>
              <w:t>.</w:t>
            </w:r>
          </w:p>
        </w:tc>
      </w:tr>
    </w:tbl>
    <w:p w:rsidR="00717F76" w:rsidRPr="009F68A7" w:rsidRDefault="002B0F93" w:rsidP="00F53DB1">
      <w:pPr>
        <w:spacing w:before="240" w:after="240"/>
        <w:rPr>
          <w:lang w:val="fr-FR"/>
        </w:rPr>
      </w:pPr>
      <w:r w:rsidRPr="009F68A7">
        <w:rPr>
          <w:lang w:val="fr-FR"/>
        </w:rPr>
        <w:t xml:space="preserve">L’outil </w:t>
      </w:r>
      <w:r w:rsidR="00F53DB1" w:rsidRPr="009F68A7">
        <w:rPr>
          <w:lang w:val="fr-FR"/>
        </w:rPr>
        <w:t>relatif</w:t>
      </w:r>
      <w:r w:rsidRPr="009F68A7">
        <w:rPr>
          <w:lang w:val="fr-FR"/>
        </w:rPr>
        <w:t xml:space="preserve"> au ciblage géographique aborde de manière plus détaillée la définition des zones d’intervention.</w:t>
      </w:r>
    </w:p>
    <w:tbl>
      <w:tblPr>
        <w:tblStyle w:val="TableGray"/>
        <w:tblW w:w="0" w:type="auto"/>
        <w:tblLook w:val="04A0" w:firstRow="1" w:lastRow="0" w:firstColumn="1" w:lastColumn="0" w:noHBand="0" w:noVBand="1"/>
      </w:tblPr>
      <w:tblGrid>
        <w:gridCol w:w="9848"/>
      </w:tblGrid>
      <w:tr w:rsidR="00EF63B5" w:rsidRPr="00CB4854" w:rsidTr="00EF63B5">
        <w:tc>
          <w:tcPr>
            <w:tcW w:w="9848" w:type="dxa"/>
          </w:tcPr>
          <w:p w:rsidR="00EF63B5" w:rsidRPr="009F68A7" w:rsidRDefault="002B0F93" w:rsidP="00F53DB1">
            <w:pPr>
              <w:spacing w:after="0"/>
              <w:rPr>
                <w:lang w:val="fr-FR"/>
              </w:rPr>
            </w:pPr>
            <w:r w:rsidRPr="009F68A7">
              <w:rPr>
                <w:b/>
                <w:lang w:val="fr-FR"/>
              </w:rPr>
              <w:t xml:space="preserve">Le ciblage </w:t>
            </w:r>
            <w:r w:rsidR="0056103B" w:rsidRPr="009F68A7">
              <w:rPr>
                <w:b/>
                <w:lang w:val="fr-FR"/>
              </w:rPr>
              <w:t>en milieu urbain</w:t>
            </w:r>
            <w:r w:rsidRPr="009F68A7">
              <w:rPr>
                <w:b/>
                <w:lang w:val="fr-FR"/>
              </w:rPr>
              <w:t xml:space="preserve"> </w:t>
            </w:r>
            <w:r w:rsidRPr="009F68A7">
              <w:rPr>
                <w:lang w:val="fr-FR"/>
              </w:rPr>
              <w:t xml:space="preserve">peut se révéler complexe </w:t>
            </w:r>
            <w:r w:rsidR="00F53DB1" w:rsidRPr="009F68A7">
              <w:rPr>
                <w:lang w:val="fr-FR"/>
              </w:rPr>
              <w:t>du fait</w:t>
            </w:r>
            <w:r w:rsidRPr="009F68A7">
              <w:rPr>
                <w:lang w:val="fr-FR"/>
              </w:rPr>
              <w:t xml:space="preserve"> de la densité et de la mobilité de la population et de l’absence de cartes actualisées des </w:t>
            </w:r>
            <w:r w:rsidR="0056103B" w:rsidRPr="009F68A7">
              <w:rPr>
                <w:lang w:val="fr-FR"/>
              </w:rPr>
              <w:t>zones de peuplement</w:t>
            </w:r>
            <w:r w:rsidRPr="009F68A7">
              <w:rPr>
                <w:lang w:val="fr-FR"/>
              </w:rPr>
              <w:t xml:space="preserve"> informelles. Pour surmonter ces difficultés et </w:t>
            </w:r>
            <w:r w:rsidRPr="009F68A7">
              <w:rPr>
                <w:b/>
                <w:lang w:val="fr-FR"/>
              </w:rPr>
              <w:t xml:space="preserve">cibler </w:t>
            </w:r>
            <w:r w:rsidR="00F022EC" w:rsidRPr="009F68A7">
              <w:rPr>
                <w:b/>
                <w:lang w:val="fr-FR"/>
              </w:rPr>
              <w:t>les différentes</w:t>
            </w:r>
            <w:r w:rsidRPr="009F68A7">
              <w:rPr>
                <w:b/>
                <w:lang w:val="fr-FR"/>
              </w:rPr>
              <w:t xml:space="preserve"> vulnérabilités urbaines</w:t>
            </w:r>
            <w:r w:rsidRPr="009F68A7">
              <w:rPr>
                <w:lang w:val="fr-FR"/>
              </w:rPr>
              <w:t xml:space="preserve">, il est possible de « diviser » les villes en </w:t>
            </w:r>
            <w:r w:rsidR="00F022EC" w:rsidRPr="009F68A7">
              <w:rPr>
                <w:lang w:val="fr-FR"/>
              </w:rPr>
              <w:t xml:space="preserve">petits </w:t>
            </w:r>
            <w:r w:rsidR="00F53DB1" w:rsidRPr="009F68A7">
              <w:rPr>
                <w:lang w:val="fr-FR"/>
              </w:rPr>
              <w:t>quartiers</w:t>
            </w:r>
            <w:r w:rsidR="00F022EC" w:rsidRPr="009F68A7">
              <w:rPr>
                <w:lang w:val="fr-FR"/>
              </w:rPr>
              <w:t xml:space="preserve"> et groupes de rues (voir l’outil </w:t>
            </w:r>
            <w:r w:rsidR="00F53DB1" w:rsidRPr="009F68A7">
              <w:rPr>
                <w:lang w:val="fr-FR"/>
              </w:rPr>
              <w:t>relatif</w:t>
            </w:r>
            <w:r w:rsidR="00F022EC" w:rsidRPr="009F68A7">
              <w:rPr>
                <w:lang w:val="fr-FR"/>
              </w:rPr>
              <w:t xml:space="preserve"> à la cartographie des vulnérabilités urbaines).</w:t>
            </w:r>
          </w:p>
        </w:tc>
      </w:tr>
    </w:tbl>
    <w:p w:rsidR="003811DF" w:rsidRPr="009F68A7" w:rsidRDefault="0056103B" w:rsidP="000C3650">
      <w:pPr>
        <w:pStyle w:val="Heading3"/>
        <w:rPr>
          <w:lang w:val="fr-FR"/>
        </w:rPr>
      </w:pPr>
      <w:r w:rsidRPr="009F68A7">
        <w:rPr>
          <w:lang w:val="fr-FR"/>
        </w:rPr>
        <w:t>Distribution générale ou ciblée</w:t>
      </w:r>
    </w:p>
    <w:p w:rsidR="00E06BB1" w:rsidRPr="009F68A7" w:rsidRDefault="004D4A8A" w:rsidP="004D4A8A">
      <w:pPr>
        <w:rPr>
          <w:lang w:val="fr-FR"/>
        </w:rPr>
      </w:pPr>
      <w:r w:rsidRPr="009F68A7">
        <w:rPr>
          <w:lang w:val="fr-FR"/>
        </w:rPr>
        <w:t>Une fois que</w:t>
      </w:r>
      <w:r w:rsidR="00E06BB1" w:rsidRPr="009F68A7">
        <w:rPr>
          <w:lang w:val="fr-FR"/>
        </w:rPr>
        <w:t xml:space="preserve"> vous avez défini la </w:t>
      </w:r>
      <w:r w:rsidR="0056103B" w:rsidRPr="009F68A7">
        <w:rPr>
          <w:lang w:val="fr-FR"/>
        </w:rPr>
        <w:t>zone géographique d’intervention, vous dev</w:t>
      </w:r>
      <w:r w:rsidR="00E06BB1" w:rsidRPr="009F68A7">
        <w:rPr>
          <w:lang w:val="fr-FR"/>
        </w:rPr>
        <w:t>ez déterminer s’il convient d’opter pour une approche générale ciblant l’ensemble de</w:t>
      </w:r>
      <w:r w:rsidRPr="009F68A7">
        <w:rPr>
          <w:lang w:val="fr-FR"/>
        </w:rPr>
        <w:t>s membres de la communauté, auquel cas les distributions d’espèces couvriront l’ensemble de la population vivant dans la zone géographique concernée</w:t>
      </w:r>
      <w:r w:rsidR="00E06BB1" w:rsidRPr="009F68A7">
        <w:rPr>
          <w:lang w:val="fr-FR"/>
        </w:rPr>
        <w:t xml:space="preserve">. </w:t>
      </w:r>
      <w:r w:rsidRPr="009F68A7">
        <w:rPr>
          <w:lang w:val="fr-FR"/>
        </w:rPr>
        <w:t xml:space="preserve">Cette approche est </w:t>
      </w:r>
      <w:r w:rsidR="00E06BB1" w:rsidRPr="009F68A7">
        <w:rPr>
          <w:lang w:val="fr-FR"/>
        </w:rPr>
        <w:t xml:space="preserve">particulièrement </w:t>
      </w:r>
      <w:r w:rsidRPr="009F68A7">
        <w:rPr>
          <w:lang w:val="fr-FR"/>
        </w:rPr>
        <w:t xml:space="preserve">efficace pour répondre aux </w:t>
      </w:r>
      <w:r w:rsidR="00E06BB1" w:rsidRPr="009F68A7">
        <w:rPr>
          <w:lang w:val="fr-FR"/>
        </w:rPr>
        <w:t xml:space="preserve">besoins immédiats des individus à la suite d’une catastrophe </w:t>
      </w:r>
      <w:r w:rsidRPr="009F68A7">
        <w:rPr>
          <w:lang w:val="fr-FR"/>
        </w:rPr>
        <w:t>soudaine</w:t>
      </w:r>
      <w:r w:rsidR="00E06BB1" w:rsidRPr="009F68A7">
        <w:rPr>
          <w:lang w:val="fr-FR"/>
        </w:rPr>
        <w:t xml:space="preserve"> ou lorsque </w:t>
      </w:r>
      <w:r w:rsidRPr="009F68A7">
        <w:rPr>
          <w:lang w:val="fr-FR"/>
        </w:rPr>
        <w:t xml:space="preserve">des problèmes de sécurité entravent </w:t>
      </w:r>
      <w:r w:rsidR="00E06BB1" w:rsidRPr="009F68A7">
        <w:rPr>
          <w:lang w:val="fr-FR"/>
        </w:rPr>
        <w:t xml:space="preserve">l’accès à la population </w:t>
      </w:r>
      <w:r w:rsidR="0056103B" w:rsidRPr="009F68A7">
        <w:rPr>
          <w:lang w:val="fr-FR"/>
        </w:rPr>
        <w:t xml:space="preserve">et que les marchés sont </w:t>
      </w:r>
      <w:r w:rsidRPr="009F68A7">
        <w:rPr>
          <w:lang w:val="fr-FR"/>
        </w:rPr>
        <w:t>en mesure</w:t>
      </w:r>
      <w:r w:rsidR="00E06BB1" w:rsidRPr="009F68A7">
        <w:rPr>
          <w:lang w:val="fr-FR"/>
        </w:rPr>
        <w:t xml:space="preserve"> de répondre à la demande </w:t>
      </w:r>
      <w:r w:rsidRPr="009F68A7">
        <w:rPr>
          <w:lang w:val="fr-FR"/>
        </w:rPr>
        <w:t>en</w:t>
      </w:r>
      <w:r w:rsidR="00E06BB1" w:rsidRPr="009F68A7">
        <w:rPr>
          <w:lang w:val="fr-FR"/>
        </w:rPr>
        <w:t xml:space="preserve"> biens et/ou </w:t>
      </w:r>
      <w:r w:rsidRPr="009F68A7">
        <w:rPr>
          <w:lang w:val="fr-FR"/>
        </w:rPr>
        <w:t>en</w:t>
      </w:r>
      <w:r w:rsidR="00E06BB1" w:rsidRPr="009F68A7">
        <w:rPr>
          <w:lang w:val="fr-FR"/>
        </w:rPr>
        <w:t xml:space="preserve"> services. La distribution générale permet d’accélérer la mise en place de l’intervention et de satisfaire</w:t>
      </w:r>
      <w:r w:rsidR="00F56E22" w:rsidRPr="009F68A7">
        <w:rPr>
          <w:lang w:val="fr-FR"/>
        </w:rPr>
        <w:t xml:space="preserve"> </w:t>
      </w:r>
      <w:r w:rsidRPr="009F68A7">
        <w:rPr>
          <w:lang w:val="fr-FR"/>
        </w:rPr>
        <w:t>aux</w:t>
      </w:r>
      <w:r w:rsidR="00F56E22" w:rsidRPr="009F68A7">
        <w:rPr>
          <w:lang w:val="fr-FR"/>
        </w:rPr>
        <w:t xml:space="preserve"> besoins nutritionnels et</w:t>
      </w:r>
      <w:r w:rsidR="00E06BB1" w:rsidRPr="009F68A7">
        <w:rPr>
          <w:lang w:val="fr-FR"/>
        </w:rPr>
        <w:t xml:space="preserve"> </w:t>
      </w:r>
      <w:r w:rsidRPr="009F68A7">
        <w:rPr>
          <w:lang w:val="fr-FR"/>
        </w:rPr>
        <w:t>aux</w:t>
      </w:r>
      <w:r w:rsidR="00E06BB1" w:rsidRPr="009F68A7">
        <w:rPr>
          <w:lang w:val="fr-FR"/>
        </w:rPr>
        <w:t xml:space="preserve"> besoins liés au logemen</w:t>
      </w:r>
      <w:r w:rsidR="00292CF0" w:rsidRPr="009F68A7">
        <w:rPr>
          <w:lang w:val="fr-FR"/>
        </w:rPr>
        <w:t xml:space="preserve">t, à la sécurité alimentaire, à l’eau, </w:t>
      </w:r>
      <w:r w:rsidR="00F56E22" w:rsidRPr="009F68A7">
        <w:rPr>
          <w:lang w:val="fr-FR"/>
        </w:rPr>
        <w:t xml:space="preserve">à </w:t>
      </w:r>
      <w:r w:rsidR="00292CF0" w:rsidRPr="009F68A7">
        <w:rPr>
          <w:lang w:val="fr-FR"/>
        </w:rPr>
        <w:t>l’assainissement et</w:t>
      </w:r>
      <w:r w:rsidR="00F56E22" w:rsidRPr="009F68A7">
        <w:rPr>
          <w:lang w:val="fr-FR"/>
        </w:rPr>
        <w:t xml:space="preserve"> à</w:t>
      </w:r>
      <w:r w:rsidR="00292CF0" w:rsidRPr="009F68A7">
        <w:rPr>
          <w:lang w:val="fr-FR"/>
        </w:rPr>
        <w:t xml:space="preserve"> l’hygiène</w:t>
      </w:r>
      <w:r w:rsidR="00E06BB1" w:rsidRPr="009F68A7">
        <w:rPr>
          <w:lang w:val="fr-FR"/>
        </w:rPr>
        <w:t xml:space="preserve">. Elle est adaptée </w:t>
      </w:r>
      <w:r w:rsidR="00292CF0" w:rsidRPr="009F68A7">
        <w:rPr>
          <w:lang w:val="fr-FR"/>
        </w:rPr>
        <w:t>tant aux versements uniques qu’</w:t>
      </w:r>
      <w:r w:rsidR="005218CC" w:rsidRPr="009F68A7">
        <w:rPr>
          <w:lang w:val="fr-FR"/>
        </w:rPr>
        <w:t xml:space="preserve">aux versements </w:t>
      </w:r>
      <w:r w:rsidR="00292CF0" w:rsidRPr="009F68A7">
        <w:rPr>
          <w:lang w:val="fr-FR"/>
        </w:rPr>
        <w:t>multiples</w:t>
      </w:r>
      <w:r w:rsidR="005218CC" w:rsidRPr="009F68A7">
        <w:rPr>
          <w:lang w:val="fr-FR"/>
        </w:rPr>
        <w:t>.</w:t>
      </w:r>
    </w:p>
    <w:p w:rsidR="005218CC" w:rsidRPr="009F68A7" w:rsidRDefault="00292CF0" w:rsidP="004D4A8A">
      <w:pPr>
        <w:rPr>
          <w:lang w:val="fr-FR"/>
        </w:rPr>
      </w:pPr>
      <w:r w:rsidRPr="009F68A7">
        <w:rPr>
          <w:lang w:val="fr-FR"/>
        </w:rPr>
        <w:t xml:space="preserve">Le ciblage géographique est complété par </w:t>
      </w:r>
      <w:r w:rsidR="005218CC" w:rsidRPr="009F68A7">
        <w:rPr>
          <w:lang w:val="fr-FR"/>
        </w:rPr>
        <w:t>le ciblage des ménages/</w:t>
      </w:r>
      <w:r w:rsidR="00F56E22" w:rsidRPr="009F68A7">
        <w:rPr>
          <w:lang w:val="fr-FR"/>
        </w:rPr>
        <w:t xml:space="preserve">des </w:t>
      </w:r>
      <w:r w:rsidR="005218CC" w:rsidRPr="009F68A7">
        <w:rPr>
          <w:lang w:val="fr-FR"/>
        </w:rPr>
        <w:t xml:space="preserve">individus, </w:t>
      </w:r>
      <w:r w:rsidR="004D4A8A" w:rsidRPr="009F68A7">
        <w:rPr>
          <w:lang w:val="fr-FR"/>
        </w:rPr>
        <w:t>lequel nécessite de définir des</w:t>
      </w:r>
      <w:r w:rsidR="005218CC" w:rsidRPr="009F68A7">
        <w:rPr>
          <w:lang w:val="fr-FR"/>
        </w:rPr>
        <w:t xml:space="preserve"> critères de ciblage.</w:t>
      </w:r>
    </w:p>
    <w:p w:rsidR="000C3650" w:rsidRPr="009F68A7" w:rsidRDefault="002F6D4F" w:rsidP="000C3650">
      <w:pPr>
        <w:pStyle w:val="Heading3"/>
        <w:rPr>
          <w:bCs/>
          <w:color w:val="000000"/>
          <w:lang w:val="fr-FR"/>
        </w:rPr>
      </w:pPr>
      <w:r w:rsidRPr="009F68A7">
        <w:rPr>
          <w:lang w:val="fr-FR"/>
        </w:rPr>
        <w:t>Ciblage des ménages</w:t>
      </w:r>
    </w:p>
    <w:p w:rsidR="005218CC" w:rsidRPr="009F68A7" w:rsidRDefault="005218CC" w:rsidP="00C072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fr-FR"/>
        </w:rPr>
      </w:pPr>
      <w:r w:rsidRPr="009F68A7">
        <w:rPr>
          <w:b/>
          <w:lang w:val="fr-FR"/>
        </w:rPr>
        <w:t xml:space="preserve">La </w:t>
      </w:r>
      <w:r w:rsidR="004F04D8" w:rsidRPr="009F68A7">
        <w:rPr>
          <w:b/>
          <w:lang w:val="fr-FR"/>
        </w:rPr>
        <w:t>première étape</w:t>
      </w:r>
      <w:r w:rsidRPr="009F68A7">
        <w:rPr>
          <w:b/>
          <w:lang w:val="fr-FR"/>
        </w:rPr>
        <w:t xml:space="preserve"> consiste à détermin</w:t>
      </w:r>
      <w:r w:rsidR="00292CF0" w:rsidRPr="009F68A7">
        <w:rPr>
          <w:b/>
          <w:lang w:val="fr-FR"/>
        </w:rPr>
        <w:t>er si les transferts doivent cibl</w:t>
      </w:r>
      <w:r w:rsidRPr="009F68A7">
        <w:rPr>
          <w:b/>
          <w:lang w:val="fr-FR"/>
        </w:rPr>
        <w:t xml:space="preserve">er les ménages ou les individus. </w:t>
      </w:r>
      <w:r w:rsidRPr="009F68A7">
        <w:rPr>
          <w:lang w:val="fr-FR"/>
        </w:rPr>
        <w:t>La réponse à cette question dépendra de l’</w:t>
      </w:r>
      <w:r w:rsidR="00292CF0" w:rsidRPr="009F68A7">
        <w:rPr>
          <w:lang w:val="fr-FR"/>
        </w:rPr>
        <w:t>objectif de l’intervention. En règle générale</w:t>
      </w:r>
      <w:r w:rsidRPr="009F68A7">
        <w:rPr>
          <w:lang w:val="fr-FR"/>
        </w:rPr>
        <w:t xml:space="preserve">, si l’objectif est de satisfaire </w:t>
      </w:r>
      <w:r w:rsidR="00152681" w:rsidRPr="009F68A7">
        <w:rPr>
          <w:lang w:val="fr-FR"/>
        </w:rPr>
        <w:t>aux</w:t>
      </w:r>
      <w:r w:rsidRPr="009F68A7">
        <w:rPr>
          <w:lang w:val="fr-FR"/>
        </w:rPr>
        <w:t xml:space="preserve"> besoins </w:t>
      </w:r>
      <w:r w:rsidR="00152681" w:rsidRPr="009F68A7">
        <w:rPr>
          <w:lang w:val="fr-FR"/>
        </w:rPr>
        <w:t>essentiels</w:t>
      </w:r>
      <w:r w:rsidRPr="009F68A7">
        <w:rPr>
          <w:lang w:val="fr-FR"/>
        </w:rPr>
        <w:t xml:space="preserve"> des ménages</w:t>
      </w:r>
      <w:r w:rsidR="00152681" w:rsidRPr="009F68A7">
        <w:rPr>
          <w:lang w:val="fr-FR"/>
        </w:rPr>
        <w:t xml:space="preserve"> (coût d’un panier de provisions de base)</w:t>
      </w:r>
      <w:r w:rsidRPr="009F68A7">
        <w:rPr>
          <w:lang w:val="fr-FR"/>
        </w:rPr>
        <w:t>, il est pr</w:t>
      </w:r>
      <w:r w:rsidR="00152681" w:rsidRPr="009F68A7">
        <w:rPr>
          <w:lang w:val="fr-FR"/>
        </w:rPr>
        <w:t>éférable de cibler les ménages. L</w:t>
      </w:r>
      <w:r w:rsidRPr="009F68A7">
        <w:rPr>
          <w:lang w:val="fr-FR"/>
        </w:rPr>
        <w:t xml:space="preserve">a même règle s’applique </w:t>
      </w:r>
      <w:r w:rsidR="00152681" w:rsidRPr="009F68A7">
        <w:rPr>
          <w:lang w:val="fr-FR"/>
        </w:rPr>
        <w:t>aux</w:t>
      </w:r>
      <w:r w:rsidRPr="009F68A7">
        <w:rPr>
          <w:lang w:val="fr-FR"/>
        </w:rPr>
        <w:t xml:space="preserve"> </w:t>
      </w:r>
      <w:r w:rsidR="00C0724E">
        <w:rPr>
          <w:lang w:val="fr-FR"/>
        </w:rPr>
        <w:t xml:space="preserve">interventions dans le secteur du logement prévoyant des </w:t>
      </w:r>
      <w:r w:rsidR="00152681" w:rsidRPr="009F68A7">
        <w:rPr>
          <w:lang w:val="fr-FR"/>
        </w:rPr>
        <w:t>transferts monétaires</w:t>
      </w:r>
      <w:r w:rsidRPr="009F68A7">
        <w:rPr>
          <w:lang w:val="fr-FR"/>
        </w:rPr>
        <w:t xml:space="preserve">. Si l’objectif est de soutenir le relèvement et les moyens de subsistance ou d’améliorer </w:t>
      </w:r>
      <w:r w:rsidR="00292CF0" w:rsidRPr="009F68A7">
        <w:rPr>
          <w:lang w:val="fr-FR"/>
        </w:rPr>
        <w:t>les soins de santé et le soutien nutritionnel</w:t>
      </w:r>
      <w:r w:rsidR="00F7644C" w:rsidRPr="009F68A7">
        <w:rPr>
          <w:lang w:val="fr-FR"/>
        </w:rPr>
        <w:t xml:space="preserve"> </w:t>
      </w:r>
      <w:r w:rsidR="00F56E22" w:rsidRPr="009F68A7">
        <w:rPr>
          <w:lang w:val="fr-FR"/>
        </w:rPr>
        <w:t xml:space="preserve">fournis </w:t>
      </w:r>
      <w:r w:rsidR="00F7644C" w:rsidRPr="009F68A7">
        <w:rPr>
          <w:lang w:val="fr-FR"/>
        </w:rPr>
        <w:t>aux</w:t>
      </w:r>
      <w:r w:rsidRPr="009F68A7">
        <w:rPr>
          <w:lang w:val="fr-FR"/>
        </w:rPr>
        <w:t xml:space="preserve"> groupes vulnérables, il est préférable de cibler les individus.</w:t>
      </w:r>
    </w:p>
    <w:p w:rsidR="004F04D8" w:rsidRPr="009F68A7" w:rsidRDefault="004F04D8" w:rsidP="006E7139">
      <w:pPr>
        <w:rPr>
          <w:lang w:val="fr-FR"/>
        </w:rPr>
      </w:pPr>
      <w:r w:rsidRPr="009F68A7">
        <w:rPr>
          <w:lang w:val="fr-FR"/>
        </w:rPr>
        <w:t>C</w:t>
      </w:r>
      <w:r w:rsidR="0002480F" w:rsidRPr="009F68A7">
        <w:rPr>
          <w:lang w:val="fr-FR"/>
        </w:rPr>
        <w:t xml:space="preserve">ertains types d’intervention (par </w:t>
      </w:r>
      <w:r w:rsidRPr="009F68A7">
        <w:rPr>
          <w:lang w:val="fr-FR"/>
        </w:rPr>
        <w:t xml:space="preserve">ex. dans le </w:t>
      </w:r>
      <w:r w:rsidR="00F7644C" w:rsidRPr="009F68A7">
        <w:rPr>
          <w:lang w:val="fr-FR"/>
        </w:rPr>
        <w:t>secteur</w:t>
      </w:r>
      <w:r w:rsidRPr="009F68A7">
        <w:rPr>
          <w:lang w:val="fr-FR"/>
        </w:rPr>
        <w:t xml:space="preserve"> du logement ou de l’eau) cibleront des communautés entières.</w:t>
      </w:r>
    </w:p>
    <w:p w:rsidR="004F04D8" w:rsidRPr="009F68A7" w:rsidRDefault="004F04D8" w:rsidP="0002480F">
      <w:pPr>
        <w:rPr>
          <w:lang w:val="fr-FR"/>
        </w:rPr>
      </w:pPr>
      <w:r w:rsidRPr="009F68A7">
        <w:rPr>
          <w:b/>
          <w:lang w:val="fr-FR"/>
        </w:rPr>
        <w:t>La deuxième étape consiste à définir des critères de ciblage.</w:t>
      </w:r>
      <w:r w:rsidRPr="009F68A7">
        <w:rPr>
          <w:lang w:val="fr-FR"/>
        </w:rPr>
        <w:t xml:space="preserve"> En règle générale, les critères de ciblage des ménages et des individus sont fondés sur les indicateurs de vulnérabilité ; ils peuvent être liés au contexte, au statut social ou à des groupes vulnérables </w:t>
      </w:r>
      <w:r w:rsidR="009D46F3" w:rsidRPr="009F68A7">
        <w:rPr>
          <w:lang w:val="fr-FR"/>
        </w:rPr>
        <w:t>spécifique</w:t>
      </w:r>
      <w:r w:rsidRPr="009F68A7">
        <w:rPr>
          <w:lang w:val="fr-FR"/>
        </w:rPr>
        <w:t xml:space="preserve">s. L’outil </w:t>
      </w:r>
      <w:r w:rsidR="0002480F" w:rsidRPr="009F68A7">
        <w:rPr>
          <w:lang w:val="fr-FR"/>
        </w:rPr>
        <w:t>relatif</w:t>
      </w:r>
      <w:r w:rsidR="009D46F3" w:rsidRPr="009F68A7">
        <w:rPr>
          <w:lang w:val="fr-FR"/>
        </w:rPr>
        <w:t xml:space="preserve"> aux</w:t>
      </w:r>
      <w:r w:rsidR="00544218" w:rsidRPr="009F68A7">
        <w:rPr>
          <w:lang w:val="fr-FR"/>
        </w:rPr>
        <w:t xml:space="preserve"> critères de ciblage indique comment définir </w:t>
      </w:r>
      <w:r w:rsidRPr="009F68A7">
        <w:rPr>
          <w:lang w:val="fr-FR"/>
        </w:rPr>
        <w:t>des critères de ciblage appropriés et fournit des exemples de critères fréquemment utilisés.</w:t>
      </w:r>
    </w:p>
    <w:p w:rsidR="00717F76" w:rsidRPr="009F68A7" w:rsidRDefault="004F04D8" w:rsidP="0002480F">
      <w:pPr>
        <w:rPr>
          <w:lang w:val="fr-FR"/>
        </w:rPr>
      </w:pPr>
      <w:r w:rsidRPr="009F68A7">
        <w:rPr>
          <w:b/>
          <w:lang w:val="fr-FR"/>
        </w:rPr>
        <w:t xml:space="preserve">La troisième étape consiste à définir le mécanisme de ciblage. </w:t>
      </w:r>
      <w:r w:rsidRPr="009F68A7">
        <w:rPr>
          <w:lang w:val="fr-FR"/>
        </w:rPr>
        <w:t xml:space="preserve">Les mécanismes les plus utilisés sont le ciblage communautaire, l’auto-ciblage et le ciblage par catégorie. </w:t>
      </w:r>
      <w:r w:rsidR="00DE3CAB" w:rsidRPr="009F68A7">
        <w:rPr>
          <w:lang w:val="fr-FR"/>
        </w:rPr>
        <w:t>Chaque mécanisme</w:t>
      </w:r>
      <w:r w:rsidRPr="009F68A7">
        <w:rPr>
          <w:lang w:val="fr-FR"/>
        </w:rPr>
        <w:t xml:space="preserve"> </w:t>
      </w:r>
      <w:r w:rsidR="00DE3CAB" w:rsidRPr="009F68A7">
        <w:rPr>
          <w:lang w:val="fr-FR"/>
        </w:rPr>
        <w:t>comporte des</w:t>
      </w:r>
      <w:r w:rsidRPr="009F68A7">
        <w:rPr>
          <w:lang w:val="fr-FR"/>
        </w:rPr>
        <w:t xml:space="preserve"> </w:t>
      </w:r>
      <w:r w:rsidR="00DE3CAB" w:rsidRPr="009F68A7">
        <w:rPr>
          <w:lang w:val="fr-FR"/>
        </w:rPr>
        <w:t>avantages et de</w:t>
      </w:r>
      <w:r w:rsidRPr="009F68A7">
        <w:rPr>
          <w:lang w:val="fr-FR"/>
        </w:rPr>
        <w:t xml:space="preserve">s inconvénients ; votre </w:t>
      </w:r>
      <w:r w:rsidR="00DE3CAB" w:rsidRPr="009F68A7">
        <w:rPr>
          <w:lang w:val="fr-FR"/>
        </w:rPr>
        <w:t>choix</w:t>
      </w:r>
      <w:r w:rsidRPr="009F68A7">
        <w:rPr>
          <w:lang w:val="fr-FR"/>
        </w:rPr>
        <w:t xml:space="preserve"> </w:t>
      </w:r>
      <w:r w:rsidR="0002480F" w:rsidRPr="009F68A7">
        <w:rPr>
          <w:lang w:val="fr-FR"/>
        </w:rPr>
        <w:t>résultera vraisemblablement d’</w:t>
      </w:r>
      <w:r w:rsidRPr="009F68A7">
        <w:rPr>
          <w:lang w:val="fr-FR"/>
        </w:rPr>
        <w:t xml:space="preserve">un compromis entre les coûts, la précision et la faisabilité de </w:t>
      </w:r>
      <w:r w:rsidR="0002480F" w:rsidRPr="009F68A7">
        <w:rPr>
          <w:lang w:val="fr-FR"/>
        </w:rPr>
        <w:t>chacun des mécanismes envisagés</w:t>
      </w:r>
      <w:r w:rsidRPr="009F68A7">
        <w:rPr>
          <w:lang w:val="fr-FR"/>
        </w:rPr>
        <w:t xml:space="preserve">. Vous devrez également déterminer quel mécanisme est le plus approprié en fonction de l’impact de la situation d’urgence et du type de programme prévu. L’outil </w:t>
      </w:r>
      <w:r w:rsidR="0002480F" w:rsidRPr="009F68A7">
        <w:rPr>
          <w:lang w:val="fr-FR"/>
        </w:rPr>
        <w:t>relatif</w:t>
      </w:r>
      <w:r w:rsidRPr="009F68A7">
        <w:rPr>
          <w:lang w:val="fr-FR"/>
        </w:rPr>
        <w:t xml:space="preserve"> au choix du mécanisme de ciblage vous fournira les éléments nécessaires pour </w:t>
      </w:r>
      <w:r w:rsidRPr="009F68A7">
        <w:rPr>
          <w:lang w:val="fr-FR"/>
        </w:rPr>
        <w:lastRenderedPageBreak/>
        <w:t xml:space="preserve">examiner les </w:t>
      </w:r>
      <w:r w:rsidR="00846AA1" w:rsidRPr="009F68A7">
        <w:rPr>
          <w:lang w:val="fr-FR"/>
        </w:rPr>
        <w:t xml:space="preserve">différentes </w:t>
      </w:r>
      <w:r w:rsidR="00DE3CAB" w:rsidRPr="009F68A7">
        <w:rPr>
          <w:lang w:val="fr-FR"/>
        </w:rPr>
        <w:t>possibilités</w:t>
      </w:r>
      <w:r w:rsidRPr="009F68A7">
        <w:rPr>
          <w:lang w:val="fr-FR"/>
        </w:rPr>
        <w:t xml:space="preserve"> et sélectionner le mécanisme</w:t>
      </w:r>
      <w:r w:rsidR="00DE3CAB" w:rsidRPr="009F68A7">
        <w:rPr>
          <w:lang w:val="fr-FR"/>
        </w:rPr>
        <w:t xml:space="preserve"> </w:t>
      </w:r>
      <w:r w:rsidRPr="009F68A7">
        <w:rPr>
          <w:lang w:val="fr-FR"/>
        </w:rPr>
        <w:t xml:space="preserve">approprié. </w:t>
      </w:r>
      <w:r w:rsidR="00386F26" w:rsidRPr="009F68A7">
        <w:rPr>
          <w:lang w:val="fr-FR"/>
        </w:rPr>
        <w:t>Il est important de noter que tout mécanisme devra être adapté aux spécificités du contexte.</w:t>
      </w:r>
    </w:p>
    <w:tbl>
      <w:tblPr>
        <w:tblStyle w:val="TableGray"/>
        <w:tblW w:w="0" w:type="auto"/>
        <w:tblInd w:w="142" w:type="dxa"/>
        <w:tblLook w:val="04A0" w:firstRow="1" w:lastRow="0" w:firstColumn="1" w:lastColumn="0" w:noHBand="0" w:noVBand="1"/>
      </w:tblPr>
      <w:tblGrid>
        <w:gridCol w:w="9639"/>
      </w:tblGrid>
      <w:tr w:rsidR="006E7139" w:rsidRPr="009F68A7" w:rsidTr="006E7139">
        <w:tc>
          <w:tcPr>
            <w:tcW w:w="9639" w:type="dxa"/>
          </w:tcPr>
          <w:p w:rsidR="006E7139" w:rsidRPr="009F68A7" w:rsidRDefault="006E7139" w:rsidP="006E7139">
            <w:pPr>
              <w:pStyle w:val="RefTitre"/>
              <w:keepNext/>
              <w:keepLines/>
              <w:rPr>
                <w:lang w:val="fr-FR" w:eastAsia="it-IT"/>
              </w:rPr>
            </w:pPr>
            <w:r w:rsidRPr="009F68A7">
              <w:rPr>
                <w:lang w:val="fr-FR" w:eastAsia="it-IT"/>
              </w:rPr>
              <w:t>DOCUMENTS</w:t>
            </w:r>
            <w:r w:rsidR="004E1822" w:rsidRPr="009F68A7">
              <w:rPr>
                <w:lang w:val="fr-FR" w:eastAsia="it-IT"/>
              </w:rPr>
              <w:t xml:space="preserve"> DE RÉFÉRENCE</w:t>
            </w:r>
          </w:p>
          <w:p w:rsidR="006E7139" w:rsidRPr="009F68A7" w:rsidRDefault="009432DB" w:rsidP="00225134">
            <w:pPr>
              <w:pStyle w:val="RefItem1"/>
              <w:keepNext/>
              <w:keepLines/>
              <w:rPr>
                <w:lang w:val="fr-FR"/>
              </w:rPr>
            </w:pPr>
            <w:r w:rsidRPr="009F68A7">
              <w:rPr>
                <w:lang w:val="fr-FR"/>
              </w:rPr>
              <w:t>Cross et</w:t>
            </w:r>
            <w:r w:rsidR="006E7139" w:rsidRPr="009F68A7">
              <w:rPr>
                <w:lang w:val="fr-FR"/>
              </w:rPr>
              <w:t xml:space="preserve"> Johnston (2012)</w:t>
            </w:r>
            <w:r w:rsidRPr="009F68A7">
              <w:rPr>
                <w:lang w:val="fr-FR"/>
              </w:rPr>
              <w:t>, Les transferts monétaires dans les situations d’urgence</w:t>
            </w:r>
            <w:r w:rsidR="0002480F" w:rsidRPr="009F68A7">
              <w:rPr>
                <w:lang w:val="fr-FR"/>
              </w:rPr>
              <w:t xml:space="preserve"> urbaine</w:t>
            </w:r>
            <w:r w:rsidRPr="009F68A7">
              <w:rPr>
                <w:lang w:val="fr-FR"/>
              </w:rPr>
              <w:t xml:space="preserve"> : boîte à outils </w:t>
            </w:r>
            <w:r w:rsidR="00D2763B" w:rsidRPr="009F68A7">
              <w:rPr>
                <w:lang w:val="fr-FR"/>
              </w:rPr>
              <w:t>destinée aux</w:t>
            </w:r>
            <w:r w:rsidR="0021187B" w:rsidRPr="009F68A7">
              <w:rPr>
                <w:lang w:val="fr-FR"/>
              </w:rPr>
              <w:t xml:space="preserve"> praticiens</w:t>
            </w:r>
            <w:r w:rsidRPr="009F68A7">
              <w:rPr>
                <w:lang w:val="fr-FR"/>
              </w:rPr>
              <w:t>, CaLP</w:t>
            </w:r>
            <w:r w:rsidR="006E7139" w:rsidRPr="009F68A7">
              <w:rPr>
                <w:lang w:val="fr-FR"/>
              </w:rPr>
              <w:t>.</w:t>
            </w:r>
            <w:r w:rsidR="00F56E22" w:rsidRPr="009F68A7">
              <w:rPr>
                <w:lang w:val="fr-FR"/>
              </w:rPr>
              <w:t xml:space="preserve"> </w:t>
            </w:r>
            <w:r w:rsidRPr="009F68A7">
              <w:rPr>
                <w:lang w:val="fr-FR"/>
              </w:rPr>
              <w:t>Thème</w:t>
            </w:r>
            <w:r w:rsidR="006E7139" w:rsidRPr="009F68A7">
              <w:rPr>
                <w:lang w:val="fr-FR"/>
              </w:rPr>
              <w:t xml:space="preserve"> 3</w:t>
            </w:r>
            <w:r w:rsidRPr="009F68A7">
              <w:rPr>
                <w:lang w:val="fr-FR"/>
              </w:rPr>
              <w:t> :</w:t>
            </w:r>
            <w:r w:rsidR="006E7139" w:rsidRPr="009F68A7">
              <w:rPr>
                <w:lang w:val="fr-FR"/>
              </w:rPr>
              <w:t xml:space="preserve"> </w:t>
            </w:r>
            <w:r w:rsidRPr="009F68A7">
              <w:rPr>
                <w:lang w:val="fr-FR"/>
              </w:rPr>
              <w:t xml:space="preserve">ciblage et </w:t>
            </w:r>
            <w:r w:rsidR="00225134" w:rsidRPr="009F68A7">
              <w:rPr>
                <w:lang w:val="fr-FR"/>
              </w:rPr>
              <w:t>contrôle dans les environnements urbains</w:t>
            </w:r>
            <w:r w:rsidR="006E7139" w:rsidRPr="009F68A7">
              <w:rPr>
                <w:lang w:val="fr-FR"/>
              </w:rPr>
              <w:t xml:space="preserve">. Pages </w:t>
            </w:r>
            <w:r w:rsidR="00225134" w:rsidRPr="009F68A7">
              <w:rPr>
                <w:lang w:val="fr-FR"/>
              </w:rPr>
              <w:t>56 à 65</w:t>
            </w:r>
            <w:r w:rsidRPr="009F68A7">
              <w:rPr>
                <w:lang w:val="fr-FR"/>
              </w:rPr>
              <w:t> :</w:t>
            </w:r>
            <w:r w:rsidR="00107B9E" w:rsidRPr="009F68A7">
              <w:rPr>
                <w:lang w:val="fr-FR"/>
              </w:rPr>
              <w:br/>
            </w:r>
            <w:hyperlink r:id="rId9" w:history="1">
              <w:r w:rsidR="00225134" w:rsidRPr="009F68A7">
                <w:rPr>
                  <w:rStyle w:val="Hyperlink"/>
                  <w:lang w:val="fr-FR"/>
                </w:rPr>
                <w:t>http://reliefweb.int/sites/reliefweb.int/files/resources/les-transferts-monetaires.pdf</w:t>
              </w:r>
            </w:hyperlink>
          </w:p>
          <w:p w:rsidR="006E7139" w:rsidRPr="009F68A7" w:rsidRDefault="009432DB" w:rsidP="00225134">
            <w:pPr>
              <w:pStyle w:val="RefItem1"/>
              <w:keepNext/>
              <w:keepLines/>
              <w:rPr>
                <w:lang w:val="fr-FR"/>
              </w:rPr>
            </w:pPr>
            <w:r w:rsidRPr="00CB4854">
              <w:rPr>
                <w:lang w:val="en-GB"/>
              </w:rPr>
              <w:t>MacAuslan et</w:t>
            </w:r>
            <w:r w:rsidR="006E7139" w:rsidRPr="00CB4854">
              <w:rPr>
                <w:lang w:val="en-GB"/>
              </w:rPr>
              <w:t xml:space="preserve"> Farhatt (2013)</w:t>
            </w:r>
            <w:r w:rsidRPr="00CB4854">
              <w:rPr>
                <w:lang w:val="en-GB"/>
              </w:rPr>
              <w:t xml:space="preserve">, </w:t>
            </w:r>
            <w:r w:rsidR="006E7139" w:rsidRPr="00CB4854">
              <w:rPr>
                <w:i/>
                <w:iCs/>
                <w:lang w:val="en-GB"/>
              </w:rPr>
              <w:t>Review of urban food security targeting met</w:t>
            </w:r>
            <w:r w:rsidR="00225134" w:rsidRPr="00CB4854">
              <w:rPr>
                <w:i/>
                <w:iCs/>
                <w:lang w:val="en-GB"/>
              </w:rPr>
              <w:t>hodology and emergency triggers</w:t>
            </w:r>
            <w:r w:rsidR="006E7139" w:rsidRPr="00CB4854">
              <w:rPr>
                <w:lang w:val="en-GB"/>
              </w:rPr>
              <w:t xml:space="preserve">. </w:t>
            </w:r>
            <w:r w:rsidR="006E7139" w:rsidRPr="009F68A7">
              <w:rPr>
                <w:lang w:val="fr-FR"/>
              </w:rPr>
              <w:t>O</w:t>
            </w:r>
            <w:r w:rsidR="005C5A63" w:rsidRPr="009F68A7">
              <w:rPr>
                <w:lang w:val="fr-FR"/>
              </w:rPr>
              <w:t xml:space="preserve">xford </w:t>
            </w:r>
            <w:r w:rsidR="006E7139" w:rsidRPr="009F68A7">
              <w:rPr>
                <w:lang w:val="fr-FR"/>
              </w:rPr>
              <w:t>P</w:t>
            </w:r>
            <w:r w:rsidR="005C5A63" w:rsidRPr="009F68A7">
              <w:rPr>
                <w:lang w:val="fr-FR"/>
              </w:rPr>
              <w:t xml:space="preserve">olicy </w:t>
            </w:r>
            <w:r w:rsidR="006E7139" w:rsidRPr="009F68A7">
              <w:rPr>
                <w:lang w:val="fr-FR"/>
              </w:rPr>
              <w:t>M</w:t>
            </w:r>
            <w:r w:rsidR="005C5A63" w:rsidRPr="009F68A7">
              <w:rPr>
                <w:lang w:val="fr-FR"/>
              </w:rPr>
              <w:t>anagement (en anglais) :</w:t>
            </w:r>
            <w:r w:rsidR="006E7139" w:rsidRPr="009F68A7">
              <w:rPr>
                <w:lang w:val="fr-FR"/>
              </w:rPr>
              <w:t xml:space="preserve"> </w:t>
            </w:r>
            <w:r w:rsidR="00107B9E" w:rsidRPr="009F68A7">
              <w:rPr>
                <w:lang w:val="fr-FR"/>
              </w:rPr>
              <w:br/>
            </w:r>
            <w:hyperlink r:id="rId10" w:history="1">
              <w:r w:rsidR="006E7139" w:rsidRPr="009F68A7">
                <w:rPr>
                  <w:rStyle w:val="Hyperlink"/>
                  <w:lang w:val="fr-FR"/>
                </w:rPr>
                <w:t>http://www.foodsecuritycluster.net/sites/default/files/Oxfam-ACF%20Urban%20food%20security%20targeting%20and%20triggers%202013-07-12%20final.pdf</w:t>
              </w:r>
            </w:hyperlink>
          </w:p>
          <w:p w:rsidR="006E7139" w:rsidRPr="00CB4854" w:rsidRDefault="006E7139" w:rsidP="00225134">
            <w:pPr>
              <w:pStyle w:val="RefItem1"/>
              <w:keepNext/>
              <w:keepLines/>
              <w:rPr>
                <w:b/>
                <w:bCs/>
                <w:sz w:val="22"/>
                <w:lang w:val="en-GB"/>
              </w:rPr>
            </w:pPr>
            <w:r w:rsidRPr="00CB4854">
              <w:rPr>
                <w:lang w:val="en-GB"/>
              </w:rPr>
              <w:t>A</w:t>
            </w:r>
            <w:r w:rsidR="00225134" w:rsidRPr="00CB4854">
              <w:rPr>
                <w:lang w:val="en-GB"/>
              </w:rPr>
              <w:t>ction contre la faim</w:t>
            </w:r>
            <w:r w:rsidRPr="00CB4854">
              <w:rPr>
                <w:lang w:val="en-GB"/>
              </w:rPr>
              <w:t xml:space="preserve"> (2010)</w:t>
            </w:r>
            <w:r w:rsidR="009432DB" w:rsidRPr="00CB4854">
              <w:rPr>
                <w:lang w:val="en-GB"/>
              </w:rPr>
              <w:t xml:space="preserve">, </w:t>
            </w:r>
            <w:r w:rsidRPr="00CB4854">
              <w:rPr>
                <w:i/>
                <w:iCs/>
                <w:lang w:val="en-GB"/>
              </w:rPr>
              <w:t>Identification of vulnerable people in urban environments: Assessment of sustainable liveli</w:t>
            </w:r>
            <w:r w:rsidR="00225134" w:rsidRPr="00CB4854">
              <w:rPr>
                <w:i/>
                <w:iCs/>
                <w:lang w:val="en-GB"/>
              </w:rPr>
              <w:t>hoods and urban vulnerabilities</w:t>
            </w:r>
            <w:r w:rsidR="009432DB" w:rsidRPr="00CB4854">
              <w:rPr>
                <w:lang w:val="en-GB"/>
              </w:rPr>
              <w:t xml:space="preserve"> (en anglais) :</w:t>
            </w:r>
            <w:r w:rsidR="00107B9E" w:rsidRPr="00CB4854">
              <w:rPr>
                <w:lang w:val="en-GB"/>
              </w:rPr>
              <w:br/>
            </w:r>
            <w:hyperlink r:id="rId11" w:history="1">
              <w:r w:rsidR="00F1610C" w:rsidRPr="00CB4854">
                <w:rPr>
                  <w:rStyle w:val="Hyperlink"/>
                  <w:lang w:val="en-GB"/>
                </w:rPr>
                <w:t>http://www.foodsecuritycluster.net/sites/default/files/ACF%20-Identificationof%20Vulnerable%20People%20inUrban%20Environments.pdf</w:t>
              </w:r>
            </w:hyperlink>
          </w:p>
        </w:tc>
      </w:tr>
    </w:tbl>
    <w:p w:rsidR="00781076" w:rsidRPr="00CB4854" w:rsidRDefault="00CB4854" w:rsidP="006E71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color w:val="000000"/>
          <w:sz w:val="22"/>
          <w:lang w:val="en-GB"/>
        </w:rPr>
      </w:pPr>
    </w:p>
    <w:sectPr w:rsidR="00781076" w:rsidRPr="00CB4854" w:rsidSect="009F6BBD">
      <w:headerReference w:type="default" r:id="rId12"/>
      <w:footerReference w:type="even" r:id="rId13"/>
      <w:footerReference w:type="default" r:id="rId14"/>
      <w:headerReference w:type="first" r:id="rId15"/>
      <w:footerReference w:type="first" r:id="rId16"/>
      <w:pgSz w:w="11900" w:h="16840"/>
      <w:pgMar w:top="1134" w:right="1134" w:bottom="1134" w:left="1134"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DD5" w:rsidRDefault="00602DD5" w:rsidP="00717F76">
      <w:r>
        <w:separator/>
      </w:r>
    </w:p>
  </w:endnote>
  <w:endnote w:type="continuationSeparator" w:id="0">
    <w:p w:rsidR="00602DD5" w:rsidRDefault="00602DD5" w:rsidP="00717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ecilia-Light">
    <w:altName w:val="Caecilia Ligh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Bold">
    <w:altName w:val="Arial"/>
    <w:panose1 w:val="020B0704020202020204"/>
    <w:charset w:val="00"/>
    <w:family w:val="auto"/>
    <w:pitch w:val="variable"/>
    <w:sig w:usb0="00000000"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F76" w:rsidRDefault="008436B8" w:rsidP="00717F76">
    <w:pPr>
      <w:pStyle w:val="Footer"/>
      <w:framePr w:wrap="around" w:vAnchor="text" w:hAnchor="margin" w:xAlign="right" w:y="1"/>
      <w:rPr>
        <w:rStyle w:val="PageNumber"/>
      </w:rPr>
    </w:pPr>
    <w:r>
      <w:rPr>
        <w:rStyle w:val="PageNumber"/>
      </w:rPr>
      <w:fldChar w:fldCharType="begin"/>
    </w:r>
    <w:r w:rsidR="00D45F50">
      <w:rPr>
        <w:rStyle w:val="PageNumber"/>
      </w:rPr>
      <w:instrText xml:space="preserve">PAGE  </w:instrText>
    </w:r>
    <w:r>
      <w:rPr>
        <w:rStyle w:val="PageNumber"/>
      </w:rPr>
      <w:fldChar w:fldCharType="end"/>
    </w:r>
  </w:p>
  <w:p w:rsidR="00717F76" w:rsidRDefault="00CB4854" w:rsidP="00717F7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BBD" w:rsidRPr="00B45C74" w:rsidRDefault="008436B8" w:rsidP="00B45C74">
    <w:pPr>
      <w:framePr w:wrap="around" w:vAnchor="text" w:hAnchor="margin" w:xAlign="right" w:y="1"/>
      <w:tabs>
        <w:tab w:val="center" w:pos="4320"/>
        <w:tab w:val="right" w:pos="8640"/>
      </w:tabs>
      <w:spacing w:after="0"/>
      <w:rPr>
        <w:b/>
        <w:color w:val="808080" w:themeColor="background1" w:themeShade="80"/>
        <w:sz w:val="18"/>
        <w:szCs w:val="18"/>
      </w:rPr>
    </w:pPr>
    <w:r w:rsidRPr="00B45C74">
      <w:rPr>
        <w:b/>
        <w:color w:val="808080" w:themeColor="background1" w:themeShade="80"/>
        <w:sz w:val="18"/>
        <w:szCs w:val="18"/>
      </w:rPr>
      <w:fldChar w:fldCharType="begin"/>
    </w:r>
    <w:r w:rsidR="009F6BBD" w:rsidRPr="00B45C74">
      <w:rPr>
        <w:b/>
        <w:color w:val="808080" w:themeColor="background1" w:themeShade="80"/>
        <w:sz w:val="18"/>
        <w:szCs w:val="18"/>
      </w:rPr>
      <w:instrText xml:space="preserve">PAGE  </w:instrText>
    </w:r>
    <w:r w:rsidRPr="00B45C74">
      <w:rPr>
        <w:b/>
        <w:color w:val="808080" w:themeColor="background1" w:themeShade="80"/>
        <w:sz w:val="18"/>
        <w:szCs w:val="18"/>
      </w:rPr>
      <w:fldChar w:fldCharType="separate"/>
    </w:r>
    <w:r w:rsidR="00CB4854">
      <w:rPr>
        <w:b/>
        <w:noProof/>
        <w:color w:val="808080" w:themeColor="background1" w:themeShade="80"/>
        <w:sz w:val="18"/>
        <w:szCs w:val="18"/>
      </w:rPr>
      <w:t>3</w:t>
    </w:r>
    <w:r w:rsidRPr="00B45C74">
      <w:rPr>
        <w:b/>
        <w:color w:val="808080" w:themeColor="background1" w:themeShade="80"/>
        <w:sz w:val="18"/>
        <w:szCs w:val="18"/>
      </w:rPr>
      <w:fldChar w:fldCharType="end"/>
    </w:r>
  </w:p>
  <w:p w:rsidR="00EF63B5" w:rsidRPr="004E1822" w:rsidRDefault="00EF63B5" w:rsidP="00EF63B5">
    <w:pPr>
      <w:pStyle w:val="Footer"/>
      <w:rPr>
        <w:b/>
        <w:lang w:val="fr-FR"/>
      </w:rPr>
    </w:pPr>
    <w:r w:rsidRPr="004E1822">
      <w:rPr>
        <w:b/>
        <w:lang w:val="fr-FR"/>
      </w:rPr>
      <w:t>Module 3.</w:t>
    </w:r>
    <w:r w:rsidRPr="004E1822">
      <w:rPr>
        <w:lang w:val="fr-FR"/>
      </w:rPr>
      <w:t xml:space="preserve"> </w:t>
    </w:r>
    <w:r w:rsidR="004E1822" w:rsidRPr="004E1822">
      <w:rPr>
        <w:lang w:val="fr-FR"/>
      </w:rPr>
      <w:t>Étape</w:t>
    </w:r>
    <w:r w:rsidRPr="004E1822">
      <w:rPr>
        <w:lang w:val="fr-FR"/>
      </w:rPr>
      <w:t xml:space="preserve"> 3. </w:t>
    </w:r>
    <w:r w:rsidR="008436B8" w:rsidRPr="004E1822">
      <w:rPr>
        <w:lang w:val="fr-FR"/>
      </w:rPr>
      <w:fldChar w:fldCharType="begin"/>
    </w:r>
    <w:r w:rsidRPr="004E1822">
      <w:rPr>
        <w:lang w:val="fr-FR"/>
      </w:rPr>
      <w:instrText xml:space="preserve"> STYLEREF  H1 \t  \* MERGEFORMAT </w:instrText>
    </w:r>
    <w:r w:rsidR="008436B8" w:rsidRPr="004E1822">
      <w:rPr>
        <w:lang w:val="fr-FR"/>
      </w:rPr>
      <w:fldChar w:fldCharType="end"/>
    </w:r>
    <w:r w:rsidR="004E1822" w:rsidRPr="004E1822">
      <w:rPr>
        <w:lang w:val="fr-FR"/>
      </w:rPr>
      <w:t xml:space="preserve">Feuille de route pour </w:t>
    </w:r>
    <w:r w:rsidR="008E43DE">
      <w:rPr>
        <w:lang w:val="fr-FR"/>
      </w:rPr>
      <w:t>le</w:t>
    </w:r>
    <w:r w:rsidR="004E1822" w:rsidRPr="004E1822">
      <w:rPr>
        <w:lang w:val="fr-FR"/>
      </w:rPr>
      <w:t xml:space="preserve"> ciblage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BBD" w:rsidRPr="00B45C74" w:rsidRDefault="008436B8" w:rsidP="00B45C74">
    <w:pPr>
      <w:framePr w:wrap="around" w:vAnchor="text" w:hAnchor="margin" w:xAlign="right" w:y="1"/>
      <w:tabs>
        <w:tab w:val="center" w:pos="4320"/>
        <w:tab w:val="right" w:pos="8640"/>
      </w:tabs>
      <w:spacing w:after="0"/>
      <w:rPr>
        <w:b/>
        <w:color w:val="808080" w:themeColor="background1" w:themeShade="80"/>
        <w:sz w:val="18"/>
        <w:szCs w:val="18"/>
      </w:rPr>
    </w:pPr>
    <w:r w:rsidRPr="00B45C74">
      <w:rPr>
        <w:b/>
        <w:color w:val="808080" w:themeColor="background1" w:themeShade="80"/>
        <w:sz w:val="18"/>
        <w:szCs w:val="18"/>
      </w:rPr>
      <w:fldChar w:fldCharType="begin"/>
    </w:r>
    <w:r w:rsidR="009F6BBD" w:rsidRPr="00B45C74">
      <w:rPr>
        <w:b/>
        <w:color w:val="808080" w:themeColor="background1" w:themeShade="80"/>
        <w:sz w:val="18"/>
        <w:szCs w:val="18"/>
      </w:rPr>
      <w:instrText xml:space="preserve">PAGE  </w:instrText>
    </w:r>
    <w:r w:rsidRPr="00B45C74">
      <w:rPr>
        <w:b/>
        <w:color w:val="808080" w:themeColor="background1" w:themeShade="80"/>
        <w:sz w:val="18"/>
        <w:szCs w:val="18"/>
      </w:rPr>
      <w:fldChar w:fldCharType="separate"/>
    </w:r>
    <w:r w:rsidR="00CB4854">
      <w:rPr>
        <w:b/>
        <w:noProof/>
        <w:color w:val="808080" w:themeColor="background1" w:themeShade="80"/>
        <w:sz w:val="18"/>
        <w:szCs w:val="18"/>
      </w:rPr>
      <w:t>1</w:t>
    </w:r>
    <w:r w:rsidRPr="00B45C74">
      <w:rPr>
        <w:b/>
        <w:color w:val="808080" w:themeColor="background1" w:themeShade="80"/>
        <w:sz w:val="18"/>
        <w:szCs w:val="18"/>
      </w:rPr>
      <w:fldChar w:fldCharType="end"/>
    </w:r>
  </w:p>
  <w:p w:rsidR="009F6BBD" w:rsidRPr="004E1822" w:rsidRDefault="009F6BBD" w:rsidP="00ED1B2B">
    <w:pPr>
      <w:pStyle w:val="Footer"/>
      <w:rPr>
        <w:b/>
        <w:lang w:val="fr-FR"/>
      </w:rPr>
    </w:pPr>
    <w:r w:rsidRPr="004E1822">
      <w:rPr>
        <w:b/>
        <w:lang w:val="fr-FR"/>
      </w:rPr>
      <w:t>Module 3.</w:t>
    </w:r>
    <w:r w:rsidRPr="004E1822">
      <w:rPr>
        <w:lang w:val="fr-FR"/>
      </w:rPr>
      <w:t xml:space="preserve"> </w:t>
    </w:r>
    <w:r w:rsidR="004E1822" w:rsidRPr="004E1822">
      <w:rPr>
        <w:lang w:val="fr-FR"/>
      </w:rPr>
      <w:t>Étape</w:t>
    </w:r>
    <w:r w:rsidRPr="004E1822">
      <w:rPr>
        <w:lang w:val="fr-FR"/>
      </w:rPr>
      <w:t xml:space="preserve"> 3. </w:t>
    </w:r>
    <w:fldSimple w:instr=" STYLEREF  H1 \t  \* MERGEFORMAT ">
      <w:r w:rsidR="00CB4854" w:rsidRPr="00CB4854">
        <w:rPr>
          <w:bCs/>
          <w:noProof/>
          <w:lang w:val="fr-FR"/>
        </w:rPr>
        <w:t>Feuille</w:t>
      </w:r>
      <w:r w:rsidR="00CB4854" w:rsidRPr="00CB4854">
        <w:rPr>
          <w:b/>
          <w:noProof/>
          <w:lang w:val="fr-FR"/>
        </w:rPr>
        <w:t xml:space="preserve"> </w:t>
      </w:r>
      <w:r w:rsidR="00CB4854" w:rsidRPr="00CB4854">
        <w:rPr>
          <w:noProof/>
          <w:lang w:val="fr-FR"/>
        </w:rPr>
        <w:t>de route pour le ciblage</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DD5" w:rsidRDefault="00602DD5" w:rsidP="00717F76">
      <w:r>
        <w:separator/>
      </w:r>
    </w:p>
  </w:footnote>
  <w:footnote w:type="continuationSeparator" w:id="0">
    <w:p w:rsidR="00602DD5" w:rsidRDefault="00602DD5" w:rsidP="00717F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BBD" w:rsidRPr="004E1822" w:rsidRDefault="004E1822" w:rsidP="009E49AD">
    <w:pPr>
      <w:pStyle w:val="Header"/>
      <w:rPr>
        <w:sz w:val="14"/>
        <w:szCs w:val="14"/>
        <w:lang w:val="fr-FR"/>
      </w:rPr>
    </w:pPr>
    <w:r w:rsidRPr="004E1822">
      <w:rPr>
        <w:rStyle w:val="Pantone485"/>
        <w:sz w:val="14"/>
        <w:szCs w:val="14"/>
        <w:lang w:val="fr-FR"/>
      </w:rPr>
      <w:t>Mouvement international</w:t>
    </w:r>
    <w:r>
      <w:rPr>
        <w:rStyle w:val="Pantone485"/>
        <w:sz w:val="14"/>
        <w:szCs w:val="14"/>
        <w:lang w:val="fr-FR"/>
      </w:rPr>
      <w:t xml:space="preserve"> de la Croix-Rouge et du Croissant-Rouge</w:t>
    </w:r>
    <w:r w:rsidR="009F6BBD" w:rsidRPr="004E1822">
      <w:rPr>
        <w:rFonts w:cs="Caecilia-Light"/>
        <w:color w:val="FF0000"/>
        <w:sz w:val="14"/>
        <w:szCs w:val="14"/>
        <w:lang w:val="fr-FR"/>
      </w:rPr>
      <w:t xml:space="preserve"> </w:t>
    </w:r>
    <w:r w:rsidR="009F6BBD" w:rsidRPr="004E1822">
      <w:rPr>
        <w:rStyle w:val="PageNumber"/>
        <w:bCs/>
        <w:sz w:val="14"/>
        <w:szCs w:val="14"/>
        <w:lang w:val="fr-FR"/>
      </w:rPr>
      <w:t>I</w:t>
    </w:r>
    <w:r w:rsidR="009F6BBD" w:rsidRPr="004E1822">
      <w:rPr>
        <w:rStyle w:val="PageNumber"/>
        <w:color w:val="FF0000"/>
        <w:sz w:val="14"/>
        <w:szCs w:val="14"/>
        <w:lang w:val="fr-FR"/>
      </w:rPr>
      <w:t xml:space="preserve"> </w:t>
    </w:r>
    <w:r>
      <w:rPr>
        <w:b/>
        <w:sz w:val="14"/>
        <w:szCs w:val="14"/>
        <w:lang w:val="fr-FR"/>
      </w:rPr>
      <w:t xml:space="preserve">Boîte à outils pour </w:t>
    </w:r>
    <w:r w:rsidR="009E49AD">
      <w:rPr>
        <w:b/>
        <w:sz w:val="14"/>
        <w:szCs w:val="14"/>
        <w:lang w:val="fr-FR"/>
      </w:rPr>
      <w:t>les transferts monétaires</w:t>
    </w:r>
    <w:r>
      <w:rPr>
        <w:b/>
        <w:sz w:val="14"/>
        <w:szCs w:val="14"/>
        <w:lang w:val="fr-FR"/>
      </w:rPr>
      <w:t xml:space="preserve"> dans les situations d’urgence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493" w:rsidRDefault="00F30493" w:rsidP="00F30493">
    <w:pPr>
      <w:pStyle w:val="Header1"/>
    </w:pPr>
    <w:r>
      <w:rPr>
        <w:rFonts w:ascii="Arial Bold" w:hAnsi="Arial Bold"/>
        <w:noProof/>
        <w:color w:val="DC281E"/>
        <w:lang w:val="en-GB" w:eastAsia="en-GB"/>
      </w:rPr>
      <w:drawing>
        <wp:anchor distT="0" distB="0" distL="114300" distR="114300" simplePos="0" relativeHeight="251660288" behindDoc="0" locked="0" layoutInCell="1" allowOverlap="1" wp14:anchorId="39DA7BA1" wp14:editId="0DC59CBE">
          <wp:simplePos x="0" y="0"/>
          <wp:positionH relativeFrom="margin">
            <wp:posOffset>316865</wp:posOffset>
          </wp:positionH>
          <wp:positionV relativeFrom="margin">
            <wp:posOffset>-1280795</wp:posOffset>
          </wp:positionV>
          <wp:extent cx="630555" cy="735330"/>
          <wp:effectExtent l="0" t="0" r="0" b="7620"/>
          <wp:wrapSquare wrapText="bothSides"/>
          <wp:docPr id="2" name="Picture 2" descr="T:\Language\2015\French\Z_Jonathan\Références\Cash in emergencies\CICR logo-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Language\2015\French\Z_Jonathan\Références\Cash in emergencies\CICR logo-F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555" cy="7353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30493" w:rsidRDefault="00F30493" w:rsidP="00F30493">
    <w:pPr>
      <w:pStyle w:val="Header1"/>
    </w:pPr>
    <w:r>
      <w:rPr>
        <w:noProof/>
        <w:lang w:val="en-GB" w:eastAsia="en-GB"/>
      </w:rPr>
      <w:drawing>
        <wp:anchor distT="0" distB="0" distL="114300" distR="114300" simplePos="0" relativeHeight="251659264" behindDoc="0" locked="0" layoutInCell="1" allowOverlap="1" wp14:anchorId="711AE2E9" wp14:editId="2F800632">
          <wp:simplePos x="0" y="0"/>
          <wp:positionH relativeFrom="margin">
            <wp:posOffset>2590165</wp:posOffset>
          </wp:positionH>
          <wp:positionV relativeFrom="margin">
            <wp:posOffset>-915670</wp:posOffset>
          </wp:positionV>
          <wp:extent cx="3187065" cy="3086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RC-French logo.jpg"/>
                  <pic:cNvPicPr/>
                </pic:nvPicPr>
                <pic:blipFill>
                  <a:blip r:embed="rId2">
                    <a:extLst>
                      <a:ext uri="{28A0092B-C50C-407E-A947-70E740481C1C}">
                        <a14:useLocalDpi xmlns:a14="http://schemas.microsoft.com/office/drawing/2010/main" val="0"/>
                      </a:ext>
                    </a:extLst>
                  </a:blip>
                  <a:stretch>
                    <a:fillRect/>
                  </a:stretch>
                </pic:blipFill>
                <pic:spPr>
                  <a:xfrm>
                    <a:off x="0" y="0"/>
                    <a:ext cx="3187065" cy="308610"/>
                  </a:xfrm>
                  <a:prstGeom prst="rect">
                    <a:avLst/>
                  </a:prstGeom>
                </pic:spPr>
              </pic:pic>
            </a:graphicData>
          </a:graphic>
          <wp14:sizeRelH relativeFrom="margin">
            <wp14:pctWidth>0</wp14:pctWidth>
          </wp14:sizeRelH>
          <wp14:sizeRelV relativeFrom="margin">
            <wp14:pctHeight>0</wp14:pctHeight>
          </wp14:sizeRelV>
        </wp:anchor>
      </w:drawing>
    </w:r>
  </w:p>
  <w:p w:rsidR="009F6BBD" w:rsidRDefault="009F6BBD" w:rsidP="00C16D71">
    <w:pPr>
      <w:pStyle w:val="Header"/>
      <w:spacing w:line="240" w:lineRule="auto"/>
      <w:rPr>
        <w:b/>
        <w:color w:val="DC281E"/>
        <w:sz w:val="24"/>
        <w:szCs w:val="24"/>
      </w:rPr>
    </w:pPr>
  </w:p>
  <w:p w:rsidR="00F30493" w:rsidRDefault="00F30493" w:rsidP="00C16D71">
    <w:pPr>
      <w:pStyle w:val="Header"/>
      <w:spacing w:line="240" w:lineRule="auto"/>
      <w:rPr>
        <w:b/>
        <w:color w:val="DC281E"/>
        <w:sz w:val="24"/>
        <w:szCs w:val="24"/>
      </w:rPr>
    </w:pPr>
  </w:p>
  <w:p w:rsidR="009F6BBD" w:rsidRDefault="009F6BBD" w:rsidP="00C16D71">
    <w:pPr>
      <w:pStyle w:val="Header"/>
      <w:spacing w:line="240" w:lineRule="auto"/>
      <w:rPr>
        <w:b/>
        <w:color w:val="DC281E"/>
        <w:sz w:val="24"/>
        <w:szCs w:val="24"/>
      </w:rPr>
    </w:pPr>
  </w:p>
  <w:p w:rsidR="009F6BBD" w:rsidRPr="004E1822" w:rsidRDefault="00F30493" w:rsidP="00F30493">
    <w:pPr>
      <w:pStyle w:val="Header1"/>
      <w:rPr>
        <w:rFonts w:ascii="Arial Bold" w:hAnsi="Arial Bold"/>
        <w:color w:val="DC281E"/>
        <w:lang w:val="fr-FR"/>
      </w:rPr>
    </w:pPr>
    <w:r>
      <w:rPr>
        <w:rFonts w:ascii="Arial Bold" w:hAnsi="Arial Bold"/>
        <w:color w:val="DC281E"/>
        <w:lang w:val="fr-FR"/>
      </w:rPr>
      <w:t xml:space="preserve">Boîte à outils pour les transferts monétaires </w:t>
    </w:r>
    <w:r w:rsidR="004E1822" w:rsidRPr="004E1822">
      <w:rPr>
        <w:rFonts w:ascii="Arial Bold" w:hAnsi="Arial Bold"/>
        <w:color w:val="DC281E"/>
        <w:lang w:val="fr-FR"/>
      </w:rPr>
      <w:t>dans les situations d’urgence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614BB3A"/>
    <w:lvl w:ilvl="0">
      <w:start w:val="1"/>
      <w:numFmt w:val="decimal"/>
      <w:lvlText w:val="%1."/>
      <w:lvlJc w:val="left"/>
      <w:pPr>
        <w:tabs>
          <w:tab w:val="num" w:pos="1492"/>
        </w:tabs>
        <w:ind w:left="1492" w:hanging="360"/>
      </w:pPr>
    </w:lvl>
  </w:abstractNum>
  <w:abstractNum w:abstractNumId="1">
    <w:nsid w:val="FFFFFF7D"/>
    <w:multiLevelType w:val="singleLevel"/>
    <w:tmpl w:val="28DCE590"/>
    <w:lvl w:ilvl="0">
      <w:start w:val="1"/>
      <w:numFmt w:val="decimal"/>
      <w:lvlText w:val="%1."/>
      <w:lvlJc w:val="left"/>
      <w:pPr>
        <w:tabs>
          <w:tab w:val="num" w:pos="1209"/>
        </w:tabs>
        <w:ind w:left="1209" w:hanging="360"/>
      </w:pPr>
    </w:lvl>
  </w:abstractNum>
  <w:abstractNum w:abstractNumId="2">
    <w:nsid w:val="FFFFFF7E"/>
    <w:multiLevelType w:val="singleLevel"/>
    <w:tmpl w:val="CC80016E"/>
    <w:lvl w:ilvl="0">
      <w:start w:val="1"/>
      <w:numFmt w:val="decimal"/>
      <w:lvlText w:val="%1."/>
      <w:lvlJc w:val="left"/>
      <w:pPr>
        <w:tabs>
          <w:tab w:val="num" w:pos="926"/>
        </w:tabs>
        <w:ind w:left="926" w:hanging="360"/>
      </w:pPr>
    </w:lvl>
  </w:abstractNum>
  <w:abstractNum w:abstractNumId="3">
    <w:nsid w:val="FFFFFF7F"/>
    <w:multiLevelType w:val="singleLevel"/>
    <w:tmpl w:val="70D89B6A"/>
    <w:lvl w:ilvl="0">
      <w:start w:val="1"/>
      <w:numFmt w:val="decimal"/>
      <w:lvlText w:val="%1."/>
      <w:lvlJc w:val="left"/>
      <w:pPr>
        <w:tabs>
          <w:tab w:val="num" w:pos="643"/>
        </w:tabs>
        <w:ind w:left="643" w:hanging="360"/>
      </w:pPr>
    </w:lvl>
  </w:abstractNum>
  <w:abstractNum w:abstractNumId="4">
    <w:nsid w:val="FFFFFF80"/>
    <w:multiLevelType w:val="singleLevel"/>
    <w:tmpl w:val="401E3B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DAE405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3416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7E02A5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B4EC0BC"/>
    <w:lvl w:ilvl="0">
      <w:start w:val="1"/>
      <w:numFmt w:val="decimal"/>
      <w:lvlText w:val="%1."/>
      <w:lvlJc w:val="left"/>
      <w:pPr>
        <w:tabs>
          <w:tab w:val="num" w:pos="360"/>
        </w:tabs>
        <w:ind w:left="360" w:hanging="360"/>
      </w:pPr>
    </w:lvl>
  </w:abstractNum>
  <w:abstractNum w:abstractNumId="9">
    <w:nsid w:val="FFFFFF89"/>
    <w:multiLevelType w:val="singleLevel"/>
    <w:tmpl w:val="9CB439B6"/>
    <w:lvl w:ilvl="0">
      <w:start w:val="1"/>
      <w:numFmt w:val="bullet"/>
      <w:lvlText w:val=""/>
      <w:lvlJc w:val="left"/>
      <w:pPr>
        <w:tabs>
          <w:tab w:val="num" w:pos="360"/>
        </w:tabs>
        <w:ind w:left="360" w:hanging="360"/>
      </w:pPr>
      <w:rPr>
        <w:rFonts w:ascii="Symbol" w:hAnsi="Symbol" w:hint="default"/>
      </w:rPr>
    </w:lvl>
  </w:abstractNum>
  <w:abstractNum w:abstractNumId="10">
    <w:nsid w:val="057F7D25"/>
    <w:multiLevelType w:val="hybridMultilevel"/>
    <w:tmpl w:val="1D20BF0E"/>
    <w:lvl w:ilvl="0" w:tplc="18D88CC4">
      <w:start w:val="1"/>
      <w:numFmt w:val="decimal"/>
      <w:pStyle w:val="ListNumber1"/>
      <w:lvlText w:val="%1."/>
      <w:lvlJc w:val="left"/>
      <w:pPr>
        <w:ind w:left="720" w:hanging="360"/>
      </w:pPr>
      <w:rPr>
        <w:rFonts w:hint="default"/>
      </w:rPr>
    </w:lvl>
    <w:lvl w:ilvl="1" w:tplc="08090019" w:tentative="1">
      <w:start w:val="1"/>
      <w:numFmt w:val="lowerLetter"/>
      <w:pStyle w:val="ListNumber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BB837E4"/>
    <w:multiLevelType w:val="hybridMultilevel"/>
    <w:tmpl w:val="B5B091F0"/>
    <w:lvl w:ilvl="0" w:tplc="FFCE2E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E2085A"/>
    <w:multiLevelType w:val="hybridMultilevel"/>
    <w:tmpl w:val="4CD63C76"/>
    <w:lvl w:ilvl="0" w:tplc="3000D490">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78E508B"/>
    <w:multiLevelType w:val="hybridMultilevel"/>
    <w:tmpl w:val="B41416A2"/>
    <w:lvl w:ilvl="0" w:tplc="AE128682">
      <w:start w:val="1"/>
      <w:numFmt w:val="bullet"/>
      <w:pStyle w:val="Bullet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060A4D"/>
    <w:multiLevelType w:val="hybridMultilevel"/>
    <w:tmpl w:val="A3AA3EF0"/>
    <w:lvl w:ilvl="0" w:tplc="3000D490">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ED0437C"/>
    <w:multiLevelType w:val="hybridMultilevel"/>
    <w:tmpl w:val="5524E100"/>
    <w:lvl w:ilvl="0" w:tplc="3000D490">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A646E50"/>
    <w:multiLevelType w:val="hybridMultilevel"/>
    <w:tmpl w:val="78806A2A"/>
    <w:lvl w:ilvl="0" w:tplc="C3D8A78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F33B5C"/>
    <w:multiLevelType w:val="hybridMultilevel"/>
    <w:tmpl w:val="F2C04AAA"/>
    <w:lvl w:ilvl="0" w:tplc="3000D490">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52513C1"/>
    <w:multiLevelType w:val="hybridMultilevel"/>
    <w:tmpl w:val="253855DE"/>
    <w:lvl w:ilvl="0" w:tplc="3000D490">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CBF2CFB"/>
    <w:multiLevelType w:val="hybridMultilevel"/>
    <w:tmpl w:val="8CA4EAF8"/>
    <w:lvl w:ilvl="0" w:tplc="3000D490">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1EE768B"/>
    <w:multiLevelType w:val="multilevel"/>
    <w:tmpl w:val="21AC4478"/>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45575CA0"/>
    <w:multiLevelType w:val="hybridMultilevel"/>
    <w:tmpl w:val="6D96B69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2">
    <w:nsid w:val="525602F9"/>
    <w:multiLevelType w:val="hybridMultilevel"/>
    <w:tmpl w:val="976A2C94"/>
    <w:lvl w:ilvl="0" w:tplc="3000D490">
      <w:start w:val="1"/>
      <w:numFmt w:val="bullet"/>
      <w:lvlText w:val=""/>
      <w:lvlJc w:val="left"/>
      <w:pPr>
        <w:ind w:left="410" w:hanging="360"/>
      </w:pPr>
      <w:rPr>
        <w:rFonts w:ascii="Wingdings" w:hAnsi="Wingdings" w:hint="default"/>
      </w:rPr>
    </w:lvl>
    <w:lvl w:ilvl="1" w:tplc="04100003" w:tentative="1">
      <w:start w:val="1"/>
      <w:numFmt w:val="bullet"/>
      <w:lvlText w:val="o"/>
      <w:lvlJc w:val="left"/>
      <w:pPr>
        <w:ind w:left="1490" w:hanging="360"/>
      </w:pPr>
      <w:rPr>
        <w:rFonts w:ascii="Courier New" w:hAnsi="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23">
    <w:nsid w:val="54ED5E1B"/>
    <w:multiLevelType w:val="hybridMultilevel"/>
    <w:tmpl w:val="A4E2E4E4"/>
    <w:lvl w:ilvl="0" w:tplc="2B7CC386">
      <w:start w:val="1"/>
      <w:numFmt w:val="decimal"/>
      <w:pStyle w:val="NormalNo"/>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5AA25548"/>
    <w:multiLevelType w:val="hybridMultilevel"/>
    <w:tmpl w:val="E822FB66"/>
    <w:lvl w:ilvl="0" w:tplc="3000D490">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C1263EC"/>
    <w:multiLevelType w:val="hybridMultilevel"/>
    <w:tmpl w:val="E72E57CA"/>
    <w:lvl w:ilvl="0" w:tplc="3000D490">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DCC139D"/>
    <w:multiLevelType w:val="hybridMultilevel"/>
    <w:tmpl w:val="FF4A637C"/>
    <w:lvl w:ilvl="0" w:tplc="08FABD8E">
      <w:start w:val="1"/>
      <w:numFmt w:val="bullet"/>
      <w:pStyle w:val="Bullet2"/>
      <w:lvlText w:val=""/>
      <w:lvlJc w:val="left"/>
      <w:pPr>
        <w:ind w:left="720" w:hanging="360"/>
      </w:pPr>
      <w:rPr>
        <w:rFonts w:ascii="Symbol" w:hAnsi="Symbol" w:hint="default"/>
        <w:b/>
        <w:color w:val="DC281E"/>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E9F3BBB"/>
    <w:multiLevelType w:val="hybridMultilevel"/>
    <w:tmpl w:val="4BE0429A"/>
    <w:lvl w:ilvl="0" w:tplc="A9DE4814">
      <w:start w:val="1"/>
      <w:numFmt w:val="bullet"/>
      <w:pStyle w:val="BulletTableau"/>
      <w:lvlText w:val=""/>
      <w:lvlJc w:val="left"/>
      <w:pPr>
        <w:ind w:left="1080" w:hanging="360"/>
      </w:pPr>
      <w:rPr>
        <w:rFonts w:ascii="Symbol" w:hAnsi="Symbol" w:hint="default"/>
        <w:b/>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nsid w:val="60A01892"/>
    <w:multiLevelType w:val="hybridMultilevel"/>
    <w:tmpl w:val="B9F47AAE"/>
    <w:lvl w:ilvl="0" w:tplc="3000D490">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2FF1820"/>
    <w:multiLevelType w:val="hybridMultilevel"/>
    <w:tmpl w:val="6A3E23A2"/>
    <w:lvl w:ilvl="0" w:tplc="3000D490">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35C7E23"/>
    <w:multiLevelType w:val="hybridMultilevel"/>
    <w:tmpl w:val="92706D8A"/>
    <w:lvl w:ilvl="0" w:tplc="CAD4AE2E">
      <w:start w:val="1"/>
      <w:numFmt w:val="bullet"/>
      <w:pStyle w:val="Bullet3"/>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6BB65D5"/>
    <w:multiLevelType w:val="hybridMultilevel"/>
    <w:tmpl w:val="F1D89208"/>
    <w:lvl w:ilvl="0" w:tplc="C3D8A78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B762FC"/>
    <w:multiLevelType w:val="hybridMultilevel"/>
    <w:tmpl w:val="53C4F6DC"/>
    <w:lvl w:ilvl="0" w:tplc="3000D490">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4D13543"/>
    <w:multiLevelType w:val="hybridMultilevel"/>
    <w:tmpl w:val="051A0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D766B5D"/>
    <w:multiLevelType w:val="hybridMultilevel"/>
    <w:tmpl w:val="21AC4478"/>
    <w:lvl w:ilvl="0" w:tplc="C3D8A78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8"/>
  </w:num>
  <w:num w:numId="3">
    <w:abstractNumId w:val="19"/>
  </w:num>
  <w:num w:numId="4">
    <w:abstractNumId w:val="25"/>
  </w:num>
  <w:num w:numId="5">
    <w:abstractNumId w:val="14"/>
  </w:num>
  <w:num w:numId="6">
    <w:abstractNumId w:val="24"/>
  </w:num>
  <w:num w:numId="7">
    <w:abstractNumId w:val="12"/>
  </w:num>
  <w:num w:numId="8">
    <w:abstractNumId w:val="17"/>
  </w:num>
  <w:num w:numId="9">
    <w:abstractNumId w:val="28"/>
  </w:num>
  <w:num w:numId="10">
    <w:abstractNumId w:val="15"/>
  </w:num>
  <w:num w:numId="11">
    <w:abstractNumId w:val="33"/>
  </w:num>
  <w:num w:numId="12">
    <w:abstractNumId w:val="22"/>
  </w:num>
  <w:num w:numId="13">
    <w:abstractNumId w:val="21"/>
  </w:num>
  <w:num w:numId="14">
    <w:abstractNumId w:val="29"/>
  </w:num>
  <w:num w:numId="15">
    <w:abstractNumId w:val="16"/>
  </w:num>
  <w:num w:numId="16">
    <w:abstractNumId w:val="34"/>
  </w:num>
  <w:num w:numId="17">
    <w:abstractNumId w:val="31"/>
  </w:num>
  <w:num w:numId="18">
    <w:abstractNumId w:val="20"/>
  </w:num>
  <w:num w:numId="19">
    <w:abstractNumId w:val="11"/>
  </w:num>
  <w:num w:numId="20">
    <w:abstractNumId w:val="10"/>
  </w:num>
  <w:num w:numId="21">
    <w:abstractNumId w:val="23"/>
  </w:num>
  <w:num w:numId="22">
    <w:abstractNumId w:val="13"/>
  </w:num>
  <w:num w:numId="23">
    <w:abstractNumId w:val="26"/>
  </w:num>
  <w:num w:numId="24">
    <w:abstractNumId w:val="30"/>
  </w:num>
  <w:num w:numId="25">
    <w:abstractNumId w:val="27"/>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attachedTemplate r:id="rId1"/>
  <w:linkStyles/>
  <w:stylePaneSortMethod w:val="0000"/>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2"/>
  </w:compat>
  <w:rsids>
    <w:rsidRoot w:val="000F22C0"/>
    <w:rsid w:val="0002480F"/>
    <w:rsid w:val="00030FF8"/>
    <w:rsid w:val="000424F9"/>
    <w:rsid w:val="00054BF2"/>
    <w:rsid w:val="000B7169"/>
    <w:rsid w:val="000C3650"/>
    <w:rsid w:val="000D2C1D"/>
    <w:rsid w:val="000F22C0"/>
    <w:rsid w:val="00107B9E"/>
    <w:rsid w:val="00116DC2"/>
    <w:rsid w:val="00123C16"/>
    <w:rsid w:val="00152681"/>
    <w:rsid w:val="0021187B"/>
    <w:rsid w:val="002227DE"/>
    <w:rsid w:val="00225134"/>
    <w:rsid w:val="00292CF0"/>
    <w:rsid w:val="002B0F93"/>
    <w:rsid w:val="002C3B9C"/>
    <w:rsid w:val="002D49AA"/>
    <w:rsid w:val="002F4805"/>
    <w:rsid w:val="002F6D4F"/>
    <w:rsid w:val="003440EC"/>
    <w:rsid w:val="003811DF"/>
    <w:rsid w:val="00386F26"/>
    <w:rsid w:val="003A27CC"/>
    <w:rsid w:val="00425E25"/>
    <w:rsid w:val="004C1A3A"/>
    <w:rsid w:val="004D4A8A"/>
    <w:rsid w:val="004D763E"/>
    <w:rsid w:val="004E1822"/>
    <w:rsid w:val="004F04D8"/>
    <w:rsid w:val="005218CC"/>
    <w:rsid w:val="00533D3E"/>
    <w:rsid w:val="00544218"/>
    <w:rsid w:val="00560C5A"/>
    <w:rsid w:val="0056103B"/>
    <w:rsid w:val="00583EB9"/>
    <w:rsid w:val="005966EB"/>
    <w:rsid w:val="005C5A63"/>
    <w:rsid w:val="005D0790"/>
    <w:rsid w:val="00602DD5"/>
    <w:rsid w:val="006207F7"/>
    <w:rsid w:val="006269D4"/>
    <w:rsid w:val="0067095F"/>
    <w:rsid w:val="006B44D4"/>
    <w:rsid w:val="006E7139"/>
    <w:rsid w:val="0070358F"/>
    <w:rsid w:val="00730A65"/>
    <w:rsid w:val="00774DB8"/>
    <w:rsid w:val="007A7A33"/>
    <w:rsid w:val="00810139"/>
    <w:rsid w:val="00811B2C"/>
    <w:rsid w:val="00834DD0"/>
    <w:rsid w:val="008436B8"/>
    <w:rsid w:val="008467F6"/>
    <w:rsid w:val="00846AA1"/>
    <w:rsid w:val="00894F38"/>
    <w:rsid w:val="008A164E"/>
    <w:rsid w:val="008C520A"/>
    <w:rsid w:val="008E43DE"/>
    <w:rsid w:val="00923F4E"/>
    <w:rsid w:val="00925C94"/>
    <w:rsid w:val="00940BFD"/>
    <w:rsid w:val="009432DB"/>
    <w:rsid w:val="009A11C0"/>
    <w:rsid w:val="009B6CD7"/>
    <w:rsid w:val="009D46F3"/>
    <w:rsid w:val="009E49AD"/>
    <w:rsid w:val="009F68A7"/>
    <w:rsid w:val="009F6BBD"/>
    <w:rsid w:val="00A44964"/>
    <w:rsid w:val="00A86803"/>
    <w:rsid w:val="00B33E68"/>
    <w:rsid w:val="00B838D6"/>
    <w:rsid w:val="00B83C00"/>
    <w:rsid w:val="00BA1C55"/>
    <w:rsid w:val="00BE33DC"/>
    <w:rsid w:val="00C0724E"/>
    <w:rsid w:val="00C5321C"/>
    <w:rsid w:val="00C61ABB"/>
    <w:rsid w:val="00CB4854"/>
    <w:rsid w:val="00D0705D"/>
    <w:rsid w:val="00D2763B"/>
    <w:rsid w:val="00D45F50"/>
    <w:rsid w:val="00D73D26"/>
    <w:rsid w:val="00DA70B8"/>
    <w:rsid w:val="00DB5937"/>
    <w:rsid w:val="00DC3AF8"/>
    <w:rsid w:val="00DE3CAB"/>
    <w:rsid w:val="00E06BB1"/>
    <w:rsid w:val="00E17DFD"/>
    <w:rsid w:val="00E61602"/>
    <w:rsid w:val="00E65191"/>
    <w:rsid w:val="00EA4BE9"/>
    <w:rsid w:val="00ED0600"/>
    <w:rsid w:val="00EF63B5"/>
    <w:rsid w:val="00F022EC"/>
    <w:rsid w:val="00F1610C"/>
    <w:rsid w:val="00F30493"/>
    <w:rsid w:val="00F53DB1"/>
    <w:rsid w:val="00F56E22"/>
    <w:rsid w:val="00F7644C"/>
  </w:rsids>
  <m:mathPr>
    <m:mathFont m:val="Cambria Math"/>
    <m:brkBin m:val="before"/>
    <m:brkBinSub m:val="--"/>
    <m:smallFrac/>
    <m:dispDef/>
    <m:lMargin m:val="0"/>
    <m:rMargin m:val="0"/>
    <m:defJc m:val="centerGroup"/>
    <m:wrapRight/>
    <m:intLim m:val="subSup"/>
    <m:naryLim m:val="subSup"/>
  </m:mathPr>
  <w:themeFontLang w:val="fr-CH"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Normal" w:qFormat="1"/>
    <w:lsdException w:name="heading 1" w:uiPriority="9"/>
    <w:lsdException w:name="heading 2" w:uiPriority="9" w:qFormat="1"/>
    <w:lsdException w:name="heading 3" w:uiPriority="9" w:qFormat="1"/>
    <w:lsdException w:name="footnote text" w:uiPriority="99"/>
    <w:lsdException w:name="header" w:uiPriority="99"/>
    <w:lsdException w:name="footer" w:uiPriority="99"/>
    <w:lsdException w:name="footnote reference" w:uiPriority="99"/>
    <w:lsdException w:name="annotation reference" w:uiPriority="99"/>
    <w:lsdException w:name="page number" w:uiPriority="99"/>
    <w:lsdException w:name="Default Paragraph Font" w:uiPriority="1"/>
    <w:lsdException w:name="Hyperlink" w:uiPriority="99"/>
    <w:lsdException w:name="FollowedHyperlink" w:uiPriority="99"/>
    <w:lsdException w:name="annotation subject" w:uiPriority="99"/>
    <w:lsdException w:name="No List" w:uiPriority="99"/>
    <w:lsdException w:name="Balloon Text" w:uiPriority="99"/>
    <w:lsdException w:name="Table Grid" w:uiPriority="59"/>
    <w:lsdException w:name="Revision" w:uiPriority="99"/>
    <w:lsdException w:name="List Paragraph" w:uiPriority="34" w:qFormat="1"/>
  </w:latentStyles>
  <w:style w:type="paragraph" w:default="1" w:styleId="Normal">
    <w:name w:val="Normal"/>
    <w:qFormat/>
    <w:rsid w:val="00D0705D"/>
    <w:pPr>
      <w:spacing w:after="120"/>
      <w:jc w:val="both"/>
    </w:pPr>
    <w:rPr>
      <w:rFonts w:ascii="Arial" w:eastAsiaTheme="minorEastAsia" w:hAnsi="Arial" w:cs="Times New Roman"/>
      <w:sz w:val="20"/>
      <w:szCs w:val="20"/>
    </w:rPr>
  </w:style>
  <w:style w:type="paragraph" w:styleId="Heading1">
    <w:name w:val="heading 1"/>
    <w:basedOn w:val="H1"/>
    <w:next w:val="Normal"/>
    <w:link w:val="Heading1Char"/>
    <w:uiPriority w:val="9"/>
    <w:rsid w:val="00D0705D"/>
  </w:style>
  <w:style w:type="paragraph" w:styleId="Heading2">
    <w:name w:val="heading 2"/>
    <w:basedOn w:val="Normal"/>
    <w:next w:val="Normal"/>
    <w:link w:val="Heading2Char"/>
    <w:uiPriority w:val="9"/>
    <w:unhideWhenUsed/>
    <w:qFormat/>
    <w:rsid w:val="00D0705D"/>
    <w:pPr>
      <w:keepNext/>
      <w:pBdr>
        <w:top w:val="single" w:sz="4" w:space="11" w:color="auto"/>
      </w:pBdr>
      <w:spacing w:before="240" w:after="240"/>
      <w:jc w:val="left"/>
      <w:outlineLvl w:val="1"/>
    </w:pPr>
    <w:rPr>
      <w:b/>
      <w:caps/>
      <w:sz w:val="24"/>
      <w:szCs w:val="26"/>
      <w:shd w:val="clear" w:color="auto" w:fill="FFFFFF"/>
    </w:rPr>
  </w:style>
  <w:style w:type="paragraph" w:styleId="Heading3">
    <w:name w:val="heading 3"/>
    <w:basedOn w:val="Normal"/>
    <w:next w:val="Normal"/>
    <w:link w:val="Heading3Char"/>
    <w:uiPriority w:val="9"/>
    <w:unhideWhenUsed/>
    <w:qFormat/>
    <w:rsid w:val="00D0705D"/>
    <w:pPr>
      <w:keepNext/>
      <w:spacing w:before="240"/>
      <w:jc w:val="left"/>
      <w:outlineLvl w:val="2"/>
    </w:pPr>
    <w:rPr>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0705D"/>
    <w:pPr>
      <w:spacing w:after="240"/>
      <w:ind w:left="720"/>
      <w:contextualSpacing/>
    </w:pPr>
    <w:rPr>
      <w:rFonts w:eastAsiaTheme="minorHAnsi" w:cstheme="minorBidi"/>
      <w:szCs w:val="22"/>
    </w:rPr>
  </w:style>
  <w:style w:type="table" w:styleId="TableGrid">
    <w:name w:val="Table Grid"/>
    <w:basedOn w:val="TableNormal"/>
    <w:uiPriority w:val="59"/>
    <w:rsid w:val="00D0705D"/>
    <w:rPr>
      <w:rFonts w:ascii="Cambria" w:eastAsiaTheme="minorEastAsia"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D0705D"/>
    <w:rPr>
      <w:sz w:val="18"/>
      <w:szCs w:val="18"/>
    </w:rPr>
  </w:style>
  <w:style w:type="paragraph" w:styleId="CommentText">
    <w:name w:val="annotation text"/>
    <w:basedOn w:val="Normal"/>
    <w:link w:val="CommentTextChar"/>
    <w:rsid w:val="00686593"/>
  </w:style>
  <w:style w:type="character" w:customStyle="1" w:styleId="CommentTextChar">
    <w:name w:val="Comment Text Char"/>
    <w:basedOn w:val="DefaultParagraphFont"/>
    <w:link w:val="CommentText"/>
    <w:rsid w:val="00686593"/>
    <w:rPr>
      <w:rFonts w:asciiTheme="majorHAnsi" w:hAnsiTheme="majorHAnsi"/>
      <w:lang w:val="en-GB"/>
    </w:rPr>
  </w:style>
  <w:style w:type="paragraph" w:styleId="CommentSubject">
    <w:name w:val="annotation subject"/>
    <w:basedOn w:val="Normal"/>
    <w:link w:val="CommentSubjectChar"/>
    <w:uiPriority w:val="99"/>
    <w:unhideWhenUsed/>
    <w:rsid w:val="00D0705D"/>
    <w:rPr>
      <w:b/>
      <w:bCs/>
    </w:rPr>
  </w:style>
  <w:style w:type="character" w:customStyle="1" w:styleId="CommentSubjectChar">
    <w:name w:val="Comment Subject Char"/>
    <w:basedOn w:val="DefaultParagraphFont"/>
    <w:link w:val="CommentSubject"/>
    <w:uiPriority w:val="99"/>
    <w:rsid w:val="00D0705D"/>
    <w:rPr>
      <w:rFonts w:ascii="Arial" w:eastAsiaTheme="minorEastAsia" w:hAnsi="Arial" w:cs="Times New Roman"/>
      <w:b/>
      <w:bCs/>
      <w:sz w:val="20"/>
      <w:szCs w:val="20"/>
    </w:rPr>
  </w:style>
  <w:style w:type="paragraph" w:styleId="BalloonText">
    <w:name w:val="Balloon Text"/>
    <w:basedOn w:val="Normal"/>
    <w:link w:val="BalloonTextChar"/>
    <w:uiPriority w:val="99"/>
    <w:unhideWhenUsed/>
    <w:rsid w:val="00D0705D"/>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D0705D"/>
    <w:rPr>
      <w:rFonts w:ascii="Lucida Grande" w:eastAsiaTheme="minorEastAsia" w:hAnsi="Lucida Grande" w:cs="Lucida Grande"/>
      <w:sz w:val="18"/>
      <w:szCs w:val="18"/>
    </w:rPr>
  </w:style>
  <w:style w:type="paragraph" w:styleId="Header">
    <w:name w:val="header"/>
    <w:basedOn w:val="Normal"/>
    <w:link w:val="HeaderChar"/>
    <w:uiPriority w:val="99"/>
    <w:unhideWhenUsed/>
    <w:rsid w:val="00D0705D"/>
    <w:pPr>
      <w:spacing w:after="0" w:line="288" w:lineRule="auto"/>
      <w:jc w:val="left"/>
    </w:pPr>
    <w:rPr>
      <w:sz w:val="16"/>
    </w:rPr>
  </w:style>
  <w:style w:type="character" w:customStyle="1" w:styleId="HeaderChar">
    <w:name w:val="Header Char"/>
    <w:basedOn w:val="DefaultParagraphFont"/>
    <w:link w:val="Header"/>
    <w:uiPriority w:val="99"/>
    <w:rsid w:val="00D0705D"/>
    <w:rPr>
      <w:rFonts w:ascii="Arial" w:eastAsiaTheme="minorEastAsia" w:hAnsi="Arial" w:cs="Times New Roman"/>
      <w:sz w:val="16"/>
      <w:szCs w:val="20"/>
    </w:rPr>
  </w:style>
  <w:style w:type="paragraph" w:styleId="Footer">
    <w:name w:val="footer"/>
    <w:basedOn w:val="Normal"/>
    <w:link w:val="FooterChar"/>
    <w:uiPriority w:val="99"/>
    <w:unhideWhenUsed/>
    <w:rsid w:val="00D0705D"/>
    <w:pPr>
      <w:spacing w:after="0"/>
      <w:jc w:val="left"/>
    </w:pPr>
    <w:rPr>
      <w:sz w:val="16"/>
      <w:szCs w:val="18"/>
    </w:rPr>
  </w:style>
  <w:style w:type="character" w:customStyle="1" w:styleId="FooterChar">
    <w:name w:val="Footer Char"/>
    <w:basedOn w:val="DefaultParagraphFont"/>
    <w:link w:val="Footer"/>
    <w:uiPriority w:val="99"/>
    <w:rsid w:val="00D0705D"/>
    <w:rPr>
      <w:rFonts w:ascii="Arial" w:eastAsiaTheme="minorEastAsia" w:hAnsi="Arial" w:cs="Times New Roman"/>
      <w:sz w:val="16"/>
      <w:szCs w:val="18"/>
    </w:rPr>
  </w:style>
  <w:style w:type="character" w:styleId="PageNumber">
    <w:name w:val="page number"/>
    <w:basedOn w:val="DefaultParagraphFont"/>
    <w:uiPriority w:val="99"/>
    <w:unhideWhenUsed/>
    <w:rsid w:val="00D0705D"/>
    <w:rPr>
      <w:b/>
    </w:rPr>
  </w:style>
  <w:style w:type="character" w:customStyle="1" w:styleId="ListParagraphChar">
    <w:name w:val="List Paragraph Char"/>
    <w:basedOn w:val="DefaultParagraphFont"/>
    <w:link w:val="ListParagraph"/>
    <w:uiPriority w:val="34"/>
    <w:rsid w:val="00D0705D"/>
    <w:rPr>
      <w:rFonts w:ascii="Arial" w:hAnsi="Arial"/>
      <w:sz w:val="20"/>
      <w:szCs w:val="22"/>
    </w:rPr>
  </w:style>
  <w:style w:type="character" w:customStyle="1" w:styleId="Heading1Char">
    <w:name w:val="Heading 1 Char"/>
    <w:basedOn w:val="DefaultParagraphFont"/>
    <w:link w:val="Heading1"/>
    <w:uiPriority w:val="9"/>
    <w:rsid w:val="00D0705D"/>
    <w:rPr>
      <w:rFonts w:ascii="Arial" w:eastAsiaTheme="minorEastAsia" w:hAnsi="Arial" w:cs="Times New Roman"/>
      <w:b/>
      <w:sz w:val="40"/>
      <w:szCs w:val="52"/>
    </w:rPr>
  </w:style>
  <w:style w:type="character" w:customStyle="1" w:styleId="Heading2Char">
    <w:name w:val="Heading 2 Char"/>
    <w:basedOn w:val="DefaultParagraphFont"/>
    <w:link w:val="Heading2"/>
    <w:uiPriority w:val="9"/>
    <w:rsid w:val="00D0705D"/>
    <w:rPr>
      <w:rFonts w:ascii="Arial" w:eastAsiaTheme="minorEastAsia" w:hAnsi="Arial" w:cs="Times New Roman"/>
      <w:b/>
      <w:caps/>
      <w:szCs w:val="26"/>
    </w:rPr>
  </w:style>
  <w:style w:type="character" w:customStyle="1" w:styleId="Heading3Char">
    <w:name w:val="Heading 3 Char"/>
    <w:basedOn w:val="DefaultParagraphFont"/>
    <w:link w:val="Heading3"/>
    <w:uiPriority w:val="9"/>
    <w:rsid w:val="00D0705D"/>
    <w:rPr>
      <w:rFonts w:ascii="Arial" w:eastAsiaTheme="minorEastAsia" w:hAnsi="Arial" w:cs="Times New Roman"/>
      <w:b/>
      <w:sz w:val="22"/>
    </w:rPr>
  </w:style>
  <w:style w:type="paragraph" w:customStyle="1" w:styleId="Default">
    <w:name w:val="Default"/>
    <w:rsid w:val="00D0705D"/>
    <w:pPr>
      <w:widowControl w:val="0"/>
      <w:autoSpaceDE w:val="0"/>
      <w:autoSpaceDN w:val="0"/>
      <w:adjustRightInd w:val="0"/>
    </w:pPr>
    <w:rPr>
      <w:rFonts w:ascii="Arial" w:eastAsiaTheme="minorEastAsia" w:hAnsi="Arial" w:cs="Arial"/>
      <w:color w:val="000000"/>
    </w:rPr>
  </w:style>
  <w:style w:type="character" w:styleId="Hyperlink">
    <w:name w:val="Hyperlink"/>
    <w:basedOn w:val="DefaultParagraphFont"/>
    <w:uiPriority w:val="99"/>
    <w:unhideWhenUsed/>
    <w:rsid w:val="00D0705D"/>
    <w:rPr>
      <w:color w:val="0000FF" w:themeColor="hyperlink"/>
      <w:u w:val="single"/>
    </w:rPr>
  </w:style>
  <w:style w:type="character" w:styleId="FollowedHyperlink">
    <w:name w:val="FollowedHyperlink"/>
    <w:basedOn w:val="DefaultParagraphFont"/>
    <w:uiPriority w:val="99"/>
    <w:unhideWhenUsed/>
    <w:rsid w:val="00D0705D"/>
    <w:rPr>
      <w:color w:val="800080" w:themeColor="followedHyperlink"/>
      <w:u w:val="single"/>
    </w:rPr>
  </w:style>
  <w:style w:type="paragraph" w:styleId="FootnoteText">
    <w:name w:val="footnote text"/>
    <w:basedOn w:val="Normal"/>
    <w:link w:val="FootnoteTextChar"/>
    <w:uiPriority w:val="99"/>
    <w:unhideWhenUsed/>
    <w:rsid w:val="00D0705D"/>
    <w:pPr>
      <w:spacing w:after="0"/>
    </w:pPr>
    <w:rPr>
      <w:sz w:val="16"/>
      <w:szCs w:val="22"/>
    </w:rPr>
  </w:style>
  <w:style w:type="character" w:customStyle="1" w:styleId="FootnoteTextChar">
    <w:name w:val="Footnote Text Char"/>
    <w:basedOn w:val="DefaultParagraphFont"/>
    <w:link w:val="FootnoteText"/>
    <w:uiPriority w:val="99"/>
    <w:rsid w:val="00D0705D"/>
    <w:rPr>
      <w:rFonts w:ascii="Arial" w:eastAsiaTheme="minorEastAsia" w:hAnsi="Arial" w:cs="Times New Roman"/>
      <w:sz w:val="16"/>
      <w:szCs w:val="22"/>
    </w:rPr>
  </w:style>
  <w:style w:type="character" w:styleId="FootnoteReference">
    <w:name w:val="footnote reference"/>
    <w:basedOn w:val="DefaultParagraphFont"/>
    <w:uiPriority w:val="99"/>
    <w:unhideWhenUsed/>
    <w:rsid w:val="00D0705D"/>
    <w:rPr>
      <w:vertAlign w:val="superscript"/>
    </w:rPr>
  </w:style>
  <w:style w:type="paragraph" w:styleId="Revision">
    <w:name w:val="Revision"/>
    <w:hidden/>
    <w:uiPriority w:val="99"/>
    <w:rsid w:val="00D0705D"/>
    <w:rPr>
      <w:rFonts w:ascii="Arial" w:eastAsiaTheme="minorEastAsia" w:hAnsi="Arial" w:cs="Arial"/>
      <w:sz w:val="21"/>
      <w:szCs w:val="21"/>
    </w:rPr>
  </w:style>
  <w:style w:type="paragraph" w:customStyle="1" w:styleId="BasicParagraph">
    <w:name w:val="[Basic Paragraph]"/>
    <w:basedOn w:val="Normal"/>
    <w:uiPriority w:val="99"/>
    <w:rsid w:val="00D0705D"/>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Normal"/>
    <w:link w:val="H1Char"/>
    <w:qFormat/>
    <w:rsid w:val="00D0705D"/>
    <w:pPr>
      <w:spacing w:before="360" w:after="240"/>
      <w:jc w:val="left"/>
      <w:outlineLvl w:val="0"/>
    </w:pPr>
    <w:rPr>
      <w:b/>
      <w:sz w:val="40"/>
      <w:szCs w:val="52"/>
    </w:rPr>
  </w:style>
  <w:style w:type="paragraph" w:customStyle="1" w:styleId="Bullet1">
    <w:name w:val="Bullet 1"/>
    <w:basedOn w:val="Normal"/>
    <w:rsid w:val="00D0705D"/>
    <w:pPr>
      <w:numPr>
        <w:numId w:val="22"/>
      </w:numPr>
      <w:spacing w:before="60"/>
    </w:pPr>
    <w:rPr>
      <w:rFonts w:eastAsia="Times New Roman"/>
      <w:color w:val="000000"/>
    </w:rPr>
  </w:style>
  <w:style w:type="paragraph" w:customStyle="1" w:styleId="RefItem1">
    <w:name w:val="Ref Item 1"/>
    <w:basedOn w:val="Normal"/>
    <w:rsid w:val="00D0705D"/>
    <w:pPr>
      <w:jc w:val="left"/>
    </w:pPr>
    <w:rPr>
      <w:color w:val="000000"/>
      <w:szCs w:val="24"/>
      <w:lang w:eastAsia="it-IT"/>
    </w:rPr>
  </w:style>
  <w:style w:type="paragraph" w:customStyle="1" w:styleId="RefTitre">
    <w:name w:val="Ref Titre"/>
    <w:basedOn w:val="Normal"/>
    <w:rsid w:val="00D0705D"/>
    <w:pPr>
      <w:jc w:val="left"/>
    </w:pPr>
    <w:rPr>
      <w:rFonts w:eastAsia="Times New Roman"/>
      <w:b/>
      <w:bCs/>
      <w:sz w:val="26"/>
      <w:szCs w:val="26"/>
    </w:rPr>
  </w:style>
  <w:style w:type="paragraph" w:customStyle="1" w:styleId="Header1">
    <w:name w:val="Header 1"/>
    <w:basedOn w:val="Header"/>
    <w:rsid w:val="00D0705D"/>
    <w:rPr>
      <w:b/>
      <w:sz w:val="24"/>
      <w:szCs w:val="24"/>
    </w:rPr>
  </w:style>
  <w:style w:type="character" w:customStyle="1" w:styleId="Pantone485">
    <w:name w:val="Pantone 485"/>
    <w:basedOn w:val="DefaultParagraphFont"/>
    <w:uiPriority w:val="1"/>
    <w:qFormat/>
    <w:rsid w:val="00D0705D"/>
    <w:rPr>
      <w:rFonts w:cs="Caecilia-Light"/>
      <w:color w:val="DC281E"/>
      <w:szCs w:val="16"/>
    </w:rPr>
  </w:style>
  <w:style w:type="character" w:customStyle="1" w:styleId="H1Char">
    <w:name w:val="H1 Char"/>
    <w:basedOn w:val="DefaultParagraphFont"/>
    <w:link w:val="H1"/>
    <w:rsid w:val="00D0705D"/>
    <w:rPr>
      <w:rFonts w:ascii="Arial" w:eastAsiaTheme="minorEastAsia" w:hAnsi="Arial" w:cs="Times New Roman"/>
      <w:b/>
      <w:sz w:val="40"/>
      <w:szCs w:val="52"/>
    </w:rPr>
  </w:style>
  <w:style w:type="table" w:customStyle="1" w:styleId="TableGray">
    <w:name w:val="Table Gray"/>
    <w:basedOn w:val="TableNormal"/>
    <w:uiPriority w:val="99"/>
    <w:rsid w:val="00D0705D"/>
    <w:rPr>
      <w:rFonts w:eastAsiaTheme="minorEastAsia" w:cs="Times New Roman"/>
      <w:sz w:val="20"/>
      <w:szCs w:val="20"/>
    </w:rPr>
    <w:tblPr>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ListParagraph"/>
    <w:rsid w:val="00D0705D"/>
    <w:pPr>
      <w:numPr>
        <w:numId w:val="23"/>
      </w:numPr>
      <w:tabs>
        <w:tab w:val="left" w:pos="7230"/>
      </w:tabs>
      <w:spacing w:before="120" w:after="120"/>
      <w:contextualSpacing w:val="0"/>
    </w:pPr>
    <w:rPr>
      <w:rFonts w:cs="Arial"/>
    </w:rPr>
  </w:style>
  <w:style w:type="paragraph" w:customStyle="1" w:styleId="ListNumber1">
    <w:name w:val="List Number 1"/>
    <w:basedOn w:val="Normal"/>
    <w:rsid w:val="00D0705D"/>
    <w:pPr>
      <w:numPr>
        <w:ilvl w:val="1"/>
        <w:numId w:val="20"/>
      </w:numPr>
      <w:contextualSpacing/>
    </w:pPr>
    <w:rPr>
      <w:rFonts w:eastAsiaTheme="minorHAnsi" w:cstheme="minorHAnsi"/>
      <w:szCs w:val="22"/>
    </w:rPr>
  </w:style>
  <w:style w:type="paragraph" w:customStyle="1" w:styleId="NormalNo">
    <w:name w:val="Normal + No"/>
    <w:basedOn w:val="Normal"/>
    <w:qFormat/>
    <w:rsid w:val="00D0705D"/>
    <w:pPr>
      <w:numPr>
        <w:numId w:val="21"/>
      </w:numPr>
    </w:pPr>
    <w:rPr>
      <w:rFonts w:eastAsia="MS Mincho"/>
      <w:b/>
      <w:sz w:val="22"/>
    </w:rPr>
  </w:style>
  <w:style w:type="paragraph" w:customStyle="1" w:styleId="Bullet3">
    <w:name w:val="Bullet 3"/>
    <w:basedOn w:val="ListParagraph"/>
    <w:qFormat/>
    <w:rsid w:val="00D0705D"/>
    <w:pPr>
      <w:numPr>
        <w:numId w:val="24"/>
      </w:numPr>
      <w:spacing w:before="120" w:after="120"/>
      <w:ind w:right="425"/>
    </w:pPr>
    <w:rPr>
      <w:rFonts w:cs="Arial"/>
      <w:i/>
      <w:iCs/>
    </w:rPr>
  </w:style>
  <w:style w:type="paragraph" w:customStyle="1" w:styleId="Indent">
    <w:name w:val="Indent"/>
    <w:basedOn w:val="Normal"/>
    <w:qFormat/>
    <w:rsid w:val="00D0705D"/>
    <w:pPr>
      <w:ind w:left="567"/>
    </w:pPr>
    <w:rPr>
      <w:rFonts w:cs="Arial"/>
      <w:b/>
    </w:rPr>
  </w:style>
  <w:style w:type="paragraph" w:customStyle="1" w:styleId="TitreTableau">
    <w:name w:val="Titre Tableau"/>
    <w:basedOn w:val="Normal"/>
    <w:qFormat/>
    <w:rsid w:val="00D0705D"/>
    <w:pPr>
      <w:spacing w:before="120"/>
      <w:jc w:val="center"/>
    </w:pPr>
    <w:rPr>
      <w:rFonts w:cs="Arial"/>
      <w:b/>
      <w:bCs/>
      <w:color w:val="FFFFFF" w:themeColor="background1"/>
      <w:lang w:val="en-CA"/>
    </w:rPr>
  </w:style>
  <w:style w:type="paragraph" w:customStyle="1" w:styleId="BulletTableau">
    <w:name w:val="Bullet Tableau"/>
    <w:basedOn w:val="Bullet2"/>
    <w:qFormat/>
    <w:rsid w:val="00D0705D"/>
    <w:pPr>
      <w:keepNext/>
      <w:keepLines/>
      <w:framePr w:hSpace="141" w:wrap="around" w:vAnchor="text" w:hAnchor="margin" w:y="402"/>
      <w:numPr>
        <w:numId w:val="25"/>
      </w:numPr>
      <w:spacing w:beforeLines="60" w:afterLines="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Normal" w:qFormat="1"/>
    <w:lsdException w:name="heading 1" w:uiPriority="9"/>
    <w:lsdException w:name="heading 2" w:uiPriority="9" w:qFormat="1"/>
    <w:lsdException w:name="heading 3" w:uiPriority="9" w:qFormat="1"/>
    <w:lsdException w:name="footnote text" w:uiPriority="99"/>
    <w:lsdException w:name="header" w:uiPriority="99"/>
    <w:lsdException w:name="footer" w:uiPriority="99"/>
    <w:lsdException w:name="footnote reference" w:uiPriority="99"/>
    <w:lsdException w:name="annotation reference" w:uiPriority="99"/>
    <w:lsdException w:name="page number" w:uiPriority="99"/>
    <w:lsdException w:name="Default Paragraph Font" w:uiPriority="1"/>
    <w:lsdException w:name="Hyperlink" w:uiPriority="99"/>
    <w:lsdException w:name="FollowedHyperlink" w:uiPriority="99"/>
    <w:lsdException w:name="annotation subject" w:uiPriority="99"/>
    <w:lsdException w:name="No List" w:uiPriority="99"/>
    <w:lsdException w:name="Balloon Text" w:uiPriority="99"/>
    <w:lsdException w:name="Table Grid" w:uiPriority="59"/>
    <w:lsdException w:name="Revision" w:uiPriority="99"/>
    <w:lsdException w:name="List Paragraph" w:uiPriority="34" w:qFormat="1"/>
  </w:latentStyles>
  <w:style w:type="paragraph" w:default="1" w:styleId="Normal">
    <w:name w:val="Normal"/>
    <w:qFormat/>
    <w:rsid w:val="00D0705D"/>
    <w:pPr>
      <w:spacing w:after="120"/>
      <w:jc w:val="both"/>
    </w:pPr>
    <w:rPr>
      <w:rFonts w:ascii="Arial" w:eastAsiaTheme="minorEastAsia" w:hAnsi="Arial" w:cs="Times New Roman"/>
      <w:sz w:val="20"/>
      <w:szCs w:val="20"/>
    </w:rPr>
  </w:style>
  <w:style w:type="paragraph" w:styleId="Heading1">
    <w:name w:val="heading 1"/>
    <w:basedOn w:val="H1"/>
    <w:next w:val="Normal"/>
    <w:link w:val="Heading1Char"/>
    <w:uiPriority w:val="9"/>
    <w:rsid w:val="00D0705D"/>
  </w:style>
  <w:style w:type="paragraph" w:styleId="Heading2">
    <w:name w:val="heading 2"/>
    <w:basedOn w:val="Normal"/>
    <w:next w:val="Normal"/>
    <w:link w:val="Heading2Char"/>
    <w:uiPriority w:val="9"/>
    <w:unhideWhenUsed/>
    <w:qFormat/>
    <w:rsid w:val="00D0705D"/>
    <w:pPr>
      <w:keepNext/>
      <w:pBdr>
        <w:top w:val="single" w:sz="4" w:space="11" w:color="auto"/>
      </w:pBdr>
      <w:spacing w:before="240" w:after="240"/>
      <w:jc w:val="left"/>
      <w:outlineLvl w:val="1"/>
    </w:pPr>
    <w:rPr>
      <w:b/>
      <w:caps/>
      <w:sz w:val="24"/>
      <w:szCs w:val="26"/>
      <w:shd w:val="clear" w:color="auto" w:fill="FFFFFF"/>
    </w:rPr>
  </w:style>
  <w:style w:type="paragraph" w:styleId="Heading3">
    <w:name w:val="heading 3"/>
    <w:basedOn w:val="Normal"/>
    <w:next w:val="Normal"/>
    <w:link w:val="Heading3Char"/>
    <w:uiPriority w:val="9"/>
    <w:unhideWhenUsed/>
    <w:qFormat/>
    <w:rsid w:val="00D0705D"/>
    <w:pPr>
      <w:keepNext/>
      <w:spacing w:before="240"/>
      <w:jc w:val="left"/>
      <w:outlineLvl w:val="2"/>
    </w:pPr>
    <w:rPr>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0705D"/>
    <w:pPr>
      <w:spacing w:after="240"/>
      <w:ind w:left="720"/>
      <w:contextualSpacing/>
    </w:pPr>
    <w:rPr>
      <w:rFonts w:eastAsiaTheme="minorHAnsi" w:cstheme="minorBidi"/>
      <w:szCs w:val="22"/>
    </w:rPr>
  </w:style>
  <w:style w:type="table" w:styleId="TableGrid">
    <w:name w:val="Table Grid"/>
    <w:basedOn w:val="TableNormal"/>
    <w:uiPriority w:val="59"/>
    <w:rsid w:val="00D0705D"/>
    <w:rPr>
      <w:rFonts w:ascii="Cambria" w:eastAsiaTheme="minorEastAsia"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D0705D"/>
    <w:rPr>
      <w:sz w:val="18"/>
      <w:szCs w:val="18"/>
    </w:rPr>
  </w:style>
  <w:style w:type="paragraph" w:styleId="CommentText">
    <w:name w:val="annotation text"/>
    <w:basedOn w:val="Normal"/>
    <w:link w:val="CommentTextChar"/>
    <w:rsid w:val="00686593"/>
  </w:style>
  <w:style w:type="character" w:customStyle="1" w:styleId="CommentTextChar">
    <w:name w:val="Comment Text Char"/>
    <w:basedOn w:val="DefaultParagraphFont"/>
    <w:link w:val="CommentText"/>
    <w:rsid w:val="00686593"/>
    <w:rPr>
      <w:rFonts w:asciiTheme="majorHAnsi" w:hAnsiTheme="majorHAnsi"/>
      <w:lang w:val="en-GB"/>
    </w:rPr>
  </w:style>
  <w:style w:type="paragraph" w:styleId="CommentSubject">
    <w:name w:val="annotation subject"/>
    <w:basedOn w:val="Normal"/>
    <w:link w:val="CommentSubjectChar"/>
    <w:uiPriority w:val="99"/>
    <w:unhideWhenUsed/>
    <w:rsid w:val="00D0705D"/>
    <w:rPr>
      <w:b/>
      <w:bCs/>
    </w:rPr>
  </w:style>
  <w:style w:type="character" w:customStyle="1" w:styleId="CommentSubjectChar">
    <w:name w:val="Comment Subject Char"/>
    <w:basedOn w:val="DefaultParagraphFont"/>
    <w:link w:val="CommentSubject"/>
    <w:uiPriority w:val="99"/>
    <w:rsid w:val="00D0705D"/>
    <w:rPr>
      <w:rFonts w:ascii="Arial" w:eastAsiaTheme="minorEastAsia" w:hAnsi="Arial" w:cs="Times New Roman"/>
      <w:b/>
      <w:bCs/>
      <w:sz w:val="20"/>
      <w:szCs w:val="20"/>
    </w:rPr>
  </w:style>
  <w:style w:type="paragraph" w:styleId="BalloonText">
    <w:name w:val="Balloon Text"/>
    <w:basedOn w:val="Normal"/>
    <w:link w:val="BalloonTextChar"/>
    <w:uiPriority w:val="99"/>
    <w:unhideWhenUsed/>
    <w:rsid w:val="00D0705D"/>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D0705D"/>
    <w:rPr>
      <w:rFonts w:ascii="Lucida Grande" w:eastAsiaTheme="minorEastAsia" w:hAnsi="Lucida Grande" w:cs="Lucida Grande"/>
      <w:sz w:val="18"/>
      <w:szCs w:val="18"/>
    </w:rPr>
  </w:style>
  <w:style w:type="paragraph" w:styleId="Header">
    <w:name w:val="header"/>
    <w:basedOn w:val="Normal"/>
    <w:link w:val="HeaderChar"/>
    <w:uiPriority w:val="99"/>
    <w:unhideWhenUsed/>
    <w:rsid w:val="00D0705D"/>
    <w:pPr>
      <w:spacing w:after="0" w:line="288" w:lineRule="auto"/>
      <w:jc w:val="left"/>
    </w:pPr>
    <w:rPr>
      <w:sz w:val="16"/>
    </w:rPr>
  </w:style>
  <w:style w:type="character" w:customStyle="1" w:styleId="HeaderChar">
    <w:name w:val="Header Char"/>
    <w:basedOn w:val="DefaultParagraphFont"/>
    <w:link w:val="Header"/>
    <w:uiPriority w:val="99"/>
    <w:rsid w:val="00D0705D"/>
    <w:rPr>
      <w:rFonts w:ascii="Arial" w:eastAsiaTheme="minorEastAsia" w:hAnsi="Arial" w:cs="Times New Roman"/>
      <w:sz w:val="16"/>
      <w:szCs w:val="20"/>
    </w:rPr>
  </w:style>
  <w:style w:type="paragraph" w:styleId="Footer">
    <w:name w:val="footer"/>
    <w:basedOn w:val="Normal"/>
    <w:link w:val="FooterChar"/>
    <w:uiPriority w:val="99"/>
    <w:unhideWhenUsed/>
    <w:rsid w:val="00D0705D"/>
    <w:pPr>
      <w:spacing w:after="0"/>
      <w:jc w:val="left"/>
    </w:pPr>
    <w:rPr>
      <w:sz w:val="16"/>
      <w:szCs w:val="18"/>
    </w:rPr>
  </w:style>
  <w:style w:type="character" w:customStyle="1" w:styleId="FooterChar">
    <w:name w:val="Footer Char"/>
    <w:basedOn w:val="DefaultParagraphFont"/>
    <w:link w:val="Footer"/>
    <w:uiPriority w:val="99"/>
    <w:rsid w:val="00D0705D"/>
    <w:rPr>
      <w:rFonts w:ascii="Arial" w:eastAsiaTheme="minorEastAsia" w:hAnsi="Arial" w:cs="Times New Roman"/>
      <w:sz w:val="16"/>
      <w:szCs w:val="18"/>
    </w:rPr>
  </w:style>
  <w:style w:type="character" w:styleId="PageNumber">
    <w:name w:val="page number"/>
    <w:basedOn w:val="DefaultParagraphFont"/>
    <w:uiPriority w:val="99"/>
    <w:unhideWhenUsed/>
    <w:rsid w:val="00D0705D"/>
    <w:rPr>
      <w:b/>
    </w:rPr>
  </w:style>
  <w:style w:type="character" w:customStyle="1" w:styleId="ListParagraphChar">
    <w:name w:val="List Paragraph Char"/>
    <w:basedOn w:val="DefaultParagraphFont"/>
    <w:link w:val="ListParagraph"/>
    <w:uiPriority w:val="34"/>
    <w:rsid w:val="00D0705D"/>
    <w:rPr>
      <w:rFonts w:ascii="Arial" w:hAnsi="Arial"/>
      <w:sz w:val="20"/>
      <w:szCs w:val="22"/>
    </w:rPr>
  </w:style>
  <w:style w:type="character" w:customStyle="1" w:styleId="Heading1Char">
    <w:name w:val="Heading 1 Char"/>
    <w:basedOn w:val="DefaultParagraphFont"/>
    <w:link w:val="Heading1"/>
    <w:uiPriority w:val="9"/>
    <w:rsid w:val="00D0705D"/>
    <w:rPr>
      <w:rFonts w:ascii="Arial" w:eastAsiaTheme="minorEastAsia" w:hAnsi="Arial" w:cs="Times New Roman"/>
      <w:b/>
      <w:sz w:val="40"/>
      <w:szCs w:val="52"/>
    </w:rPr>
  </w:style>
  <w:style w:type="character" w:customStyle="1" w:styleId="Heading2Char">
    <w:name w:val="Heading 2 Char"/>
    <w:basedOn w:val="DefaultParagraphFont"/>
    <w:link w:val="Heading2"/>
    <w:uiPriority w:val="9"/>
    <w:rsid w:val="00D0705D"/>
    <w:rPr>
      <w:rFonts w:ascii="Arial" w:eastAsiaTheme="minorEastAsia" w:hAnsi="Arial" w:cs="Times New Roman"/>
      <w:b/>
      <w:caps/>
      <w:szCs w:val="26"/>
    </w:rPr>
  </w:style>
  <w:style w:type="character" w:customStyle="1" w:styleId="Heading3Char">
    <w:name w:val="Heading 3 Char"/>
    <w:basedOn w:val="DefaultParagraphFont"/>
    <w:link w:val="Heading3"/>
    <w:uiPriority w:val="9"/>
    <w:rsid w:val="00D0705D"/>
    <w:rPr>
      <w:rFonts w:ascii="Arial" w:eastAsiaTheme="minorEastAsia" w:hAnsi="Arial" w:cs="Times New Roman"/>
      <w:b/>
      <w:sz w:val="22"/>
    </w:rPr>
  </w:style>
  <w:style w:type="paragraph" w:customStyle="1" w:styleId="Default">
    <w:name w:val="Default"/>
    <w:rsid w:val="00D0705D"/>
    <w:pPr>
      <w:widowControl w:val="0"/>
      <w:autoSpaceDE w:val="0"/>
      <w:autoSpaceDN w:val="0"/>
      <w:adjustRightInd w:val="0"/>
    </w:pPr>
    <w:rPr>
      <w:rFonts w:ascii="Arial" w:eastAsiaTheme="minorEastAsia" w:hAnsi="Arial" w:cs="Arial"/>
      <w:color w:val="000000"/>
    </w:rPr>
  </w:style>
  <w:style w:type="character" w:styleId="Hyperlink">
    <w:name w:val="Hyperlink"/>
    <w:basedOn w:val="DefaultParagraphFont"/>
    <w:uiPriority w:val="99"/>
    <w:unhideWhenUsed/>
    <w:rsid w:val="00D0705D"/>
    <w:rPr>
      <w:color w:val="0000FF" w:themeColor="hyperlink"/>
      <w:u w:val="single"/>
    </w:rPr>
  </w:style>
  <w:style w:type="character" w:styleId="FollowedHyperlink">
    <w:name w:val="FollowedHyperlink"/>
    <w:basedOn w:val="DefaultParagraphFont"/>
    <w:uiPriority w:val="99"/>
    <w:unhideWhenUsed/>
    <w:rsid w:val="00D0705D"/>
    <w:rPr>
      <w:color w:val="800080" w:themeColor="followedHyperlink"/>
      <w:u w:val="single"/>
    </w:rPr>
  </w:style>
  <w:style w:type="paragraph" w:styleId="FootnoteText">
    <w:name w:val="footnote text"/>
    <w:basedOn w:val="Normal"/>
    <w:link w:val="FootnoteTextChar"/>
    <w:uiPriority w:val="99"/>
    <w:unhideWhenUsed/>
    <w:rsid w:val="00D0705D"/>
    <w:pPr>
      <w:spacing w:after="0"/>
    </w:pPr>
    <w:rPr>
      <w:sz w:val="16"/>
      <w:szCs w:val="22"/>
    </w:rPr>
  </w:style>
  <w:style w:type="character" w:customStyle="1" w:styleId="FootnoteTextChar">
    <w:name w:val="Footnote Text Char"/>
    <w:basedOn w:val="DefaultParagraphFont"/>
    <w:link w:val="FootnoteText"/>
    <w:uiPriority w:val="99"/>
    <w:rsid w:val="00D0705D"/>
    <w:rPr>
      <w:rFonts w:ascii="Arial" w:eastAsiaTheme="minorEastAsia" w:hAnsi="Arial" w:cs="Times New Roman"/>
      <w:sz w:val="16"/>
      <w:szCs w:val="22"/>
    </w:rPr>
  </w:style>
  <w:style w:type="character" w:styleId="FootnoteReference">
    <w:name w:val="footnote reference"/>
    <w:basedOn w:val="DefaultParagraphFont"/>
    <w:uiPriority w:val="99"/>
    <w:unhideWhenUsed/>
    <w:rsid w:val="00D0705D"/>
    <w:rPr>
      <w:vertAlign w:val="superscript"/>
    </w:rPr>
  </w:style>
  <w:style w:type="paragraph" w:styleId="Revision">
    <w:name w:val="Revision"/>
    <w:hidden/>
    <w:uiPriority w:val="99"/>
    <w:rsid w:val="00D0705D"/>
    <w:rPr>
      <w:rFonts w:ascii="Arial" w:eastAsiaTheme="minorEastAsia" w:hAnsi="Arial" w:cs="Arial"/>
      <w:sz w:val="21"/>
      <w:szCs w:val="21"/>
    </w:rPr>
  </w:style>
  <w:style w:type="paragraph" w:customStyle="1" w:styleId="BasicParagraph">
    <w:name w:val="[Basic Paragraph]"/>
    <w:basedOn w:val="Normal"/>
    <w:uiPriority w:val="99"/>
    <w:rsid w:val="00D0705D"/>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Normal"/>
    <w:link w:val="H1Char"/>
    <w:qFormat/>
    <w:rsid w:val="00D0705D"/>
    <w:pPr>
      <w:spacing w:before="360" w:after="240"/>
      <w:jc w:val="left"/>
      <w:outlineLvl w:val="0"/>
    </w:pPr>
    <w:rPr>
      <w:b/>
      <w:sz w:val="40"/>
      <w:szCs w:val="52"/>
    </w:rPr>
  </w:style>
  <w:style w:type="paragraph" w:customStyle="1" w:styleId="Bullet1">
    <w:name w:val="Bullet 1"/>
    <w:basedOn w:val="Normal"/>
    <w:rsid w:val="00D0705D"/>
    <w:pPr>
      <w:numPr>
        <w:numId w:val="22"/>
      </w:numPr>
      <w:spacing w:before="60"/>
    </w:pPr>
    <w:rPr>
      <w:rFonts w:eastAsia="Times New Roman"/>
      <w:color w:val="000000"/>
    </w:rPr>
  </w:style>
  <w:style w:type="paragraph" w:customStyle="1" w:styleId="RefItem1">
    <w:name w:val="Ref Item 1"/>
    <w:basedOn w:val="Normal"/>
    <w:rsid w:val="00D0705D"/>
    <w:pPr>
      <w:jc w:val="left"/>
    </w:pPr>
    <w:rPr>
      <w:color w:val="000000"/>
      <w:szCs w:val="24"/>
      <w:lang w:eastAsia="it-IT"/>
    </w:rPr>
  </w:style>
  <w:style w:type="paragraph" w:customStyle="1" w:styleId="RefTitre">
    <w:name w:val="Ref Titre"/>
    <w:basedOn w:val="Normal"/>
    <w:rsid w:val="00D0705D"/>
    <w:pPr>
      <w:jc w:val="left"/>
    </w:pPr>
    <w:rPr>
      <w:rFonts w:eastAsia="Times New Roman"/>
      <w:b/>
      <w:bCs/>
      <w:sz w:val="26"/>
      <w:szCs w:val="26"/>
    </w:rPr>
  </w:style>
  <w:style w:type="paragraph" w:customStyle="1" w:styleId="Header1">
    <w:name w:val="Header 1"/>
    <w:basedOn w:val="Header"/>
    <w:rsid w:val="00D0705D"/>
    <w:rPr>
      <w:b/>
      <w:sz w:val="24"/>
      <w:szCs w:val="24"/>
    </w:rPr>
  </w:style>
  <w:style w:type="character" w:customStyle="1" w:styleId="Pantone485">
    <w:name w:val="Pantone 485"/>
    <w:basedOn w:val="DefaultParagraphFont"/>
    <w:uiPriority w:val="1"/>
    <w:qFormat/>
    <w:rsid w:val="00D0705D"/>
    <w:rPr>
      <w:rFonts w:cs="Caecilia-Light"/>
      <w:color w:val="DC281E"/>
      <w:szCs w:val="16"/>
    </w:rPr>
  </w:style>
  <w:style w:type="character" w:customStyle="1" w:styleId="H1Char">
    <w:name w:val="H1 Char"/>
    <w:basedOn w:val="DefaultParagraphFont"/>
    <w:link w:val="H1"/>
    <w:rsid w:val="00D0705D"/>
    <w:rPr>
      <w:rFonts w:ascii="Arial" w:eastAsiaTheme="minorEastAsia" w:hAnsi="Arial" w:cs="Times New Roman"/>
      <w:b/>
      <w:sz w:val="40"/>
      <w:szCs w:val="52"/>
    </w:rPr>
  </w:style>
  <w:style w:type="table" w:customStyle="1" w:styleId="TableGray">
    <w:name w:val="Table Gray"/>
    <w:basedOn w:val="TableNormal"/>
    <w:uiPriority w:val="99"/>
    <w:rsid w:val="00D0705D"/>
    <w:rPr>
      <w:rFonts w:eastAsiaTheme="minorEastAsia" w:cs="Times New Roman"/>
      <w:sz w:val="20"/>
      <w:szCs w:val="20"/>
    </w:rPr>
    <w:tblPr>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ListParagraph"/>
    <w:rsid w:val="00D0705D"/>
    <w:pPr>
      <w:numPr>
        <w:numId w:val="23"/>
      </w:numPr>
      <w:tabs>
        <w:tab w:val="left" w:pos="7230"/>
      </w:tabs>
      <w:spacing w:before="120" w:after="120"/>
      <w:contextualSpacing w:val="0"/>
    </w:pPr>
    <w:rPr>
      <w:rFonts w:cs="Arial"/>
    </w:rPr>
  </w:style>
  <w:style w:type="paragraph" w:customStyle="1" w:styleId="ListNumber1">
    <w:name w:val="List Number 1"/>
    <w:basedOn w:val="Normal"/>
    <w:rsid w:val="00D0705D"/>
    <w:pPr>
      <w:numPr>
        <w:ilvl w:val="1"/>
        <w:numId w:val="20"/>
      </w:numPr>
      <w:contextualSpacing/>
    </w:pPr>
    <w:rPr>
      <w:rFonts w:eastAsiaTheme="minorHAnsi" w:cstheme="minorHAnsi"/>
      <w:szCs w:val="22"/>
    </w:rPr>
  </w:style>
  <w:style w:type="paragraph" w:customStyle="1" w:styleId="NormalNo">
    <w:name w:val="Normal + No"/>
    <w:basedOn w:val="Normal"/>
    <w:qFormat/>
    <w:rsid w:val="00D0705D"/>
    <w:pPr>
      <w:numPr>
        <w:numId w:val="21"/>
      </w:numPr>
    </w:pPr>
    <w:rPr>
      <w:rFonts w:eastAsia="MS Mincho"/>
      <w:b/>
      <w:sz w:val="22"/>
    </w:rPr>
  </w:style>
  <w:style w:type="paragraph" w:customStyle="1" w:styleId="Bullet3">
    <w:name w:val="Bullet 3"/>
    <w:basedOn w:val="ListParagraph"/>
    <w:qFormat/>
    <w:rsid w:val="00D0705D"/>
    <w:pPr>
      <w:numPr>
        <w:numId w:val="24"/>
      </w:numPr>
      <w:spacing w:before="120" w:after="120"/>
      <w:ind w:right="425"/>
    </w:pPr>
    <w:rPr>
      <w:rFonts w:cs="Arial"/>
      <w:i/>
      <w:iCs/>
    </w:rPr>
  </w:style>
  <w:style w:type="paragraph" w:customStyle="1" w:styleId="Indent">
    <w:name w:val="Indent"/>
    <w:basedOn w:val="Normal"/>
    <w:qFormat/>
    <w:rsid w:val="00D0705D"/>
    <w:pPr>
      <w:ind w:left="567"/>
    </w:pPr>
    <w:rPr>
      <w:rFonts w:cs="Arial"/>
      <w:b/>
    </w:rPr>
  </w:style>
  <w:style w:type="paragraph" w:customStyle="1" w:styleId="TitreTableau">
    <w:name w:val="Titre Tableau"/>
    <w:basedOn w:val="Normal"/>
    <w:qFormat/>
    <w:rsid w:val="00D0705D"/>
    <w:pPr>
      <w:spacing w:before="120"/>
      <w:jc w:val="center"/>
    </w:pPr>
    <w:rPr>
      <w:rFonts w:cs="Arial"/>
      <w:b/>
      <w:bCs/>
      <w:color w:val="FFFFFF" w:themeColor="background1"/>
      <w:lang w:val="en-CA"/>
    </w:rPr>
  </w:style>
  <w:style w:type="paragraph" w:customStyle="1" w:styleId="BulletTableau">
    <w:name w:val="Bullet Tableau"/>
    <w:basedOn w:val="Bullet2"/>
    <w:qFormat/>
    <w:rsid w:val="00D0705D"/>
    <w:pPr>
      <w:keepNext/>
      <w:keepLines/>
      <w:framePr w:hSpace="141" w:wrap="around" w:vAnchor="text" w:hAnchor="margin" w:y="402"/>
      <w:numPr>
        <w:numId w:val="25"/>
      </w:numPr>
      <w:spacing w:beforeLines="60" w:before="60" w:afterLines="20" w:after="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4321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oodsecuritycluster.net/sites/default/files/ACF%20-Identificationof%20Vulnerable%20People%20inUrban%20Environments.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foodsecuritycluster.net/sites/default/files/Oxfam-ACF%20Urban%20food%20security%20targeting%20and%20triggers%202013-07-12%20final.pdf" TargetMode="External"/><Relationship Id="rId4" Type="http://schemas.openxmlformats.org/officeDocument/2006/relationships/settings" Target="settings.xml"/><Relationship Id="rId9" Type="http://schemas.openxmlformats.org/officeDocument/2006/relationships/hyperlink" Target="http://reliefweb.int/sites/reliefweb.int/files/resources/les-transferts-monetaires.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s\Croix%20Rouge\ICRC_Templat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ICRC_Template.dotx</Template>
  <TotalTime>579</TotalTime>
  <Pages>3</Pages>
  <Words>1186</Words>
  <Characters>6765</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Independent Consultant</Company>
  <LinksUpToDate>false</LinksUpToDate>
  <CharactersWithSpaces>7936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Pantaleo Creti</dc:creator>
  <cp:keywords/>
  <cp:lastModifiedBy>Florence MAROT</cp:lastModifiedBy>
  <cp:revision>80</cp:revision>
  <cp:lastPrinted>2015-12-15T09:32:00Z</cp:lastPrinted>
  <dcterms:created xsi:type="dcterms:W3CDTF">2014-11-19T16:27:00Z</dcterms:created>
  <dcterms:modified xsi:type="dcterms:W3CDTF">2016-04-29T13:11:00Z</dcterms:modified>
</cp:coreProperties>
</file>