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49435" w14:textId="0605079B" w:rsidR="00F13CF8" w:rsidRDefault="0062030E" w:rsidP="008B379C">
      <w:pPr>
        <w:pStyle w:val="H1"/>
      </w:pPr>
      <w:bookmarkStart w:id="0" w:name="_GoBack"/>
      <w:bookmarkEnd w:id="0"/>
      <w:r w:rsidRPr="0095563D">
        <w:t xml:space="preserve">Roadmap for </w:t>
      </w:r>
      <w:r w:rsidR="0029452B">
        <w:t>p</w:t>
      </w:r>
      <w:r w:rsidR="003E5563">
        <w:t>reparedness</w:t>
      </w:r>
    </w:p>
    <w:p w14:paraId="27342F04" w14:textId="0D557271" w:rsidR="00E91929" w:rsidRDefault="00E91929" w:rsidP="00E91929">
      <w:pPr>
        <w:pStyle w:val="H1"/>
        <w:ind w:left="-170"/>
      </w:pPr>
    </w:p>
    <w:p w14:paraId="08E70AEE" w14:textId="77777777" w:rsidR="007D1A58" w:rsidRPr="007E00C6" w:rsidRDefault="007D1A58" w:rsidP="00674833">
      <w:pPr>
        <w:pStyle w:val="Heading2"/>
      </w:pPr>
      <w:r w:rsidRPr="007E00C6">
        <w:t>INTRODUCTION</w:t>
      </w:r>
    </w:p>
    <w:p w14:paraId="229B0ACE" w14:textId="74C7D33D" w:rsidR="003E5563" w:rsidRPr="00674833" w:rsidRDefault="003E5563" w:rsidP="00674833">
      <w:r>
        <w:t>Preparedness should allow for</w:t>
      </w:r>
      <w:r w:rsidR="00A72793">
        <w:t xml:space="preserve"> the</w:t>
      </w:r>
      <w:r>
        <w:t xml:space="preserve"> building up </w:t>
      </w:r>
      <w:r w:rsidR="00A72793">
        <w:t xml:space="preserve">of </w:t>
      </w:r>
      <w:r>
        <w:t>o</w:t>
      </w:r>
      <w:r w:rsidRPr="001736BA">
        <w:t>perational readiness for timely and appropriate emergency response</w:t>
      </w:r>
      <w:r w:rsidR="00A15C9A">
        <w:t>s</w:t>
      </w:r>
      <w:r w:rsidRPr="001736BA">
        <w:t xml:space="preserve">. With good preparedness, </w:t>
      </w:r>
      <w:r w:rsidR="00A72793">
        <w:t>cash transfer programing (</w:t>
      </w:r>
      <w:r w:rsidR="00D53C90">
        <w:t>CTP</w:t>
      </w:r>
      <w:r w:rsidR="00A72793">
        <w:t>)</w:t>
      </w:r>
      <w:r w:rsidR="00D53C90">
        <w:t xml:space="preserve"> responses</w:t>
      </w:r>
      <w:r w:rsidRPr="001736BA">
        <w:t xml:space="preserve"> can be imple</w:t>
      </w:r>
      <w:r w:rsidR="00D53C90">
        <w:t xml:space="preserve">mented </w:t>
      </w:r>
      <w:r w:rsidR="00A72793">
        <w:t xml:space="preserve">quickly </w:t>
      </w:r>
      <w:r w:rsidR="00A15C9A">
        <w:t>on</w:t>
      </w:r>
      <w:r w:rsidR="00A72793">
        <w:t xml:space="preserve"> a</w:t>
      </w:r>
      <w:r w:rsidR="00A15C9A">
        <w:t xml:space="preserve"> large</w:t>
      </w:r>
      <w:r w:rsidR="00D53C90">
        <w:t xml:space="preserve"> scale. </w:t>
      </w:r>
      <w:r w:rsidR="004948E4" w:rsidRPr="00674833">
        <w:t>If you</w:t>
      </w:r>
      <w:r w:rsidR="00D53C90" w:rsidRPr="00674833">
        <w:t xml:space="preserve"> have already established general preparedness and contingency plans</w:t>
      </w:r>
      <w:r w:rsidR="00A15C9A" w:rsidRPr="00674833">
        <w:t xml:space="preserve">, </w:t>
      </w:r>
      <w:r w:rsidR="004948E4" w:rsidRPr="00674833">
        <w:t>you should ensure that these</w:t>
      </w:r>
      <w:r w:rsidR="00A15C9A" w:rsidRPr="00674833">
        <w:t xml:space="preserve"> plans </w:t>
      </w:r>
      <w:r w:rsidR="004948E4" w:rsidRPr="00674833">
        <w:t xml:space="preserve">take </w:t>
      </w:r>
      <w:r w:rsidR="00A15C9A" w:rsidRPr="00674833">
        <w:t>the CTP component</w:t>
      </w:r>
      <w:r w:rsidR="004948E4" w:rsidRPr="00674833">
        <w:t xml:space="preserve"> into account</w:t>
      </w:r>
      <w:r w:rsidR="00D53C90" w:rsidRPr="00674833">
        <w:t>.</w:t>
      </w:r>
      <w:r w:rsidR="00A72793" w:rsidRPr="00674833">
        <w:t xml:space="preserve"> </w:t>
      </w:r>
    </w:p>
    <w:p w14:paraId="74F2CE23" w14:textId="40A2344C" w:rsidR="00D53C90" w:rsidRPr="00674833" w:rsidRDefault="00A72793" w:rsidP="00674833">
      <w:r w:rsidRPr="00674833">
        <w:t>T</w:t>
      </w:r>
      <w:r w:rsidRPr="006F26A6">
        <w:t xml:space="preserve">he </w:t>
      </w:r>
      <w:r>
        <w:t xml:space="preserve">International </w:t>
      </w:r>
      <w:r w:rsidRPr="006F26A6">
        <w:t>R</w:t>
      </w:r>
      <w:r>
        <w:t xml:space="preserve">ed </w:t>
      </w:r>
      <w:r w:rsidRPr="006F26A6">
        <w:t>C</w:t>
      </w:r>
      <w:r>
        <w:t xml:space="preserve">ross and </w:t>
      </w:r>
      <w:r w:rsidRPr="006F26A6">
        <w:t>R</w:t>
      </w:r>
      <w:r>
        <w:t xml:space="preserve">ed </w:t>
      </w:r>
      <w:r w:rsidRPr="006F26A6">
        <w:t>C</w:t>
      </w:r>
      <w:r>
        <w:t>rescent</w:t>
      </w:r>
      <w:r w:rsidRPr="006F26A6">
        <w:t xml:space="preserve"> Movement </w:t>
      </w:r>
      <w:r>
        <w:t xml:space="preserve">(the Movement) </w:t>
      </w:r>
      <w:r w:rsidRPr="00FF617E">
        <w:rPr>
          <w:i/>
        </w:rPr>
        <w:t>CTP Guidelines for mainstream</w:t>
      </w:r>
      <w:r>
        <w:rPr>
          <w:i/>
        </w:rPr>
        <w:t>ing</w:t>
      </w:r>
      <w:r w:rsidRPr="00FF617E">
        <w:rPr>
          <w:i/>
        </w:rPr>
        <w:t xml:space="preserve"> and preparedness</w:t>
      </w:r>
      <w:r>
        <w:t xml:space="preserve"> </w:t>
      </w:r>
      <w:r w:rsidRPr="00674833">
        <w:rPr>
          <w:bCs/>
          <w:iCs/>
        </w:rPr>
        <w:t xml:space="preserve">suggest a process </w:t>
      </w:r>
      <w:r w:rsidR="00543F28" w:rsidRPr="00674833">
        <w:rPr>
          <w:bCs/>
          <w:iCs/>
        </w:rPr>
        <w:t>organized into three stages</w:t>
      </w:r>
      <w:r w:rsidR="004948E4" w:rsidRPr="00674833">
        <w:rPr>
          <w:bCs/>
          <w:iCs/>
        </w:rPr>
        <w:t xml:space="preserve"> </w:t>
      </w:r>
      <w:r w:rsidR="004948E4" w:rsidRPr="00674833">
        <w:t>to develop</w:t>
      </w:r>
      <w:r w:rsidR="00B00781" w:rsidRPr="00674833">
        <w:t xml:space="preserve"> </w:t>
      </w:r>
      <w:proofErr w:type="gramStart"/>
      <w:r w:rsidR="00B00781" w:rsidRPr="00674833">
        <w:t>a</w:t>
      </w:r>
      <w:r w:rsidR="004948E4" w:rsidRPr="00674833">
        <w:t xml:space="preserve"> </w:t>
      </w:r>
      <w:r w:rsidR="00B00781" w:rsidRPr="00674833">
        <w:t>CTP</w:t>
      </w:r>
      <w:proofErr w:type="gramEnd"/>
      <w:r w:rsidRPr="00674833">
        <w:rPr>
          <w:bCs/>
        </w:rPr>
        <w:t xml:space="preserve"> </w:t>
      </w:r>
      <w:r w:rsidRPr="00674833">
        <w:t>p</w:t>
      </w:r>
      <w:r w:rsidR="004948E4" w:rsidRPr="00674833">
        <w:t>reparedness</w:t>
      </w:r>
      <w:r w:rsidR="004948E4" w:rsidRPr="00674833">
        <w:rPr>
          <w:bCs/>
        </w:rPr>
        <w:t xml:space="preserve"> Plan of Action</w:t>
      </w:r>
      <w:r w:rsidR="00B00781" w:rsidRPr="00674833">
        <w:rPr>
          <w:bCs/>
        </w:rPr>
        <w:t xml:space="preserve"> (</w:t>
      </w:r>
      <w:proofErr w:type="spellStart"/>
      <w:r w:rsidR="00B00781" w:rsidRPr="00674833">
        <w:rPr>
          <w:bCs/>
        </w:rPr>
        <w:t>PoA</w:t>
      </w:r>
      <w:proofErr w:type="spellEnd"/>
      <w:r w:rsidR="00B00781" w:rsidRPr="00674833">
        <w:rPr>
          <w:bCs/>
        </w:rPr>
        <w:t>)</w:t>
      </w:r>
      <w:r w:rsidR="004948E4" w:rsidRPr="00674833">
        <w:rPr>
          <w:bCs/>
        </w:rPr>
        <w:t xml:space="preserve"> and strategy</w:t>
      </w:r>
      <w:r w:rsidR="00543F28" w:rsidRPr="00674833">
        <w:rPr>
          <w:bCs/>
          <w:iCs/>
        </w:rPr>
        <w:t>.</w:t>
      </w:r>
      <w:r w:rsidR="004948E4" w:rsidRPr="00674833">
        <w:t xml:space="preserve"> </w:t>
      </w:r>
      <w:r w:rsidR="00543F28" w:rsidRPr="00674833">
        <w:rPr>
          <w:bCs/>
        </w:rPr>
        <w:t xml:space="preserve">The </w:t>
      </w:r>
      <w:proofErr w:type="spellStart"/>
      <w:r w:rsidR="00543F28" w:rsidRPr="00674833">
        <w:rPr>
          <w:bCs/>
        </w:rPr>
        <w:t>CiE</w:t>
      </w:r>
      <w:proofErr w:type="spellEnd"/>
      <w:r w:rsidR="00543F28" w:rsidRPr="00674833">
        <w:rPr>
          <w:bCs/>
        </w:rPr>
        <w:t xml:space="preserve"> Toolkit makes tools available </w:t>
      </w:r>
      <w:r w:rsidRPr="00674833">
        <w:rPr>
          <w:bCs/>
        </w:rPr>
        <w:t xml:space="preserve">to </w:t>
      </w:r>
      <w:r w:rsidR="00543F28" w:rsidRPr="00674833">
        <w:rPr>
          <w:bCs/>
        </w:rPr>
        <w:t xml:space="preserve">support </w:t>
      </w:r>
      <w:r w:rsidR="00E6698A" w:rsidRPr="00674833">
        <w:rPr>
          <w:bCs/>
        </w:rPr>
        <w:t>the</w:t>
      </w:r>
      <w:r w:rsidR="004948E4" w:rsidRPr="00674833">
        <w:rPr>
          <w:bCs/>
        </w:rPr>
        <w:t>se</w:t>
      </w:r>
      <w:r w:rsidR="00E6698A" w:rsidRPr="00674833">
        <w:rPr>
          <w:bCs/>
        </w:rPr>
        <w:t xml:space="preserve"> three stages</w:t>
      </w:r>
      <w:r w:rsidR="004948E4" w:rsidRPr="00674833">
        <w:rPr>
          <w:bCs/>
        </w:rPr>
        <w:t>:</w:t>
      </w:r>
      <w:r w:rsidR="00E6698A" w:rsidRPr="00674833">
        <w:rPr>
          <w:bCs/>
        </w:rPr>
        <w:t xml:space="preserve"> </w:t>
      </w:r>
      <w:r w:rsidRPr="00674833">
        <w:rPr>
          <w:bCs/>
        </w:rPr>
        <w:t xml:space="preserve"> </w:t>
      </w:r>
    </w:p>
    <w:p w14:paraId="21DB0BA1" w14:textId="217DE510" w:rsidR="00E6698A" w:rsidRDefault="004948E4" w:rsidP="00674833">
      <w:pPr>
        <w:ind w:left="720"/>
      </w:pPr>
      <w:proofErr w:type="gramStart"/>
      <w:r w:rsidRPr="004948E4">
        <w:rPr>
          <w:b/>
        </w:rPr>
        <w:t>Stage 1</w:t>
      </w:r>
      <w:r w:rsidR="00090E17">
        <w:rPr>
          <w:b/>
        </w:rPr>
        <w:t>.</w:t>
      </w:r>
      <w:proofErr w:type="gramEnd"/>
      <w:r w:rsidR="00090E17">
        <w:rPr>
          <w:b/>
        </w:rPr>
        <w:t xml:space="preserve"> </w:t>
      </w:r>
      <w:r w:rsidR="00090E17" w:rsidRPr="00231E3A">
        <w:t>Prepare and analy</w:t>
      </w:r>
      <w:r w:rsidR="000E761A">
        <w:t>s</w:t>
      </w:r>
      <w:r w:rsidR="00090E17" w:rsidRPr="00231E3A">
        <w:t>e</w:t>
      </w:r>
    </w:p>
    <w:p w14:paraId="04E86651" w14:textId="28A7BD6D" w:rsidR="005D170E" w:rsidRDefault="004948E4" w:rsidP="00674833">
      <w:pPr>
        <w:ind w:left="720"/>
      </w:pPr>
      <w:proofErr w:type="gramStart"/>
      <w:r w:rsidRPr="004948E4">
        <w:rPr>
          <w:b/>
        </w:rPr>
        <w:t>Stage 2</w:t>
      </w:r>
      <w:r w:rsidR="00090E17">
        <w:rPr>
          <w:b/>
        </w:rPr>
        <w:t>.</w:t>
      </w:r>
      <w:proofErr w:type="gramEnd"/>
      <w:r w:rsidR="005D170E">
        <w:t xml:space="preserve"> </w:t>
      </w:r>
      <w:r w:rsidR="00090E17">
        <w:t>Develop and implement</w:t>
      </w:r>
    </w:p>
    <w:p w14:paraId="27C2286E" w14:textId="02FDA7E6" w:rsidR="003E5563" w:rsidRDefault="004948E4" w:rsidP="00674833">
      <w:pPr>
        <w:ind w:left="720"/>
      </w:pPr>
      <w:proofErr w:type="gramStart"/>
      <w:r w:rsidRPr="004948E4">
        <w:rPr>
          <w:b/>
        </w:rPr>
        <w:t>Stage 3</w:t>
      </w:r>
      <w:r w:rsidR="00090E17">
        <w:rPr>
          <w:b/>
        </w:rPr>
        <w:t>.</w:t>
      </w:r>
      <w:proofErr w:type="gramEnd"/>
      <w:r w:rsidR="005D170E">
        <w:t xml:space="preserve"> </w:t>
      </w:r>
      <w:r w:rsidR="00044FF0">
        <w:t xml:space="preserve">Review, learn </w:t>
      </w:r>
      <w:r w:rsidR="00090E17">
        <w:t>and improve</w:t>
      </w:r>
    </w:p>
    <w:p w14:paraId="11BF82D6" w14:textId="4848DBD9" w:rsidR="00B550F3" w:rsidRDefault="004948E4" w:rsidP="00674833">
      <w:pPr>
        <w:rPr>
          <w:szCs w:val="22"/>
        </w:rPr>
      </w:pPr>
      <w:r w:rsidRPr="00674833">
        <w:rPr>
          <w:bCs/>
        </w:rPr>
        <w:t xml:space="preserve">For each </w:t>
      </w:r>
      <w:r w:rsidR="005F155B" w:rsidRPr="00674833">
        <w:rPr>
          <w:bCs/>
        </w:rPr>
        <w:t>stage</w:t>
      </w:r>
      <w:r w:rsidRPr="00674833">
        <w:rPr>
          <w:bCs/>
        </w:rPr>
        <w:t>, there is a road</w:t>
      </w:r>
      <w:r w:rsidR="00337C84" w:rsidRPr="00674833">
        <w:rPr>
          <w:bCs/>
        </w:rPr>
        <w:t xml:space="preserve"> </w:t>
      </w:r>
      <w:r w:rsidRPr="00674833">
        <w:rPr>
          <w:bCs/>
        </w:rPr>
        <w:t xml:space="preserve">map with short guidance, minimum standards, description of sub-steps and existing tools. </w:t>
      </w:r>
      <w:r w:rsidR="00A74426">
        <w:rPr>
          <w:color w:val="000000"/>
          <w:szCs w:val="22"/>
          <w:shd w:val="clear" w:color="auto" w:fill="FFFFFF"/>
          <w:lang w:eastAsia="it-IT"/>
        </w:rPr>
        <w:t>The</w:t>
      </w:r>
      <w:r w:rsidR="00527882">
        <w:rPr>
          <w:color w:val="000000"/>
          <w:szCs w:val="22"/>
          <w:shd w:val="clear" w:color="auto" w:fill="FFFFFF"/>
          <w:lang w:eastAsia="it-IT"/>
        </w:rPr>
        <w:t xml:space="preserve"> </w:t>
      </w:r>
      <w:r w:rsidR="00FC3568">
        <w:rPr>
          <w:color w:val="000000"/>
          <w:szCs w:val="22"/>
          <w:shd w:val="clear" w:color="auto" w:fill="FFFFFF"/>
          <w:lang w:eastAsia="it-IT"/>
        </w:rPr>
        <w:t xml:space="preserve">sub-steps and tools suggested </w:t>
      </w:r>
      <w:r w:rsidR="00A87A26">
        <w:rPr>
          <w:color w:val="000000"/>
          <w:szCs w:val="22"/>
          <w:shd w:val="clear" w:color="auto" w:fill="FFFFFF"/>
          <w:lang w:eastAsia="it-IT"/>
        </w:rPr>
        <w:t>can</w:t>
      </w:r>
      <w:r w:rsidR="00FC3568">
        <w:rPr>
          <w:color w:val="000000"/>
          <w:szCs w:val="22"/>
          <w:shd w:val="clear" w:color="auto" w:fill="FFFFFF"/>
          <w:lang w:eastAsia="it-IT"/>
        </w:rPr>
        <w:t xml:space="preserve"> be adapted for use in different contexts</w:t>
      </w:r>
      <w:r w:rsidR="00527882" w:rsidRPr="00325F32">
        <w:rPr>
          <w:rFonts w:eastAsia="+mn-ea" w:cs="Calibri"/>
          <w:iCs/>
          <w:color w:val="000000"/>
          <w:kern w:val="24"/>
          <w:szCs w:val="22"/>
        </w:rPr>
        <w:t>, by different organizations.</w:t>
      </w:r>
      <w:r w:rsidR="000F0CF2">
        <w:rPr>
          <w:rFonts w:eastAsia="+mn-ea" w:cs="Calibri"/>
          <w:iCs/>
          <w:color w:val="000000"/>
          <w:kern w:val="24"/>
          <w:szCs w:val="22"/>
        </w:rPr>
        <w:t xml:space="preserve"> </w:t>
      </w:r>
      <w:r w:rsidR="00FB7EB7">
        <w:rPr>
          <w:rFonts w:eastAsia="+mn-ea" w:cs="Calibri"/>
          <w:iCs/>
          <w:color w:val="000000"/>
          <w:kern w:val="24"/>
          <w:szCs w:val="22"/>
        </w:rPr>
        <w:t>When</w:t>
      </w:r>
      <w:r w:rsidR="00FB7EB7">
        <w:rPr>
          <w:rFonts w:cs="O¯øœ!Ÿ"/>
        </w:rPr>
        <w:t xml:space="preserve"> </w:t>
      </w:r>
      <w:r w:rsidR="00FB7EB7" w:rsidRPr="00F80A2D">
        <w:rPr>
          <w:rFonts w:cs="O¯øœ!Ÿ"/>
        </w:rPr>
        <w:t>adapt</w:t>
      </w:r>
      <w:r w:rsidR="00FB7EB7">
        <w:rPr>
          <w:rFonts w:cs="O¯øœ!Ÿ"/>
        </w:rPr>
        <w:t xml:space="preserve">ing </w:t>
      </w:r>
      <w:r w:rsidR="00FB7EB7" w:rsidRPr="00F80A2D">
        <w:rPr>
          <w:rFonts w:cs="O¯øœ!Ÿ"/>
        </w:rPr>
        <w:t>tools</w:t>
      </w:r>
      <w:r w:rsidR="00FB7EB7">
        <w:rPr>
          <w:rFonts w:cs="O¯øœ!Ÿ"/>
        </w:rPr>
        <w:t xml:space="preserve"> to your context and needs, you can </w:t>
      </w:r>
      <w:r w:rsidR="00A72793">
        <w:rPr>
          <w:rFonts w:cs="O¯øœ!Ÿ"/>
        </w:rPr>
        <w:t xml:space="preserve">find </w:t>
      </w:r>
      <w:r w:rsidR="00FB7EB7">
        <w:rPr>
          <w:rFonts w:cs="O¯øœ!Ÿ"/>
        </w:rPr>
        <w:t xml:space="preserve">detailed guidance on preparedness from the </w:t>
      </w:r>
      <w:r w:rsidR="00FB7EB7" w:rsidRPr="00627635">
        <w:t>reference documents</w:t>
      </w:r>
      <w:r w:rsidR="00FB7EB7" w:rsidRPr="0029452B">
        <w:rPr>
          <w:rFonts w:cs="O¯øœ!Ÿ"/>
        </w:rPr>
        <w:t xml:space="preserve"> suggested</w:t>
      </w:r>
      <w:r w:rsidR="00FB7EB7">
        <w:rPr>
          <w:rFonts w:cs="O¯øœ!Ÿ"/>
        </w:rPr>
        <w:t xml:space="preserve"> at</w:t>
      </w:r>
      <w:r w:rsidR="00A72793">
        <w:rPr>
          <w:rFonts w:cs="O¯øœ!Ÿ"/>
        </w:rPr>
        <w:t xml:space="preserve"> both</w:t>
      </w:r>
      <w:r w:rsidR="00FB7EB7">
        <w:rPr>
          <w:rFonts w:cs="O¯øœ!Ÿ"/>
        </w:rPr>
        <w:t xml:space="preserve"> module and step levels</w:t>
      </w:r>
      <w:r w:rsidR="005F3235">
        <w:rPr>
          <w:szCs w:val="22"/>
        </w:rPr>
        <w:t>. For each step, minimum standards are suggested to help the practitioner understand what is ma</w:t>
      </w:r>
      <w:r w:rsidR="00B550F3">
        <w:rPr>
          <w:szCs w:val="22"/>
        </w:rPr>
        <w:t>ndatory throughout the process.</w:t>
      </w:r>
      <w:r w:rsidR="00A72793">
        <w:rPr>
          <w:szCs w:val="22"/>
        </w:rPr>
        <w:t xml:space="preserve"> </w:t>
      </w:r>
    </w:p>
    <w:p w14:paraId="7B0B0163" w14:textId="2093001D" w:rsidR="001B79C9" w:rsidRPr="00853516" w:rsidRDefault="00333EA9" w:rsidP="0016162D">
      <w:pPr>
        <w:pStyle w:val="Heading2"/>
      </w:pPr>
      <w:r w:rsidRPr="007E00C6">
        <w:t>MINIMUM STANDARDS</w:t>
      </w:r>
    </w:p>
    <w:p w14:paraId="31672AD7" w14:textId="42781201" w:rsidR="00C97F74" w:rsidRPr="00AB382D" w:rsidRDefault="00C97F74" w:rsidP="0016162D">
      <w:pPr>
        <w:pStyle w:val="Bullet1"/>
        <w:keepNext/>
        <w:rPr>
          <w:rFonts w:cs="Times"/>
        </w:rPr>
      </w:pPr>
      <w:r w:rsidRPr="00674833">
        <w:t>CTP should be mainstreamed into strategic, contingency and response plans, including human resources, finance, monitoring and evaluation, and resource mobilization</w:t>
      </w:r>
      <w:r w:rsidR="00A72793" w:rsidRPr="00674833">
        <w:t xml:space="preserve"> systems</w:t>
      </w:r>
      <w:r w:rsidRPr="00674833">
        <w:t>.</w:t>
      </w:r>
    </w:p>
    <w:p w14:paraId="2896CE45" w14:textId="4B5C90C4" w:rsidR="00095A26" w:rsidRPr="00AB382D" w:rsidRDefault="00095A26" w:rsidP="0016162D">
      <w:pPr>
        <w:pStyle w:val="Bullet1"/>
        <w:rPr>
          <w:rFonts w:cs="Times"/>
        </w:rPr>
      </w:pPr>
      <w:r w:rsidRPr="00674833">
        <w:t xml:space="preserve">The different departments involved in a potential CTP </w:t>
      </w:r>
      <w:r w:rsidR="00A72793" w:rsidRPr="00674833">
        <w:t>response, particularly Logistics and F</w:t>
      </w:r>
      <w:r w:rsidRPr="00674833">
        <w:t>inance, should collaborate in preparedness planning, mainstreaming and implementation.</w:t>
      </w:r>
    </w:p>
    <w:p w14:paraId="633431CA" w14:textId="77777777" w:rsidR="00AB382D" w:rsidRPr="00674833" w:rsidRDefault="00AB382D" w:rsidP="0016162D">
      <w:pPr>
        <w:pStyle w:val="Bullet1"/>
      </w:pPr>
      <w:r w:rsidRPr="00674833">
        <w:t>Secondary data collection and analysis should be carried out first to provide a general picture of the situation and allow for an initial context analysis.</w:t>
      </w:r>
    </w:p>
    <w:p w14:paraId="5BA2F275" w14:textId="25DD05DE" w:rsidR="00AB382D" w:rsidRPr="00AB382D" w:rsidRDefault="00AB382D" w:rsidP="0016162D">
      <w:pPr>
        <w:pStyle w:val="Bullet1"/>
        <w:rPr>
          <w:rFonts w:cs="Times"/>
        </w:rPr>
      </w:pPr>
      <w:r w:rsidRPr="00674833">
        <w:rPr>
          <w:color w:val="000000" w:themeColor="text1"/>
        </w:rPr>
        <w:t>Among the po</w:t>
      </w:r>
      <w:r w:rsidR="00A72793" w:rsidRPr="00674833">
        <w:rPr>
          <w:color w:val="000000" w:themeColor="text1"/>
        </w:rPr>
        <w:t>ssible scenarios, at least the ‘worst-case scenario’</w:t>
      </w:r>
      <w:r w:rsidRPr="00674833">
        <w:rPr>
          <w:color w:val="000000" w:themeColor="text1"/>
        </w:rPr>
        <w:t xml:space="preserve"> should be developed</w:t>
      </w:r>
      <w:r w:rsidR="00A72793" w:rsidRPr="00674833">
        <w:rPr>
          <w:color w:val="000000" w:themeColor="text1"/>
        </w:rPr>
        <w:t>,</w:t>
      </w:r>
      <w:r w:rsidRPr="00674833">
        <w:rPr>
          <w:color w:val="000000" w:themeColor="text1"/>
        </w:rPr>
        <w:t xml:space="preserve"> based </w:t>
      </w:r>
      <w:r w:rsidRPr="00674833">
        <w:t>upon the initial context analysis</w:t>
      </w:r>
      <w:r w:rsidR="00A72793" w:rsidRPr="00674833">
        <w:t>,</w:t>
      </w:r>
      <w:r w:rsidRPr="00674833">
        <w:t xml:space="preserve"> and include a first indication of the potential response options.</w:t>
      </w:r>
    </w:p>
    <w:p w14:paraId="70413543" w14:textId="740548A8" w:rsidR="00F674F8" w:rsidRPr="00AB382D" w:rsidRDefault="00F674F8" w:rsidP="0016162D">
      <w:pPr>
        <w:pStyle w:val="Bullet1"/>
        <w:rPr>
          <w:rFonts w:cs="Times"/>
        </w:rPr>
      </w:pPr>
      <w:r w:rsidRPr="00674833">
        <w:t>Pre-disaster baseline</w:t>
      </w:r>
      <w:r w:rsidR="00AB382D" w:rsidRPr="00674833">
        <w:t>s</w:t>
      </w:r>
      <w:r w:rsidRPr="00674833">
        <w:t xml:space="preserve"> should include an analysis of key stakeholders, market conditions</w:t>
      </w:r>
      <w:r w:rsidR="00165AA4" w:rsidRPr="00674833">
        <w:t>,</w:t>
      </w:r>
      <w:r w:rsidRPr="00674833">
        <w:t xml:space="preserve"> service providers’ capacity, community access and preferences, and risks associated with a potential CTP response.</w:t>
      </w:r>
    </w:p>
    <w:p w14:paraId="552CBBCB" w14:textId="77777777" w:rsidR="00AB382D" w:rsidRPr="00674833" w:rsidRDefault="00AB382D" w:rsidP="0016162D">
      <w:pPr>
        <w:pStyle w:val="Bullet1"/>
        <w:rPr>
          <w:color w:val="000000" w:themeColor="text1"/>
        </w:rPr>
      </w:pPr>
      <w:r w:rsidRPr="00674833">
        <w:t>A cash feasibility analysis based on the baseline findings, particularly beneficiary preferences, and market and service providers’ capacity should be carried out to identify the response modalities and mechanisms that are more suited to respond to the scenarios developed.</w:t>
      </w:r>
    </w:p>
    <w:p w14:paraId="2F97ED85" w14:textId="60D5009A" w:rsidR="00F674F8" w:rsidRPr="00AB382D" w:rsidRDefault="005F155B" w:rsidP="0016162D">
      <w:pPr>
        <w:pStyle w:val="Bullet1"/>
        <w:rPr>
          <w:rFonts w:cs="Times"/>
        </w:rPr>
      </w:pPr>
      <w:r w:rsidRPr="00674833">
        <w:t>A</w:t>
      </w:r>
      <w:r w:rsidR="00F674F8" w:rsidRPr="00674833">
        <w:t xml:space="preserve"> self-assessment </w:t>
      </w:r>
      <w:r w:rsidRPr="00674833">
        <w:t xml:space="preserve">exercise should be carried out </w:t>
      </w:r>
      <w:r w:rsidR="00AB382D" w:rsidRPr="00674833">
        <w:t xml:space="preserve">with the participation of </w:t>
      </w:r>
      <w:r w:rsidR="00AB382D" w:rsidRPr="00AB382D">
        <w:rPr>
          <w:rFonts w:eastAsia="Arial"/>
          <w:spacing w:val="-3"/>
          <w:w w:val="102"/>
        </w:rPr>
        <w:t xml:space="preserve">decision-makers from key departments </w:t>
      </w:r>
      <w:r w:rsidR="00F674F8" w:rsidRPr="00674833">
        <w:t xml:space="preserve">to identify </w:t>
      </w:r>
      <w:r w:rsidRPr="00674833">
        <w:t xml:space="preserve">organizational </w:t>
      </w:r>
      <w:r w:rsidR="00F674F8" w:rsidRPr="00674833">
        <w:t xml:space="preserve">capacity gaps to implement CTP </w:t>
      </w:r>
      <w:r w:rsidR="00A72793" w:rsidRPr="00674833">
        <w:t xml:space="preserve">at </w:t>
      </w:r>
      <w:r w:rsidR="00F674F8" w:rsidRPr="00674833">
        <w:t>scale</w:t>
      </w:r>
      <w:r w:rsidR="00A72793" w:rsidRPr="00674833">
        <w:t xml:space="preserve"> and in a timely manner</w:t>
      </w:r>
      <w:r w:rsidR="00F674F8" w:rsidRPr="00674833">
        <w:t>.</w:t>
      </w:r>
      <w:r w:rsidR="00F0073E" w:rsidRPr="00674833">
        <w:t xml:space="preserve"> </w:t>
      </w:r>
    </w:p>
    <w:p w14:paraId="727FE2E0" w14:textId="3458AAC7" w:rsidR="00593F9E" w:rsidRPr="00593F9E" w:rsidRDefault="00B4685C" w:rsidP="0016162D">
      <w:pPr>
        <w:pStyle w:val="Bullet1"/>
        <w:rPr>
          <w:rFonts w:cs="Times"/>
        </w:rPr>
      </w:pPr>
      <w:r w:rsidRPr="00674833">
        <w:lastRenderedPageBreak/>
        <w:t>A</w:t>
      </w:r>
      <w:r w:rsidR="00593F9E" w:rsidRPr="00674833">
        <w:t xml:space="preserve"> CTP technical working group (TWG) should be established under the leadership of the CTP focal point to overview the development, implementation and monitoring of the preparedness Plan of Action (</w:t>
      </w:r>
      <w:proofErr w:type="spellStart"/>
      <w:r w:rsidR="00593F9E" w:rsidRPr="00674833">
        <w:t>PoA</w:t>
      </w:r>
      <w:proofErr w:type="spellEnd"/>
      <w:r w:rsidR="00593F9E" w:rsidRPr="00674833">
        <w:t xml:space="preserve">). </w:t>
      </w:r>
    </w:p>
    <w:p w14:paraId="2F2FAA3B" w14:textId="246042B3" w:rsidR="002C07A0" w:rsidRPr="00593F9E" w:rsidRDefault="00BE6F9F" w:rsidP="0016162D">
      <w:pPr>
        <w:pStyle w:val="Bullet1"/>
      </w:pPr>
      <w:r w:rsidRPr="00593F9E">
        <w:t>The CTP p</w:t>
      </w:r>
      <w:r w:rsidR="002C07A0" w:rsidRPr="00593F9E">
        <w:t>reparedness Plan of Action</w:t>
      </w:r>
      <w:r w:rsidRPr="00593F9E">
        <w:t xml:space="preserve"> (</w:t>
      </w:r>
      <w:proofErr w:type="spellStart"/>
      <w:r w:rsidRPr="00593F9E">
        <w:t>Po</w:t>
      </w:r>
      <w:r w:rsidR="002C07A0" w:rsidRPr="00593F9E">
        <w:t>A</w:t>
      </w:r>
      <w:proofErr w:type="spellEnd"/>
      <w:r w:rsidR="002C07A0" w:rsidRPr="00593F9E">
        <w:t xml:space="preserve">) </w:t>
      </w:r>
      <w:r w:rsidRPr="00593F9E">
        <w:t xml:space="preserve">should be </w:t>
      </w:r>
      <w:r w:rsidR="00165AA4">
        <w:t>multi-annual,</w:t>
      </w:r>
      <w:r w:rsidR="00A72793">
        <w:t xml:space="preserve"> budgeted and </w:t>
      </w:r>
      <w:r w:rsidR="002C07A0" w:rsidRPr="00593F9E">
        <w:t>resourced</w:t>
      </w:r>
      <w:r w:rsidR="00A72793">
        <w:t xml:space="preserve"> properly</w:t>
      </w:r>
      <w:r w:rsidR="002C07A0" w:rsidRPr="00593F9E">
        <w:t>, ha</w:t>
      </w:r>
      <w:r w:rsidRPr="00593F9E">
        <w:t>ve</w:t>
      </w:r>
      <w:r w:rsidR="002C07A0" w:rsidRPr="00593F9E">
        <w:t xml:space="preserve"> clear activities and outputs</w:t>
      </w:r>
      <w:r w:rsidR="00095A26">
        <w:t xml:space="preserve">, and be </w:t>
      </w:r>
      <w:r w:rsidR="00C97F74">
        <w:t>updated annually</w:t>
      </w:r>
      <w:r w:rsidR="002C07A0" w:rsidRPr="00593F9E">
        <w:t>.</w:t>
      </w:r>
    </w:p>
    <w:p w14:paraId="52A260D7" w14:textId="7A06682A" w:rsidR="002C07A0" w:rsidRPr="00593F9E" w:rsidRDefault="002C07A0" w:rsidP="0016162D">
      <w:pPr>
        <w:pStyle w:val="Bullet1"/>
      </w:pPr>
      <w:r w:rsidRPr="00593F9E">
        <w:t xml:space="preserve">CTP </w:t>
      </w:r>
      <w:r w:rsidR="00A72793">
        <w:t>standard operating procedures (</w:t>
      </w:r>
      <w:r w:rsidRPr="00593F9E">
        <w:t>SOPs</w:t>
      </w:r>
      <w:r w:rsidR="00A72793">
        <w:t>)</w:t>
      </w:r>
      <w:r w:rsidRPr="00593F9E">
        <w:t xml:space="preserve">, systems and procedures </w:t>
      </w:r>
      <w:r w:rsidR="00BE6F9F" w:rsidRPr="00593F9E">
        <w:t>should be</w:t>
      </w:r>
      <w:r w:rsidRPr="00593F9E">
        <w:t xml:space="preserve"> agreed</w:t>
      </w:r>
      <w:r w:rsidR="00BE6F9F" w:rsidRPr="00593F9E">
        <w:t xml:space="preserve"> upon</w:t>
      </w:r>
      <w:r w:rsidRPr="00593F9E">
        <w:t xml:space="preserve">, </w:t>
      </w:r>
      <w:r w:rsidR="00BE6F9F" w:rsidRPr="00593F9E">
        <w:t xml:space="preserve">made </w:t>
      </w:r>
      <w:r w:rsidRPr="00593F9E">
        <w:t xml:space="preserve">widely available </w:t>
      </w:r>
      <w:r w:rsidR="00BE6F9F" w:rsidRPr="00593F9E">
        <w:t>and</w:t>
      </w:r>
      <w:r w:rsidRPr="00593F9E">
        <w:t xml:space="preserve"> updated periodically. </w:t>
      </w:r>
    </w:p>
    <w:p w14:paraId="0E0BFBBC" w14:textId="0474640F" w:rsidR="00BE6F9F" w:rsidRPr="00593F9E" w:rsidRDefault="00BE6F9F" w:rsidP="0016162D">
      <w:pPr>
        <w:pStyle w:val="Bullet1"/>
        <w:rPr>
          <w:rFonts w:cs="Times"/>
        </w:rPr>
      </w:pPr>
      <w:r w:rsidRPr="00674833">
        <w:t>Simulations or pilots should be conducted to test the CTP</w:t>
      </w:r>
      <w:r w:rsidR="00A72793" w:rsidRPr="00674833">
        <w:t xml:space="preserve">’s operational </w:t>
      </w:r>
      <w:r w:rsidR="00F164D6" w:rsidRPr="00674833">
        <w:t>readiness and</w:t>
      </w:r>
      <w:r w:rsidRPr="00674833">
        <w:t xml:space="preserve"> should be repeated over time.</w:t>
      </w:r>
    </w:p>
    <w:p w14:paraId="7CC51A15" w14:textId="77777777" w:rsidR="00593F9E" w:rsidRPr="00593F9E" w:rsidRDefault="00593F9E" w:rsidP="0016162D">
      <w:pPr>
        <w:pStyle w:val="Bullet1"/>
        <w:rPr>
          <w:rFonts w:cs="Times"/>
        </w:rPr>
      </w:pPr>
      <w:r w:rsidRPr="00674833">
        <w:t>Internal and external CTP coordination mechanisms must be put in place.</w:t>
      </w:r>
    </w:p>
    <w:p w14:paraId="3086A013" w14:textId="7FA7645D" w:rsidR="002C07A0" w:rsidRPr="00593F9E" w:rsidRDefault="00BE6F9F" w:rsidP="0016162D">
      <w:pPr>
        <w:pStyle w:val="Bullet1"/>
      </w:pPr>
      <w:r w:rsidRPr="00593F9E">
        <w:t>CTP should be mainstreamed into the communication strategy</w:t>
      </w:r>
      <w:r w:rsidR="00593F9E" w:rsidRPr="00593F9E">
        <w:t xml:space="preserve"> and plans.</w:t>
      </w:r>
    </w:p>
    <w:p w14:paraId="20C963F5" w14:textId="53C24E1A" w:rsidR="00F57C12" w:rsidRPr="00090E17" w:rsidRDefault="002C07A0" w:rsidP="0016162D">
      <w:pPr>
        <w:pStyle w:val="Bullet1"/>
      </w:pPr>
      <w:r w:rsidRPr="00593F9E">
        <w:t xml:space="preserve">Learning from operations and responses </w:t>
      </w:r>
      <w:r w:rsidR="00593F9E" w:rsidRPr="00593F9E">
        <w:t xml:space="preserve">should </w:t>
      </w:r>
      <w:r w:rsidR="00A72793">
        <w:t xml:space="preserve">be </w:t>
      </w:r>
      <w:r w:rsidRPr="00593F9E">
        <w:t>captured</w:t>
      </w:r>
      <w:r w:rsidR="00593F9E" w:rsidRPr="00593F9E">
        <w:t>,</w:t>
      </w:r>
      <w:r w:rsidRPr="00593F9E">
        <w:t xml:space="preserve"> and procedures, tools and training materials </w:t>
      </w:r>
      <w:r w:rsidR="00593F9E" w:rsidRPr="00593F9E">
        <w:t>should be</w:t>
      </w:r>
      <w:r w:rsidRPr="00593F9E">
        <w:t xml:space="preserve"> updated as necessary. </w:t>
      </w:r>
    </w:p>
    <w:p w14:paraId="690C7AF4" w14:textId="659D3F04" w:rsidR="00E075B1" w:rsidRDefault="00996780" w:rsidP="00674833">
      <w:pPr>
        <w:pStyle w:val="Heading2"/>
      </w:pPr>
      <w:proofErr w:type="gramStart"/>
      <w:r>
        <w:t>ST</w:t>
      </w:r>
      <w:r w:rsidR="00E075B1">
        <w:t>AGE 1.</w:t>
      </w:r>
      <w:proofErr w:type="gramEnd"/>
      <w:r w:rsidR="00E075B1">
        <w:t xml:space="preserve"> PREPARE AND ANALYSE</w:t>
      </w:r>
    </w:p>
    <w:p w14:paraId="7CD0A7BC" w14:textId="4A78C5CE" w:rsidR="005349AC" w:rsidRDefault="00090E17" w:rsidP="00B550F3">
      <w:pPr>
        <w:spacing w:before="120"/>
      </w:pPr>
      <w:r w:rsidRPr="004460E6">
        <w:t xml:space="preserve">Stage 1 is focused on the processes of </w:t>
      </w:r>
      <w:r w:rsidR="00AB382D" w:rsidRPr="004460E6">
        <w:t xml:space="preserve">conducting a context analysis based on secondary data, developing and analysing scenarios, </w:t>
      </w:r>
      <w:r w:rsidRPr="004460E6">
        <w:t>documenting baseline</w:t>
      </w:r>
      <w:r w:rsidR="00AB382D" w:rsidRPr="004460E6">
        <w:t>s</w:t>
      </w:r>
      <w:r w:rsidRPr="004460E6">
        <w:t>, and identifying the CTP preparedness gap</w:t>
      </w:r>
      <w:r w:rsidR="00AB382D" w:rsidRPr="004460E6">
        <w:t xml:space="preserve"> through a self-assessment exercise.</w:t>
      </w:r>
    </w:p>
    <w:p w14:paraId="608BCB21" w14:textId="076B90CF" w:rsidR="00B4685C" w:rsidRPr="00627635" w:rsidRDefault="00B4685C" w:rsidP="00B4685C">
      <w:pPr>
        <w:spacing w:before="120"/>
      </w:pPr>
      <w:r w:rsidRPr="00627635">
        <w:t xml:space="preserve">Secondary data provides a reference point against which the scale and scope of a future disaster can be understood. It also generates information based on which scenarios will be developed.  Baselines documentation will deepen the context analysis with information on the enabling context, including: government programmes and policies; community and household needs and access to, use of and preferences around cash; market and service providers’ capacity; </w:t>
      </w:r>
      <w:r w:rsidR="00A72793" w:rsidRPr="00627635">
        <w:t xml:space="preserve">and </w:t>
      </w:r>
      <w:r w:rsidRPr="00627635">
        <w:t>cash-related risks. First-hand information will have to be collected to fill relevant gaps and answer outstanding questions.</w:t>
      </w:r>
    </w:p>
    <w:p w14:paraId="0C5337AB" w14:textId="6E1C3FBF" w:rsidR="00B4685C" w:rsidRPr="00627635" w:rsidRDefault="00B4685C" w:rsidP="00B4685C">
      <w:r w:rsidRPr="00627635">
        <w:t xml:space="preserve">The development and analysis of scenarios should be based on assumptions about how an emergency can take place and evolve as a consequence of triggering factors or events, such as conflicts, disasters, etc.  A scenario should include: its likelihood and potential severity; its triggers and assumptions; its potential impact; </w:t>
      </w:r>
      <w:r w:rsidR="00A72793" w:rsidRPr="00627635">
        <w:t xml:space="preserve">and </w:t>
      </w:r>
      <w:r w:rsidRPr="00627635">
        <w:t xml:space="preserve">the humanitarian needs and operational constraints associated with it. </w:t>
      </w:r>
      <w:r w:rsidR="00A72793" w:rsidRPr="00627635">
        <w:t>Also, i</w:t>
      </w:r>
      <w:r w:rsidRPr="00627635">
        <w:t>t should give a first indication of the potential response options (modality and mechanisms) and their scale.</w:t>
      </w:r>
    </w:p>
    <w:p w14:paraId="1DB2B1C6" w14:textId="19D21649" w:rsidR="00933BEE" w:rsidRPr="00674833" w:rsidRDefault="004820CE" w:rsidP="004820CE">
      <w:pPr>
        <w:rPr>
          <w:rFonts w:eastAsia="+mn-ea"/>
          <w:iCs/>
          <w:kern w:val="24"/>
          <w:szCs w:val="22"/>
          <w:lang w:eastAsia="en-GB"/>
        </w:rPr>
      </w:pPr>
      <w:r w:rsidRPr="00627635">
        <w:t>The p</w:t>
      </w:r>
      <w:r w:rsidR="00E03CF1" w:rsidRPr="00627635">
        <w:t xml:space="preserve">reparedness gap analysis </w:t>
      </w:r>
      <w:r w:rsidRPr="00627635">
        <w:t>should involve</w:t>
      </w:r>
      <w:r w:rsidR="00E03CF1" w:rsidRPr="00627635">
        <w:t xml:space="preserve"> </w:t>
      </w:r>
      <w:r w:rsidRPr="00627635">
        <w:t>the main decision-makers from key</w:t>
      </w:r>
      <w:r w:rsidRPr="00627635">
        <w:rPr>
          <w:rFonts w:eastAsia="Arial" w:cstheme="minorBidi"/>
          <w:spacing w:val="-3"/>
          <w:w w:val="102"/>
          <w:szCs w:val="22"/>
        </w:rPr>
        <w:t xml:space="preserve"> departments (disaster management, health, logistics, finance, branch development etc.). Their engagement can be facilitated by advocacy efforts that should take place from the beginning of the preparedness phase. </w:t>
      </w:r>
      <w:r w:rsidR="00E03CF1" w:rsidRPr="00627635">
        <w:rPr>
          <w:rFonts w:eastAsia="Arial" w:cstheme="minorBidi"/>
          <w:spacing w:val="-3"/>
          <w:w w:val="102"/>
          <w:szCs w:val="22"/>
        </w:rPr>
        <w:t xml:space="preserve">A first workshop can serve </w:t>
      </w:r>
      <w:r w:rsidR="004460E6" w:rsidRPr="00627635">
        <w:rPr>
          <w:rFonts w:eastAsia="Arial" w:cstheme="minorBidi"/>
          <w:spacing w:val="-3"/>
          <w:w w:val="102"/>
          <w:szCs w:val="22"/>
        </w:rPr>
        <w:t>this purpose and</w:t>
      </w:r>
      <w:r w:rsidR="00E03CF1" w:rsidRPr="00627635">
        <w:rPr>
          <w:rFonts w:eastAsia="Arial" w:cstheme="minorBidi"/>
          <w:spacing w:val="-3"/>
          <w:w w:val="102"/>
          <w:szCs w:val="22"/>
        </w:rPr>
        <w:t xml:space="preserve"> get the organization ready to conduct</w:t>
      </w:r>
      <w:r w:rsidRPr="004460E6">
        <w:rPr>
          <w:rFonts w:eastAsia="Arial" w:cstheme="minorBidi"/>
          <w:spacing w:val="-3"/>
          <w:w w:val="102"/>
          <w:szCs w:val="22"/>
        </w:rPr>
        <w:t xml:space="preserve"> the</w:t>
      </w:r>
      <w:r w:rsidR="00E03CF1" w:rsidRPr="004460E6">
        <w:rPr>
          <w:rFonts w:eastAsia="Arial" w:cstheme="minorBidi"/>
          <w:spacing w:val="-3"/>
          <w:w w:val="102"/>
          <w:szCs w:val="22"/>
        </w:rPr>
        <w:t xml:space="preserve"> </w:t>
      </w:r>
      <w:r w:rsidR="00E03CF1" w:rsidRPr="00674833">
        <w:rPr>
          <w:w w:val="102"/>
          <w:szCs w:val="22"/>
        </w:rPr>
        <w:t>preparedness gap analysis</w:t>
      </w:r>
      <w:r w:rsidRPr="00674833">
        <w:rPr>
          <w:w w:val="102"/>
          <w:szCs w:val="22"/>
        </w:rPr>
        <w:t>,</w:t>
      </w:r>
      <w:r w:rsidR="00E03CF1" w:rsidRPr="00674833">
        <w:rPr>
          <w:w w:val="102"/>
          <w:szCs w:val="22"/>
        </w:rPr>
        <w:t xml:space="preserve"> review </w:t>
      </w:r>
      <w:r w:rsidRPr="00674833">
        <w:rPr>
          <w:w w:val="102"/>
          <w:szCs w:val="22"/>
        </w:rPr>
        <w:t>its</w:t>
      </w:r>
      <w:r w:rsidR="00E03CF1" w:rsidRPr="00674833">
        <w:rPr>
          <w:w w:val="102"/>
          <w:szCs w:val="22"/>
        </w:rPr>
        <w:t xml:space="preserve"> CTP operational readiness and identify priority areas f</w:t>
      </w:r>
      <w:r w:rsidR="00A72793" w:rsidRPr="00674833">
        <w:rPr>
          <w:w w:val="102"/>
          <w:szCs w:val="22"/>
        </w:rPr>
        <w:t>or development. This can be undertaken</w:t>
      </w:r>
      <w:r w:rsidR="00E03CF1" w:rsidRPr="00674833">
        <w:rPr>
          <w:w w:val="102"/>
          <w:szCs w:val="22"/>
        </w:rPr>
        <w:t xml:space="preserve"> </w:t>
      </w:r>
      <w:r w:rsidRPr="00674833">
        <w:rPr>
          <w:w w:val="102"/>
          <w:szCs w:val="22"/>
        </w:rPr>
        <w:t>through a self-assessment workshop with the participation of</w:t>
      </w:r>
      <w:r w:rsidR="00E03CF1" w:rsidRPr="00674833">
        <w:rPr>
          <w:w w:val="102"/>
          <w:szCs w:val="22"/>
        </w:rPr>
        <w:t xml:space="preserve"> </w:t>
      </w:r>
      <w:r w:rsidR="00E03CF1" w:rsidRPr="00674833">
        <w:rPr>
          <w:rFonts w:eastAsia="+mn-ea"/>
          <w:iCs/>
          <w:kern w:val="24"/>
          <w:szCs w:val="22"/>
          <w:lang w:eastAsia="en-GB"/>
        </w:rPr>
        <w:t>all relevant departments.</w:t>
      </w:r>
    </w:p>
    <w:p w14:paraId="15380E0B" w14:textId="77777777" w:rsidR="00E075B1" w:rsidRDefault="00E075B1" w:rsidP="00674833">
      <w:pPr>
        <w:pStyle w:val="Heading2"/>
      </w:pPr>
      <w:proofErr w:type="gramStart"/>
      <w:r>
        <w:t>STAGE 2.</w:t>
      </w:r>
      <w:proofErr w:type="gramEnd"/>
      <w:r>
        <w:t xml:space="preserve"> DEVELOP AND IMPLEMENT </w:t>
      </w:r>
    </w:p>
    <w:p w14:paraId="4A291C1C" w14:textId="7378954A" w:rsidR="00090E17" w:rsidRDefault="00090E17" w:rsidP="00E075B1">
      <w:pPr>
        <w:rPr>
          <w:b/>
        </w:rPr>
      </w:pPr>
      <w:r w:rsidRPr="000E761A">
        <w:t>Stage 2</w:t>
      </w:r>
      <w:r>
        <w:rPr>
          <w:b/>
        </w:rPr>
        <w:t xml:space="preserve"> </w:t>
      </w:r>
      <w:r>
        <w:t>is focused on the processes of developing the minimum internal conditions for building CTP preparedness, mainstreaming CTP into key areas, and implementing the CTP preparedness Plan of Action (</w:t>
      </w:r>
      <w:proofErr w:type="spellStart"/>
      <w:r>
        <w:t>PoA</w:t>
      </w:r>
      <w:proofErr w:type="spellEnd"/>
      <w:r>
        <w:t>).</w:t>
      </w:r>
    </w:p>
    <w:p w14:paraId="3DE031D9" w14:textId="61AA3303" w:rsidR="008E03B4" w:rsidRPr="00627635" w:rsidRDefault="00090E17" w:rsidP="005F155B">
      <w:r w:rsidRPr="00627635">
        <w:t>After a decision is</w:t>
      </w:r>
      <w:r w:rsidR="00A72793" w:rsidRPr="00627635">
        <w:t xml:space="preserve"> made</w:t>
      </w:r>
      <w:r w:rsidRPr="00627635">
        <w:t xml:space="preserve"> for the organization to s</w:t>
      </w:r>
      <w:r w:rsidR="00C46DBB" w:rsidRPr="00627635">
        <w:t xml:space="preserve">trengthen its CTP readiness, a CTP focal point </w:t>
      </w:r>
      <w:r w:rsidRPr="00627635">
        <w:t xml:space="preserve">should be appointed and </w:t>
      </w:r>
      <w:r w:rsidR="00C46DBB" w:rsidRPr="00627635">
        <w:t>a CTP technical working group (TWG)</w:t>
      </w:r>
      <w:r w:rsidRPr="00627635">
        <w:t xml:space="preserve"> established</w:t>
      </w:r>
      <w:r w:rsidR="00C46DBB" w:rsidRPr="00627635">
        <w:t xml:space="preserve">. </w:t>
      </w:r>
      <w:r w:rsidR="008E03B4" w:rsidRPr="00627635">
        <w:t xml:space="preserve">The CTP focal point and the CTP TWG will work together to </w:t>
      </w:r>
      <w:r w:rsidR="00C46DBB" w:rsidRPr="00627635">
        <w:t xml:space="preserve">identify and agree upon </w:t>
      </w:r>
      <w:r w:rsidR="008E03B4" w:rsidRPr="00627635">
        <w:t>a</w:t>
      </w:r>
      <w:r w:rsidR="00C46DBB" w:rsidRPr="00627635">
        <w:t xml:space="preserve"> </w:t>
      </w:r>
      <w:r w:rsidR="008E03B4" w:rsidRPr="00627635">
        <w:t>CTP preparedness</w:t>
      </w:r>
      <w:r w:rsidR="00C46DBB" w:rsidRPr="00627635">
        <w:t xml:space="preserve"> Plan of Action (</w:t>
      </w:r>
      <w:proofErr w:type="spellStart"/>
      <w:r w:rsidR="00C46DBB" w:rsidRPr="00627635">
        <w:t>PoA</w:t>
      </w:r>
      <w:proofErr w:type="spellEnd"/>
      <w:r w:rsidR="008E03B4" w:rsidRPr="00627635">
        <w:t>)</w:t>
      </w:r>
      <w:r w:rsidR="00C46DBB" w:rsidRPr="00627635">
        <w:t xml:space="preserve"> that </w:t>
      </w:r>
      <w:r w:rsidRPr="00627635">
        <w:t xml:space="preserve">can </w:t>
      </w:r>
      <w:r w:rsidR="005F155B" w:rsidRPr="00627635">
        <w:t>help the organization build the capacities to deliver CTP</w:t>
      </w:r>
      <w:r w:rsidR="00C46DBB" w:rsidRPr="00627635">
        <w:t xml:space="preserve"> in emergencies</w:t>
      </w:r>
      <w:r w:rsidR="00A72793" w:rsidRPr="00627635">
        <w:t xml:space="preserve"> at scale and in a timely manner</w:t>
      </w:r>
      <w:r w:rsidR="00C46DBB" w:rsidRPr="00627635">
        <w:t>.</w:t>
      </w:r>
      <w:r w:rsidR="000635B8" w:rsidRPr="00627635">
        <w:t xml:space="preserve"> The </w:t>
      </w:r>
      <w:proofErr w:type="spellStart"/>
      <w:r w:rsidR="000635B8" w:rsidRPr="00627635">
        <w:t>PoA</w:t>
      </w:r>
      <w:proofErr w:type="spellEnd"/>
      <w:r w:rsidR="000635B8" w:rsidRPr="00627635">
        <w:t xml:space="preserve"> </w:t>
      </w:r>
      <w:r w:rsidR="009B6AD5" w:rsidRPr="00627635">
        <w:t>should include: activities, outputs, indicators, responsibilities, time</w:t>
      </w:r>
      <w:r w:rsidR="00E146ED" w:rsidRPr="00627635">
        <w:t xml:space="preserve"> </w:t>
      </w:r>
      <w:r w:rsidR="009B6AD5" w:rsidRPr="00627635">
        <w:t>frame and budget.</w:t>
      </w:r>
      <w:r w:rsidR="00C46DBB" w:rsidRPr="00627635">
        <w:t xml:space="preserve"> The CTP TWG should </w:t>
      </w:r>
      <w:r w:rsidR="005F155B" w:rsidRPr="00627635">
        <w:t>help</w:t>
      </w:r>
      <w:r w:rsidR="00734ED9" w:rsidRPr="00627635">
        <w:t xml:space="preserve"> ensure</w:t>
      </w:r>
      <w:r w:rsidR="00E146ED" w:rsidRPr="00627635">
        <w:t>, also,</w:t>
      </w:r>
      <w:r w:rsidR="00734ED9" w:rsidRPr="00627635">
        <w:t xml:space="preserve"> that </w:t>
      </w:r>
      <w:r w:rsidR="00C46DBB" w:rsidRPr="00627635">
        <w:t>CTP SOPs</w:t>
      </w:r>
      <w:r w:rsidR="00734ED9" w:rsidRPr="00627635">
        <w:t xml:space="preserve"> are developed and functional</w:t>
      </w:r>
      <w:r w:rsidR="005F155B" w:rsidRPr="00627635">
        <w:t>, and that CTP is mainstreamed at all levels</w:t>
      </w:r>
      <w:r w:rsidR="008E03B4" w:rsidRPr="00627635">
        <w:t>, especially into human resource, financial, monitoring and evaluation, and resource mobilization systems.</w:t>
      </w:r>
    </w:p>
    <w:p w14:paraId="44A46C7D" w14:textId="41A7ECB1" w:rsidR="00E075B1" w:rsidRPr="00627635" w:rsidRDefault="008E03B4" w:rsidP="00D02F9C">
      <w:pPr>
        <w:ind w:left="34"/>
        <w:rPr>
          <w:b/>
        </w:rPr>
      </w:pPr>
      <w:r w:rsidRPr="00627635">
        <w:t>The implementation of the preparedness Plan of Action (</w:t>
      </w:r>
      <w:proofErr w:type="spellStart"/>
      <w:r w:rsidRPr="00627635">
        <w:t>PoA</w:t>
      </w:r>
      <w:proofErr w:type="spellEnd"/>
      <w:r w:rsidRPr="00627635">
        <w:t>) should include</w:t>
      </w:r>
      <w:r w:rsidR="00C46DBB" w:rsidRPr="00627635">
        <w:t xml:space="preserve"> simulation</w:t>
      </w:r>
      <w:r w:rsidRPr="00627635">
        <w:t>s</w:t>
      </w:r>
      <w:r w:rsidR="00C46DBB" w:rsidRPr="00627635">
        <w:t xml:space="preserve"> and/or pilot</w:t>
      </w:r>
      <w:r w:rsidRPr="00627635">
        <w:t xml:space="preserve">s, which will allow </w:t>
      </w:r>
      <w:r w:rsidR="00C46DBB" w:rsidRPr="00627635">
        <w:t xml:space="preserve">for testing the </w:t>
      </w:r>
      <w:r w:rsidR="00684D20" w:rsidRPr="00627635">
        <w:t>N</w:t>
      </w:r>
      <w:r w:rsidR="00E146ED" w:rsidRPr="00627635">
        <w:t xml:space="preserve">ational </w:t>
      </w:r>
      <w:r w:rsidR="00684D20" w:rsidRPr="00627635">
        <w:t>S</w:t>
      </w:r>
      <w:r w:rsidR="00E146ED" w:rsidRPr="00627635">
        <w:t>ociety’s</w:t>
      </w:r>
      <w:r w:rsidR="00684D20" w:rsidRPr="00627635">
        <w:t xml:space="preserve"> </w:t>
      </w:r>
      <w:r w:rsidR="00C46DBB" w:rsidRPr="00627635">
        <w:t>CTP operational readiness and the outputs developed</w:t>
      </w:r>
      <w:r w:rsidRPr="00627635">
        <w:t>, and</w:t>
      </w:r>
      <w:r w:rsidR="00684D20" w:rsidRPr="00627635">
        <w:t xml:space="preserve"> for</w:t>
      </w:r>
      <w:r w:rsidRPr="00627635">
        <w:t xml:space="preserve"> improving them. </w:t>
      </w:r>
      <w:r w:rsidR="00684D20" w:rsidRPr="00627635">
        <w:t xml:space="preserve">CTP preparedness implementation depends on different levels of internal and external coordination, including </w:t>
      </w:r>
      <w:r w:rsidR="00C46DBB" w:rsidRPr="00627635">
        <w:t>coordination between the different staff and departments, between the headquarters and the affected or targeted branches</w:t>
      </w:r>
      <w:r w:rsidR="00684D20" w:rsidRPr="00627635">
        <w:t>, and between the hosting N</w:t>
      </w:r>
      <w:r w:rsidR="00E146ED" w:rsidRPr="00627635">
        <w:t xml:space="preserve">ational </w:t>
      </w:r>
      <w:r w:rsidR="00684D20" w:rsidRPr="00627635">
        <w:t>S</w:t>
      </w:r>
      <w:r w:rsidR="00E146ED" w:rsidRPr="00627635">
        <w:t>ociety</w:t>
      </w:r>
      <w:r w:rsidR="00684D20" w:rsidRPr="00627635">
        <w:t xml:space="preserve">, the Movement, </w:t>
      </w:r>
      <w:r w:rsidR="00C46DBB" w:rsidRPr="00627635">
        <w:t xml:space="preserve">the </w:t>
      </w:r>
      <w:r w:rsidR="00684D20" w:rsidRPr="00627635">
        <w:lastRenderedPageBreak/>
        <w:t xml:space="preserve">different levels of </w:t>
      </w:r>
      <w:r w:rsidR="00C46DBB" w:rsidRPr="00627635">
        <w:t>government</w:t>
      </w:r>
      <w:r w:rsidR="00684D20" w:rsidRPr="00627635">
        <w:t xml:space="preserve">, </w:t>
      </w:r>
      <w:r w:rsidR="00C46DBB" w:rsidRPr="00627635">
        <w:t xml:space="preserve">other </w:t>
      </w:r>
      <w:r w:rsidR="00684D20" w:rsidRPr="00627635">
        <w:t xml:space="preserve">humanitarian organizations, </w:t>
      </w:r>
      <w:r w:rsidR="00C46DBB" w:rsidRPr="00627635">
        <w:t>donors and the private sector.</w:t>
      </w:r>
      <w:r w:rsidR="006C279A" w:rsidRPr="00627635">
        <w:t xml:space="preserve"> Finally, </w:t>
      </w:r>
      <w:r w:rsidR="00C46DBB" w:rsidRPr="00627635">
        <w:t xml:space="preserve">CTP communications </w:t>
      </w:r>
      <w:r w:rsidR="006C279A" w:rsidRPr="00627635">
        <w:t>should be mainstreamed into the</w:t>
      </w:r>
      <w:r w:rsidR="00C46DBB" w:rsidRPr="00627635">
        <w:t xml:space="preserve"> regular communications strategy and plans. </w:t>
      </w:r>
    </w:p>
    <w:p w14:paraId="72E2D0B9" w14:textId="284B22C1" w:rsidR="00E075B1" w:rsidRPr="00627635" w:rsidRDefault="00C46DBB" w:rsidP="00674833">
      <w:pPr>
        <w:pStyle w:val="Heading2"/>
        <w:rPr>
          <w:w w:val="102"/>
        </w:rPr>
      </w:pPr>
      <w:proofErr w:type="gramStart"/>
      <w:r w:rsidRPr="00627635">
        <w:rPr>
          <w:w w:val="102"/>
        </w:rPr>
        <w:t>ST</w:t>
      </w:r>
      <w:r w:rsidR="00044FF0" w:rsidRPr="00627635">
        <w:rPr>
          <w:w w:val="102"/>
        </w:rPr>
        <w:t>AGE 3.</w:t>
      </w:r>
      <w:proofErr w:type="gramEnd"/>
      <w:r w:rsidR="00044FF0" w:rsidRPr="00627635">
        <w:rPr>
          <w:w w:val="102"/>
        </w:rPr>
        <w:t xml:space="preserve"> REVIEW, </w:t>
      </w:r>
      <w:r w:rsidR="00E075B1" w:rsidRPr="00627635">
        <w:rPr>
          <w:w w:val="102"/>
        </w:rPr>
        <w:t>LEARN</w:t>
      </w:r>
      <w:r w:rsidR="00044FF0" w:rsidRPr="00627635">
        <w:rPr>
          <w:w w:val="102"/>
        </w:rPr>
        <w:t xml:space="preserve"> AND IMPROVE</w:t>
      </w:r>
    </w:p>
    <w:p w14:paraId="1B6A9E58" w14:textId="77777777" w:rsidR="00090E17" w:rsidRPr="00627635" w:rsidRDefault="00090E17" w:rsidP="00E075B1">
      <w:r w:rsidRPr="00627635">
        <w:t>Stage 3</w:t>
      </w:r>
      <w:r w:rsidRPr="00627635">
        <w:rPr>
          <w:b/>
        </w:rPr>
        <w:t xml:space="preserve"> </w:t>
      </w:r>
      <w:r w:rsidRPr="00627635">
        <w:t>is focused on the process of evaluating CTP preparedness, reviewing CTP operations, and finally documenting and communicating the learning derived from the CTP preparedness process.</w:t>
      </w:r>
    </w:p>
    <w:p w14:paraId="593A32F7" w14:textId="5D5034A8" w:rsidR="00C46DBB" w:rsidRPr="00627635" w:rsidRDefault="0028405A" w:rsidP="00C46DBB">
      <w:r w:rsidRPr="00627635">
        <w:t>The establishment of a learning environment will be led by the N</w:t>
      </w:r>
      <w:r w:rsidR="00E146ED" w:rsidRPr="00627635">
        <w:t xml:space="preserve">ational </w:t>
      </w:r>
      <w:r w:rsidRPr="00627635">
        <w:t>S</w:t>
      </w:r>
      <w:r w:rsidR="00E146ED" w:rsidRPr="00627635">
        <w:t>ociety’s</w:t>
      </w:r>
      <w:r w:rsidRPr="00627635">
        <w:t xml:space="preserve"> CTP focal point and TWG, who will </w:t>
      </w:r>
      <w:r w:rsidR="00C46DBB" w:rsidRPr="00627635">
        <w:t xml:space="preserve">gather inputs </w:t>
      </w:r>
      <w:r w:rsidR="00E146ED" w:rsidRPr="00627635">
        <w:t xml:space="preserve">from </w:t>
      </w:r>
      <w:r w:rsidR="00C46DBB" w:rsidRPr="00627635">
        <w:t>across the sectors and inform senior managers and the Movement part</w:t>
      </w:r>
      <w:r w:rsidRPr="00627635">
        <w:t xml:space="preserve">ners on the progress of the Plan of Action. </w:t>
      </w:r>
      <w:r w:rsidR="00C46DBB" w:rsidRPr="00627635">
        <w:t>The evaluation of CTP preparedness process should allow for the identification of the key achievements against plans, the documentation of good practices and the development of recommendations to</w:t>
      </w:r>
      <w:r w:rsidRPr="00627635">
        <w:t xml:space="preserve"> improve outputs and processes.</w:t>
      </w:r>
    </w:p>
    <w:p w14:paraId="35928142" w14:textId="3CDF1D1F" w:rsidR="0028405A" w:rsidRPr="00627635" w:rsidRDefault="00C46DBB" w:rsidP="00C46DBB">
      <w:r w:rsidRPr="00627635">
        <w:t xml:space="preserve">Reviewing and learning should be part of CTP training efforts, reinforcing a </w:t>
      </w:r>
      <w:r w:rsidR="00E146ED" w:rsidRPr="00627635">
        <w:t>‘learning by doing’</w:t>
      </w:r>
      <w:r w:rsidRPr="00627635">
        <w:t xml:space="preserve"> approach to implementation. At the end of a CTP emergency response, an external evaluation should be carried out so</w:t>
      </w:r>
      <w:r w:rsidR="00E146ED" w:rsidRPr="00627635">
        <w:t xml:space="preserve"> that</w:t>
      </w:r>
      <w:r w:rsidRPr="00627635">
        <w:t xml:space="preserve"> the strengths and weaknesses of the process can be identified in a systematic and impartial way. Case studies conducted by external reviewers are also an interesting way to document the strengths, challenges and solutions found during a CTP experience, and can be used to support resource mobilization and</w:t>
      </w:r>
      <w:r w:rsidR="00E146ED" w:rsidRPr="00627635">
        <w:t xml:space="preserve"> capacity-</w:t>
      </w:r>
      <w:r w:rsidRPr="00627635">
        <w:t>building efforts.</w:t>
      </w:r>
    </w:p>
    <w:p w14:paraId="4BBE0A37" w14:textId="7CECB5A5" w:rsidR="00A74426" w:rsidRPr="00627635" w:rsidRDefault="00C46DBB" w:rsidP="00B902E0">
      <w:pPr>
        <w:keepNext/>
        <w:keepLines/>
        <w:rPr>
          <w:lang w:eastAsia="en-GB"/>
        </w:rPr>
      </w:pPr>
      <w:r w:rsidRPr="00627635">
        <w:t xml:space="preserve">It is important to </w:t>
      </w:r>
      <w:r w:rsidR="00BA5742" w:rsidRPr="00627635">
        <w:t>document and disseminate the</w:t>
      </w:r>
      <w:r w:rsidRPr="00627635">
        <w:t xml:space="preserve"> learning from the CTP preparedness experience, both internally to </w:t>
      </w:r>
      <w:r w:rsidR="007F1ABD" w:rsidRPr="00627635">
        <w:t xml:space="preserve">the </w:t>
      </w:r>
      <w:r w:rsidRPr="00627635">
        <w:t>Movement partners and externally to other actors and</w:t>
      </w:r>
      <w:r w:rsidRPr="00627635">
        <w:rPr>
          <w:lang w:eastAsia="en-GB"/>
        </w:rPr>
        <w:t xml:space="preserve"> networks. Dissemination of tools and case studies, news and audio-visual materials can make a valuable contribution to the humanitarian sector. </w:t>
      </w:r>
    </w:p>
    <w:p w14:paraId="676B028D" w14:textId="77777777" w:rsidR="00B4685C" w:rsidRPr="00627635" w:rsidRDefault="00B4685C" w:rsidP="00752615">
      <w:pPr>
        <w:rPr>
          <w:lang w:eastAsia="en-GB"/>
        </w:rPr>
      </w:pPr>
    </w:p>
    <w:tbl>
      <w:tblPr>
        <w:tblStyle w:val="TableGray"/>
        <w:tblW w:w="9639" w:type="dxa"/>
        <w:tblInd w:w="142" w:type="dxa"/>
        <w:tblLook w:val="0600" w:firstRow="0" w:lastRow="0" w:firstColumn="0" w:lastColumn="0" w:noHBand="1" w:noVBand="1"/>
      </w:tblPr>
      <w:tblGrid>
        <w:gridCol w:w="9639"/>
      </w:tblGrid>
      <w:tr w:rsidR="00F674F8" w:rsidRPr="00F674F8" w14:paraId="1BC6E672" w14:textId="77777777" w:rsidTr="00D22CA9">
        <w:trPr>
          <w:trHeight w:val="50"/>
        </w:trPr>
        <w:tc>
          <w:tcPr>
            <w:tcW w:w="9639" w:type="dxa"/>
            <w:hideMark/>
          </w:tcPr>
          <w:p w14:paraId="7E1D5DDA" w14:textId="77777777" w:rsidR="00674833" w:rsidRPr="00F674F8" w:rsidRDefault="00674833" w:rsidP="003D3A8C">
            <w:pPr>
              <w:pStyle w:val="RefTitre"/>
              <w:keepNext/>
              <w:keepLines/>
            </w:pPr>
            <w:r w:rsidRPr="00F674F8">
              <w:t>REFERENCE DOCUMENTS</w:t>
            </w:r>
          </w:p>
          <w:p w14:paraId="47A66496" w14:textId="77777777" w:rsidR="00674833" w:rsidRDefault="00674833" w:rsidP="003D3A8C">
            <w:pPr>
              <w:pStyle w:val="RefItem1"/>
              <w:keepNext/>
              <w:keepLines/>
            </w:pPr>
            <w:r>
              <w:t>International Red Cross and Red Crescent Movement -</w:t>
            </w:r>
            <w:r w:rsidRPr="00081581">
              <w:t xml:space="preserve"> CTP Guidelines for mainstream</w:t>
            </w:r>
            <w:r>
              <w:t>ing</w:t>
            </w:r>
            <w:r w:rsidRPr="00081581">
              <w:t xml:space="preserve"> and preparedness</w:t>
            </w:r>
            <w:r>
              <w:t xml:space="preserve"> </w:t>
            </w:r>
          </w:p>
          <w:p w14:paraId="556DBA03" w14:textId="51FE3E4D" w:rsidR="00674833" w:rsidRPr="00F674F8" w:rsidRDefault="00674833" w:rsidP="00D22CA9">
            <w:pPr>
              <w:pStyle w:val="RefItem1"/>
              <w:keepNext/>
              <w:keepLines/>
              <w:ind w:right="-1544"/>
            </w:pPr>
            <w:r w:rsidRPr="00F674F8">
              <w:t xml:space="preserve">Market assessment guidance: Guideline for market assessment in the project cycle. RCM </w:t>
            </w:r>
            <w:hyperlink r:id="rId8" w:history="1">
              <w:r w:rsidR="0063591A" w:rsidRPr="002C0C25">
                <w:rPr>
                  <w:rStyle w:val="Hyperlink"/>
                </w:rPr>
                <w:t>www.icrc.org/eng/assets/files/publications/icrc-002-4200.pdf</w:t>
              </w:r>
            </w:hyperlink>
          </w:p>
          <w:p w14:paraId="325C58C9" w14:textId="5BD3F771" w:rsidR="00F674F8" w:rsidRPr="00674833" w:rsidRDefault="00674833" w:rsidP="003D3A8C">
            <w:pPr>
              <w:pStyle w:val="RefItem1"/>
              <w:keepNext/>
              <w:keepLines/>
            </w:pPr>
            <w:r w:rsidRPr="00F674F8">
              <w:t xml:space="preserve">Beneficiary Communication and Accountability (IFRC) </w:t>
            </w:r>
            <w:hyperlink r:id="rId9" w:history="1">
              <w:r w:rsidRPr="00674833">
                <w:rPr>
                  <w:rStyle w:val="Hyperlink"/>
                  <w:rFonts w:eastAsia="Times New Roman"/>
                </w:rPr>
                <w:t>www.ifrc.org/PageFiles/94411/IFRC%20BCA%20Lesson%20Learned%20doc_final.pdf</w:t>
              </w:r>
            </w:hyperlink>
            <w:r>
              <w:t xml:space="preserve"> </w:t>
            </w:r>
          </w:p>
        </w:tc>
      </w:tr>
    </w:tbl>
    <w:p w14:paraId="38836B92" w14:textId="77777777" w:rsidR="00F674F8" w:rsidRPr="003F05A4" w:rsidRDefault="00F674F8" w:rsidP="003F05A4">
      <w:pPr>
        <w:spacing w:after="0"/>
      </w:pPr>
    </w:p>
    <w:sectPr w:rsidR="00F674F8" w:rsidRPr="003F05A4" w:rsidSect="0025660E">
      <w:headerReference w:type="default" r:id="rId10"/>
      <w:footerReference w:type="even" r:id="rId11"/>
      <w:footerReference w:type="default" r:id="rId12"/>
      <w:headerReference w:type="first" r:id="rId13"/>
      <w:footerReference w:type="first" r:id="rId14"/>
      <w:pgSz w:w="11900" w:h="16840"/>
      <w:pgMar w:top="1134" w:right="1134" w:bottom="1134" w:left="1134" w:header="708" w:footer="708"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69728" w15:done="0"/>
  <w15:commentEx w15:paraId="1129A74C" w15:done="0"/>
  <w15:commentEx w15:paraId="7C641276" w15:done="0"/>
  <w15:commentEx w15:paraId="01FFD799" w15:done="0"/>
  <w15:commentEx w15:paraId="6A5CB8A8" w15:done="0"/>
  <w15:commentEx w15:paraId="39146287" w15:done="0"/>
  <w15:commentEx w15:paraId="05CF361D" w15:done="0"/>
  <w15:commentEx w15:paraId="67E90B66" w15:done="0"/>
  <w15:commentEx w15:paraId="3683CDCA" w15:done="0"/>
  <w15:commentEx w15:paraId="7907FAF6" w15:done="0"/>
  <w15:commentEx w15:paraId="50CDA6A3" w15:done="0"/>
  <w15:commentEx w15:paraId="1A81AC1C" w15:done="0"/>
  <w15:commentEx w15:paraId="3BBE677E" w15:done="0"/>
  <w15:commentEx w15:paraId="1DB1C171" w15:done="0"/>
  <w15:commentEx w15:paraId="60362706" w15:done="0"/>
  <w15:commentEx w15:paraId="102D85DE" w15:paraIdParent="60362706" w15:done="0"/>
  <w15:commentEx w15:paraId="2169B40E" w15:done="0"/>
  <w15:commentEx w15:paraId="66C698A2" w15:done="0"/>
  <w15:commentEx w15:paraId="33876599" w15:done="0"/>
  <w15:commentEx w15:paraId="5F02BBC5" w15:done="0"/>
  <w15:commentEx w15:paraId="783A8C3E" w15:done="0"/>
  <w15:commentEx w15:paraId="0C29179A" w15:done="0"/>
  <w15:commentEx w15:paraId="3BB5110B" w15:done="0"/>
  <w15:commentEx w15:paraId="79246BFC" w15:done="0"/>
  <w15:commentEx w15:paraId="000E4E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7318" w14:textId="77777777" w:rsidR="00B677EB" w:rsidRDefault="00B677EB" w:rsidP="00752615">
      <w:pPr>
        <w:spacing w:after="0"/>
      </w:pPr>
      <w:r>
        <w:separator/>
      </w:r>
    </w:p>
  </w:endnote>
  <w:endnote w:type="continuationSeparator" w:id="0">
    <w:p w14:paraId="5106EE4D" w14:textId="77777777" w:rsidR="00B677EB" w:rsidRDefault="00B677EB" w:rsidP="00752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O¯øœ!Ÿ">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56638" w14:textId="77777777" w:rsidR="00B42891" w:rsidRDefault="00B42891" w:rsidP="00752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F4871" w14:textId="77777777" w:rsidR="00B42891" w:rsidRDefault="00B42891" w:rsidP="00752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A82F" w14:textId="77777777" w:rsidR="00F926A6" w:rsidRPr="00B45C74" w:rsidRDefault="00F926A6" w:rsidP="00B45C74">
    <w:pPr>
      <w:framePr w:wrap="around" w:vAnchor="text" w:hAnchor="margin" w:xAlign="right" w:y="1"/>
      <w:tabs>
        <w:tab w:val="center" w:pos="4320"/>
        <w:tab w:val="right" w:pos="8640"/>
      </w:tabs>
      <w:spacing w:after="0"/>
      <w:jc w:val="left"/>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8318E">
      <w:rPr>
        <w:b/>
        <w:noProof/>
        <w:color w:val="808080" w:themeColor="background1" w:themeShade="80"/>
        <w:sz w:val="18"/>
        <w:szCs w:val="18"/>
      </w:rPr>
      <w:t>3</w:t>
    </w:r>
    <w:r w:rsidRPr="00B45C74">
      <w:rPr>
        <w:b/>
        <w:color w:val="808080" w:themeColor="background1" w:themeShade="80"/>
        <w:sz w:val="18"/>
        <w:szCs w:val="18"/>
      </w:rPr>
      <w:fldChar w:fldCharType="end"/>
    </w:r>
  </w:p>
  <w:p w14:paraId="3713B2B3" w14:textId="329CEDF7" w:rsidR="00F460BD" w:rsidRPr="003A3500" w:rsidRDefault="00F460BD" w:rsidP="00F460BD">
    <w:pPr>
      <w:pStyle w:val="Footer"/>
    </w:pPr>
    <w:r w:rsidRPr="00107E15">
      <w:rPr>
        <w:b/>
      </w:rPr>
      <w:t xml:space="preserve">Module </w:t>
    </w:r>
    <w:r>
      <w:rPr>
        <w:b/>
      </w:rPr>
      <w:t xml:space="preserve">1. </w:t>
    </w:r>
    <w:r>
      <w:t>Roadmap for preparedness</w:t>
    </w:r>
    <w:r w:rsidRPr="00F460BD">
      <w:t xml:space="preserve"> </w:t>
    </w:r>
    <w:r w:rsidRPr="00F460BD">
      <w:fldChar w:fldCharType="begin"/>
    </w:r>
    <w:r w:rsidRPr="00F460BD">
      <w:instrText xml:space="preserve"> STYLEREF  H1 \t  \* MERGEFORMAT </w:instrText>
    </w:r>
    <w:r w:rsidRPr="00F460B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D295" w14:textId="77777777" w:rsidR="00F460BD" w:rsidRPr="00B45C74" w:rsidRDefault="00F460BD"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8318E">
      <w:rPr>
        <w:b/>
        <w:noProof/>
        <w:color w:val="808080" w:themeColor="background1" w:themeShade="80"/>
        <w:sz w:val="18"/>
        <w:szCs w:val="18"/>
      </w:rPr>
      <w:t>1</w:t>
    </w:r>
    <w:r w:rsidRPr="00B45C74">
      <w:rPr>
        <w:b/>
        <w:color w:val="808080" w:themeColor="background1" w:themeShade="80"/>
        <w:sz w:val="18"/>
        <w:szCs w:val="18"/>
      </w:rPr>
      <w:fldChar w:fldCharType="end"/>
    </w:r>
  </w:p>
  <w:p w14:paraId="2B3E623E" w14:textId="4FF62B0E" w:rsidR="00F460BD" w:rsidRPr="003A3500" w:rsidRDefault="00F460BD" w:rsidP="00ED1B2B">
    <w:pPr>
      <w:pStyle w:val="Footer"/>
    </w:pPr>
    <w:r w:rsidRPr="00107E15">
      <w:rPr>
        <w:b/>
      </w:rPr>
      <w:t xml:space="preserve">Module </w:t>
    </w:r>
    <w:r>
      <w:rPr>
        <w:b/>
      </w:rPr>
      <w:t>.1</w:t>
    </w:r>
    <w:r w:rsidRPr="00F460BD">
      <w:t xml:space="preserve"> </w:t>
    </w:r>
    <w:fldSimple w:instr=" STYLEREF  H1 \t  \* MERGEFORMAT ">
      <w:r w:rsidR="0078318E" w:rsidRPr="0078318E">
        <w:rPr>
          <w:bCs/>
          <w:noProof/>
        </w:rPr>
        <w:t>Roadmap for preparedness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1BB71" w14:textId="77777777" w:rsidR="00B677EB" w:rsidRDefault="00B677EB" w:rsidP="00752615">
      <w:pPr>
        <w:spacing w:after="0"/>
      </w:pPr>
      <w:r>
        <w:separator/>
      </w:r>
    </w:p>
  </w:footnote>
  <w:footnote w:type="continuationSeparator" w:id="0">
    <w:p w14:paraId="2E41A311" w14:textId="77777777" w:rsidR="00B677EB" w:rsidRDefault="00B677EB" w:rsidP="007526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7BC0" w14:textId="77777777" w:rsidR="00E9144E" w:rsidRPr="00074036" w:rsidRDefault="00E9144E"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6AE0" w14:textId="77777777" w:rsidR="00E9144E" w:rsidRDefault="00E9144E" w:rsidP="00050617">
    <w:pPr>
      <w:pStyle w:val="Header1"/>
    </w:pPr>
    <w:r>
      <w:rPr>
        <w:noProof/>
        <w:lang w:val="en-CA" w:eastAsia="en-CA"/>
      </w:rPr>
      <w:drawing>
        <wp:anchor distT="0" distB="0" distL="114300" distR="114300" simplePos="0" relativeHeight="251660288" behindDoc="0" locked="0" layoutInCell="1" allowOverlap="1" wp14:anchorId="5012536C" wp14:editId="6A17249B">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0CF6E653" w14:textId="77777777" w:rsidR="00E9144E" w:rsidRDefault="00E9144E" w:rsidP="00050617">
    <w:pPr>
      <w:pStyle w:val="Header1"/>
    </w:pPr>
  </w:p>
  <w:p w14:paraId="76EEB48C" w14:textId="77777777" w:rsidR="00E9144E" w:rsidRDefault="00E9144E" w:rsidP="00F27C45">
    <w:pPr>
      <w:pStyle w:val="Header1"/>
    </w:pPr>
    <w:r>
      <w:rPr>
        <w:noProof/>
        <w:lang w:val="en-CA" w:eastAsia="en-CA"/>
      </w:rPr>
      <w:drawing>
        <wp:anchor distT="0" distB="0" distL="114300" distR="114300" simplePos="0" relativeHeight="251659264" behindDoc="0" locked="0" layoutInCell="1" allowOverlap="1" wp14:anchorId="14E44E5D" wp14:editId="159F0986">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3E915A1E" w14:textId="77777777" w:rsidR="00E9144E" w:rsidRDefault="00E9144E" w:rsidP="00F27C45">
    <w:pPr>
      <w:pStyle w:val="Header1"/>
    </w:pPr>
  </w:p>
  <w:p w14:paraId="693B0318" w14:textId="77777777" w:rsidR="00E9144E" w:rsidRDefault="00E9144E" w:rsidP="00F27C45">
    <w:pPr>
      <w:pStyle w:val="Header1"/>
    </w:pPr>
  </w:p>
  <w:p w14:paraId="17F29387" w14:textId="77777777" w:rsidR="00E9144E" w:rsidRPr="00F27C45" w:rsidRDefault="00E9144E" w:rsidP="00050617">
    <w:pPr>
      <w:pStyle w:val="Header1"/>
      <w:rPr>
        <w:rStyle w:val="Pantone485"/>
      </w:rPr>
    </w:pPr>
    <w:r w:rsidRPr="00F27C45">
      <w:rPr>
        <w:rStyle w:val="Pantone485"/>
      </w:rPr>
      <w:t>Cash in Emergencies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5"/>
  </w:num>
  <w:num w:numId="4">
    <w:abstractNumId w:val="26"/>
  </w:num>
  <w:num w:numId="5">
    <w:abstractNumId w:val="41"/>
  </w:num>
  <w:num w:numId="6">
    <w:abstractNumId w:val="25"/>
  </w:num>
  <w:num w:numId="7">
    <w:abstractNumId w:val="30"/>
  </w:num>
  <w:num w:numId="8">
    <w:abstractNumId w:val="20"/>
  </w:num>
  <w:num w:numId="9">
    <w:abstractNumId w:val="43"/>
  </w:num>
  <w:num w:numId="10">
    <w:abstractNumId w:val="33"/>
  </w:num>
  <w:num w:numId="11">
    <w:abstractNumId w:val="34"/>
  </w:num>
  <w:num w:numId="12">
    <w:abstractNumId w:val="38"/>
  </w:num>
  <w:num w:numId="13">
    <w:abstractNumId w:val="40"/>
  </w:num>
  <w:num w:numId="14">
    <w:abstractNumId w:val="18"/>
  </w:num>
  <w:num w:numId="15">
    <w:abstractNumId w:val="39"/>
  </w:num>
  <w:num w:numId="16">
    <w:abstractNumId w:val="14"/>
  </w:num>
  <w:num w:numId="17">
    <w:abstractNumId w:val="13"/>
  </w:num>
  <w:num w:numId="18">
    <w:abstractNumId w:val="42"/>
  </w:num>
  <w:num w:numId="19">
    <w:abstractNumId w:val="29"/>
  </w:num>
  <w:num w:numId="20">
    <w:abstractNumId w:val="21"/>
  </w:num>
  <w:num w:numId="21">
    <w:abstractNumId w:val="16"/>
  </w:num>
  <w:num w:numId="22">
    <w:abstractNumId w:val="22"/>
  </w:num>
  <w:num w:numId="23">
    <w:abstractNumId w:val="27"/>
  </w:num>
  <w:num w:numId="24">
    <w:abstractNumId w:val="19"/>
  </w:num>
  <w:num w:numId="25">
    <w:abstractNumId w:val="17"/>
  </w:num>
  <w:num w:numId="26">
    <w:abstractNumId w:val="23"/>
  </w:num>
  <w:num w:numId="27">
    <w:abstractNumId w:val="44"/>
  </w:num>
  <w:num w:numId="28">
    <w:abstractNumId w:val="10"/>
  </w:num>
  <w:num w:numId="29">
    <w:abstractNumId w:val="28"/>
  </w:num>
  <w:num w:numId="30">
    <w:abstractNumId w:val="1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31"/>
  </w:num>
  <w:num w:numId="43">
    <w:abstractNumId w:val="35"/>
  </w:num>
  <w:num w:numId="44">
    <w:abstractNumId w:val="37"/>
  </w:num>
  <w:num w:numId="45">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40"/>
    <w:rsid w:val="00013F7A"/>
    <w:rsid w:val="00027A43"/>
    <w:rsid w:val="000438E0"/>
    <w:rsid w:val="00044327"/>
    <w:rsid w:val="00044FF0"/>
    <w:rsid w:val="00046C14"/>
    <w:rsid w:val="00052031"/>
    <w:rsid w:val="000635B8"/>
    <w:rsid w:val="00076A9D"/>
    <w:rsid w:val="00076D0A"/>
    <w:rsid w:val="00081581"/>
    <w:rsid w:val="00086BFE"/>
    <w:rsid w:val="00090E17"/>
    <w:rsid w:val="00095A26"/>
    <w:rsid w:val="000B082D"/>
    <w:rsid w:val="000B1137"/>
    <w:rsid w:val="000D2128"/>
    <w:rsid w:val="000D411A"/>
    <w:rsid w:val="000D6F20"/>
    <w:rsid w:val="000D763F"/>
    <w:rsid w:val="000E761A"/>
    <w:rsid w:val="000E7D44"/>
    <w:rsid w:val="000F065E"/>
    <w:rsid w:val="000F0CF2"/>
    <w:rsid w:val="000F578B"/>
    <w:rsid w:val="00100684"/>
    <w:rsid w:val="0010360C"/>
    <w:rsid w:val="00105565"/>
    <w:rsid w:val="00114E06"/>
    <w:rsid w:val="00127341"/>
    <w:rsid w:val="00132856"/>
    <w:rsid w:val="00136DBD"/>
    <w:rsid w:val="0014319C"/>
    <w:rsid w:val="00147BF4"/>
    <w:rsid w:val="00151A19"/>
    <w:rsid w:val="00153DDA"/>
    <w:rsid w:val="0016162D"/>
    <w:rsid w:val="00165AA4"/>
    <w:rsid w:val="00171E5B"/>
    <w:rsid w:val="001946D2"/>
    <w:rsid w:val="001A436E"/>
    <w:rsid w:val="001A7AD5"/>
    <w:rsid w:val="001B1F8F"/>
    <w:rsid w:val="001B6CEC"/>
    <w:rsid w:val="001B79C9"/>
    <w:rsid w:val="001C34F7"/>
    <w:rsid w:val="001F46AD"/>
    <w:rsid w:val="001F6441"/>
    <w:rsid w:val="00223CDD"/>
    <w:rsid w:val="00231E3A"/>
    <w:rsid w:val="0025660E"/>
    <w:rsid w:val="00256A0A"/>
    <w:rsid w:val="0026577C"/>
    <w:rsid w:val="00266D12"/>
    <w:rsid w:val="0028405A"/>
    <w:rsid w:val="0029070B"/>
    <w:rsid w:val="0029452B"/>
    <w:rsid w:val="002C07A0"/>
    <w:rsid w:val="002C7778"/>
    <w:rsid w:val="002F25F9"/>
    <w:rsid w:val="002F689F"/>
    <w:rsid w:val="002F7770"/>
    <w:rsid w:val="003106CC"/>
    <w:rsid w:val="00317FAF"/>
    <w:rsid w:val="00325F32"/>
    <w:rsid w:val="00333EA9"/>
    <w:rsid w:val="00337C84"/>
    <w:rsid w:val="0034073E"/>
    <w:rsid w:val="00347951"/>
    <w:rsid w:val="00357105"/>
    <w:rsid w:val="003911BB"/>
    <w:rsid w:val="003D3A8C"/>
    <w:rsid w:val="003E5563"/>
    <w:rsid w:val="003F05A4"/>
    <w:rsid w:val="003F26CB"/>
    <w:rsid w:val="003F3116"/>
    <w:rsid w:val="003F3BDE"/>
    <w:rsid w:val="004460E6"/>
    <w:rsid w:val="00456081"/>
    <w:rsid w:val="004621E6"/>
    <w:rsid w:val="004820CE"/>
    <w:rsid w:val="004948E4"/>
    <w:rsid w:val="004A2AC6"/>
    <w:rsid w:val="004C63D2"/>
    <w:rsid w:val="004D4B69"/>
    <w:rsid w:val="004E5BB5"/>
    <w:rsid w:val="004F3661"/>
    <w:rsid w:val="005158FF"/>
    <w:rsid w:val="005272E2"/>
    <w:rsid w:val="00527882"/>
    <w:rsid w:val="005349AC"/>
    <w:rsid w:val="00543F28"/>
    <w:rsid w:val="00547927"/>
    <w:rsid w:val="00562B4B"/>
    <w:rsid w:val="005653C9"/>
    <w:rsid w:val="00567E06"/>
    <w:rsid w:val="005822D3"/>
    <w:rsid w:val="005838FA"/>
    <w:rsid w:val="00593F9E"/>
    <w:rsid w:val="005C2480"/>
    <w:rsid w:val="005D170E"/>
    <w:rsid w:val="005E64D2"/>
    <w:rsid w:val="005F155B"/>
    <w:rsid w:val="005F3235"/>
    <w:rsid w:val="00605DB7"/>
    <w:rsid w:val="00613D47"/>
    <w:rsid w:val="0062030E"/>
    <w:rsid w:val="00625E42"/>
    <w:rsid w:val="00627635"/>
    <w:rsid w:val="0063591A"/>
    <w:rsid w:val="006642BE"/>
    <w:rsid w:val="00674833"/>
    <w:rsid w:val="00675145"/>
    <w:rsid w:val="00684D20"/>
    <w:rsid w:val="00687489"/>
    <w:rsid w:val="006A6148"/>
    <w:rsid w:val="006B0B2C"/>
    <w:rsid w:val="006C2161"/>
    <w:rsid w:val="006C279A"/>
    <w:rsid w:val="006C6B8E"/>
    <w:rsid w:val="006D3A93"/>
    <w:rsid w:val="006F4886"/>
    <w:rsid w:val="00734ED9"/>
    <w:rsid w:val="00752615"/>
    <w:rsid w:val="00761FE5"/>
    <w:rsid w:val="0078318E"/>
    <w:rsid w:val="007D1A58"/>
    <w:rsid w:val="007E0326"/>
    <w:rsid w:val="007F1ABD"/>
    <w:rsid w:val="0080262C"/>
    <w:rsid w:val="008233E8"/>
    <w:rsid w:val="00853516"/>
    <w:rsid w:val="00867C25"/>
    <w:rsid w:val="00871FB1"/>
    <w:rsid w:val="0088306F"/>
    <w:rsid w:val="00887ACD"/>
    <w:rsid w:val="008B379C"/>
    <w:rsid w:val="008C2CBC"/>
    <w:rsid w:val="008E03B4"/>
    <w:rsid w:val="008F402F"/>
    <w:rsid w:val="008F6786"/>
    <w:rsid w:val="00906ED2"/>
    <w:rsid w:val="00933BEE"/>
    <w:rsid w:val="00970049"/>
    <w:rsid w:val="0099182F"/>
    <w:rsid w:val="00996780"/>
    <w:rsid w:val="009A193F"/>
    <w:rsid w:val="009A36DA"/>
    <w:rsid w:val="009B5FBB"/>
    <w:rsid w:val="009B6AD5"/>
    <w:rsid w:val="00A15C9A"/>
    <w:rsid w:val="00A24494"/>
    <w:rsid w:val="00A24FD6"/>
    <w:rsid w:val="00A324E8"/>
    <w:rsid w:val="00A336CA"/>
    <w:rsid w:val="00A50796"/>
    <w:rsid w:val="00A72793"/>
    <w:rsid w:val="00A74426"/>
    <w:rsid w:val="00A75317"/>
    <w:rsid w:val="00A87A26"/>
    <w:rsid w:val="00A92250"/>
    <w:rsid w:val="00A94FC1"/>
    <w:rsid w:val="00AB382D"/>
    <w:rsid w:val="00AB7CDC"/>
    <w:rsid w:val="00AF426C"/>
    <w:rsid w:val="00B00781"/>
    <w:rsid w:val="00B05CE7"/>
    <w:rsid w:val="00B0620E"/>
    <w:rsid w:val="00B21977"/>
    <w:rsid w:val="00B42891"/>
    <w:rsid w:val="00B43740"/>
    <w:rsid w:val="00B4685C"/>
    <w:rsid w:val="00B51A30"/>
    <w:rsid w:val="00B550F3"/>
    <w:rsid w:val="00B66D90"/>
    <w:rsid w:val="00B677EB"/>
    <w:rsid w:val="00B832CB"/>
    <w:rsid w:val="00B85356"/>
    <w:rsid w:val="00B85935"/>
    <w:rsid w:val="00B902E0"/>
    <w:rsid w:val="00BA5742"/>
    <w:rsid w:val="00BA6271"/>
    <w:rsid w:val="00BE6F9F"/>
    <w:rsid w:val="00BF3E68"/>
    <w:rsid w:val="00C46DBB"/>
    <w:rsid w:val="00C97F74"/>
    <w:rsid w:val="00CA1870"/>
    <w:rsid w:val="00CA692F"/>
    <w:rsid w:val="00CB564F"/>
    <w:rsid w:val="00CC068F"/>
    <w:rsid w:val="00CD2036"/>
    <w:rsid w:val="00CD67A5"/>
    <w:rsid w:val="00CF7B24"/>
    <w:rsid w:val="00D00357"/>
    <w:rsid w:val="00D02F9C"/>
    <w:rsid w:val="00D145C8"/>
    <w:rsid w:val="00D16AA1"/>
    <w:rsid w:val="00D22CA9"/>
    <w:rsid w:val="00D25E2D"/>
    <w:rsid w:val="00D26BFC"/>
    <w:rsid w:val="00D4215A"/>
    <w:rsid w:val="00D436BF"/>
    <w:rsid w:val="00D528AB"/>
    <w:rsid w:val="00D53C90"/>
    <w:rsid w:val="00D62AC5"/>
    <w:rsid w:val="00D712BF"/>
    <w:rsid w:val="00D74972"/>
    <w:rsid w:val="00D86541"/>
    <w:rsid w:val="00D93CA6"/>
    <w:rsid w:val="00DB1AE6"/>
    <w:rsid w:val="00DC1372"/>
    <w:rsid w:val="00DD1804"/>
    <w:rsid w:val="00DD662A"/>
    <w:rsid w:val="00DE13F0"/>
    <w:rsid w:val="00DF2816"/>
    <w:rsid w:val="00E01226"/>
    <w:rsid w:val="00E01F01"/>
    <w:rsid w:val="00E03CF1"/>
    <w:rsid w:val="00E0616C"/>
    <w:rsid w:val="00E075B1"/>
    <w:rsid w:val="00E10038"/>
    <w:rsid w:val="00E106A4"/>
    <w:rsid w:val="00E146ED"/>
    <w:rsid w:val="00E37DEA"/>
    <w:rsid w:val="00E473A3"/>
    <w:rsid w:val="00E6698A"/>
    <w:rsid w:val="00E77E9D"/>
    <w:rsid w:val="00E9144E"/>
    <w:rsid w:val="00E91929"/>
    <w:rsid w:val="00E97489"/>
    <w:rsid w:val="00EA05FA"/>
    <w:rsid w:val="00EA1FF6"/>
    <w:rsid w:val="00EF108C"/>
    <w:rsid w:val="00F0073E"/>
    <w:rsid w:val="00F13CF8"/>
    <w:rsid w:val="00F164D6"/>
    <w:rsid w:val="00F2243B"/>
    <w:rsid w:val="00F27C45"/>
    <w:rsid w:val="00F460BD"/>
    <w:rsid w:val="00F57C12"/>
    <w:rsid w:val="00F674F8"/>
    <w:rsid w:val="00F80A2D"/>
    <w:rsid w:val="00F926A6"/>
    <w:rsid w:val="00F94C90"/>
    <w:rsid w:val="00FA16A0"/>
    <w:rsid w:val="00FB7EB7"/>
    <w:rsid w:val="00FC3568"/>
    <w:rsid w:val="00FC3A56"/>
    <w:rsid w:val="00FD30C8"/>
    <w:rsid w:val="00FD54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8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BD"/>
    <w:pPr>
      <w:spacing w:after="120"/>
      <w:jc w:val="both"/>
    </w:pPr>
    <w:rPr>
      <w:rFonts w:ascii="Arial" w:hAnsi="Arial" w:cs="Times New Roman"/>
    </w:rPr>
  </w:style>
  <w:style w:type="paragraph" w:styleId="Heading1">
    <w:name w:val="heading 1"/>
    <w:basedOn w:val="H1"/>
    <w:next w:val="Normal"/>
    <w:link w:val="Heading1Char"/>
    <w:uiPriority w:val="9"/>
    <w:rsid w:val="00F460BD"/>
  </w:style>
  <w:style w:type="paragraph" w:styleId="Heading2">
    <w:name w:val="heading 2"/>
    <w:basedOn w:val="Normal"/>
    <w:next w:val="Normal"/>
    <w:link w:val="Heading2Char"/>
    <w:autoRedefine/>
    <w:uiPriority w:val="9"/>
    <w:unhideWhenUsed/>
    <w:qFormat/>
    <w:rsid w:val="00F460BD"/>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F460BD"/>
    <w:pPr>
      <w:keepNext/>
      <w:spacing w:before="240"/>
      <w:jc w:val="left"/>
      <w:outlineLvl w:val="2"/>
    </w:pPr>
    <w:rPr>
      <w:b/>
      <w:sz w:val="22"/>
      <w:szCs w:val="24"/>
    </w:rPr>
  </w:style>
  <w:style w:type="character" w:default="1" w:styleId="DefaultParagraphFont">
    <w:name w:val="Default Paragraph Font"/>
    <w:uiPriority w:val="1"/>
    <w:semiHidden/>
    <w:unhideWhenUsed/>
    <w:rsid w:val="00F460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60BD"/>
  </w:style>
  <w:style w:type="paragraph" w:styleId="ListParagraph">
    <w:name w:val="List Paragraph"/>
    <w:basedOn w:val="Normal"/>
    <w:link w:val="ListParagraphChar"/>
    <w:uiPriority w:val="34"/>
    <w:qFormat/>
    <w:rsid w:val="00F460BD"/>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F460BD"/>
    <w:rPr>
      <w:rFonts w:ascii="Arial" w:eastAsiaTheme="minorHAnsi" w:hAnsi="Arial" w:cstheme="minorBidi"/>
      <w:szCs w:val="22"/>
    </w:rPr>
  </w:style>
  <w:style w:type="table" w:styleId="TableGrid">
    <w:name w:val="Table Grid"/>
    <w:basedOn w:val="TableNormal"/>
    <w:uiPriority w:val="59"/>
    <w:rsid w:val="00F460BD"/>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0BD"/>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460BD"/>
    <w:rPr>
      <w:sz w:val="18"/>
      <w:szCs w:val="18"/>
    </w:rPr>
  </w:style>
  <w:style w:type="paragraph" w:styleId="CommentText">
    <w:name w:val="annotation text"/>
    <w:basedOn w:val="Normal"/>
    <w:link w:val="CommentTextChar"/>
    <w:uiPriority w:val="99"/>
    <w:unhideWhenUsed/>
    <w:rsid w:val="00E9144E"/>
    <w:rPr>
      <w:sz w:val="24"/>
      <w:szCs w:val="24"/>
    </w:rPr>
  </w:style>
  <w:style w:type="character" w:customStyle="1" w:styleId="CommentTextChar">
    <w:name w:val="Comment Text Char"/>
    <w:basedOn w:val="DefaultParagraphFont"/>
    <w:link w:val="CommentText"/>
    <w:uiPriority w:val="99"/>
    <w:rsid w:val="00E9144E"/>
    <w:rPr>
      <w:rFonts w:ascii="Arial" w:hAnsi="Arial" w:cs="Arial"/>
      <w:sz w:val="24"/>
      <w:szCs w:val="24"/>
      <w:lang w:val="en-GB"/>
    </w:rPr>
  </w:style>
  <w:style w:type="paragraph" w:styleId="CommentSubject">
    <w:name w:val="annotation subject"/>
    <w:basedOn w:val="Normal"/>
    <w:link w:val="CommentSubjectChar"/>
    <w:uiPriority w:val="99"/>
    <w:semiHidden/>
    <w:unhideWhenUsed/>
    <w:rsid w:val="00F460BD"/>
    <w:rPr>
      <w:b/>
      <w:bCs/>
    </w:rPr>
  </w:style>
  <w:style w:type="character" w:customStyle="1" w:styleId="CommentSubjectChar">
    <w:name w:val="Comment Subject Char"/>
    <w:basedOn w:val="DefaultParagraphFont"/>
    <w:link w:val="CommentSubject"/>
    <w:uiPriority w:val="99"/>
    <w:semiHidden/>
    <w:rsid w:val="00F460BD"/>
    <w:rPr>
      <w:rFonts w:ascii="Arial" w:hAnsi="Arial" w:cs="Times New Roman"/>
      <w:b/>
      <w:bCs/>
    </w:rPr>
  </w:style>
  <w:style w:type="paragraph" w:styleId="BalloonText">
    <w:name w:val="Balloon Text"/>
    <w:basedOn w:val="Normal"/>
    <w:link w:val="BalloonTextChar"/>
    <w:uiPriority w:val="99"/>
    <w:semiHidden/>
    <w:unhideWhenUsed/>
    <w:rsid w:val="00F460B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0BD"/>
    <w:rPr>
      <w:rFonts w:ascii="Lucida Grande" w:hAnsi="Lucida Grande" w:cs="Lucida Grande"/>
      <w:sz w:val="18"/>
      <w:szCs w:val="18"/>
    </w:rPr>
  </w:style>
  <w:style w:type="paragraph" w:styleId="Footer">
    <w:name w:val="footer"/>
    <w:basedOn w:val="Normal"/>
    <w:link w:val="FooterChar"/>
    <w:uiPriority w:val="99"/>
    <w:unhideWhenUsed/>
    <w:rsid w:val="00F460BD"/>
    <w:pPr>
      <w:spacing w:after="0"/>
      <w:jc w:val="left"/>
    </w:pPr>
    <w:rPr>
      <w:sz w:val="16"/>
      <w:szCs w:val="18"/>
    </w:rPr>
  </w:style>
  <w:style w:type="character" w:customStyle="1" w:styleId="FooterChar">
    <w:name w:val="Footer Char"/>
    <w:basedOn w:val="DefaultParagraphFont"/>
    <w:link w:val="Footer"/>
    <w:uiPriority w:val="99"/>
    <w:rsid w:val="00F460BD"/>
    <w:rPr>
      <w:rFonts w:ascii="Arial" w:hAnsi="Arial" w:cs="Times New Roman"/>
      <w:sz w:val="16"/>
      <w:szCs w:val="18"/>
    </w:rPr>
  </w:style>
  <w:style w:type="character" w:styleId="PageNumber">
    <w:name w:val="page number"/>
    <w:basedOn w:val="DefaultParagraphFont"/>
    <w:uiPriority w:val="99"/>
    <w:unhideWhenUsed/>
    <w:rsid w:val="00F460BD"/>
    <w:rPr>
      <w:b/>
    </w:rPr>
  </w:style>
  <w:style w:type="paragraph" w:styleId="Header">
    <w:name w:val="header"/>
    <w:basedOn w:val="Normal"/>
    <w:link w:val="HeaderChar"/>
    <w:uiPriority w:val="99"/>
    <w:unhideWhenUsed/>
    <w:rsid w:val="00F460BD"/>
    <w:pPr>
      <w:spacing w:after="0" w:line="288" w:lineRule="auto"/>
      <w:jc w:val="left"/>
    </w:pPr>
    <w:rPr>
      <w:sz w:val="16"/>
    </w:rPr>
  </w:style>
  <w:style w:type="character" w:customStyle="1" w:styleId="HeaderChar">
    <w:name w:val="Header Char"/>
    <w:basedOn w:val="DefaultParagraphFont"/>
    <w:link w:val="Header"/>
    <w:uiPriority w:val="99"/>
    <w:rsid w:val="00F460BD"/>
    <w:rPr>
      <w:rFonts w:ascii="Arial" w:hAnsi="Arial" w:cs="Times New Roman"/>
      <w:sz w:val="16"/>
    </w:rPr>
  </w:style>
  <w:style w:type="character" w:styleId="Hyperlink">
    <w:name w:val="Hyperlink"/>
    <w:basedOn w:val="DefaultParagraphFont"/>
    <w:uiPriority w:val="99"/>
    <w:unhideWhenUsed/>
    <w:rsid w:val="00F460BD"/>
    <w:rPr>
      <w:color w:val="0000FF" w:themeColor="hyperlink"/>
      <w:u w:val="single"/>
    </w:rPr>
  </w:style>
  <w:style w:type="character" w:styleId="FollowedHyperlink">
    <w:name w:val="FollowedHyperlink"/>
    <w:basedOn w:val="DefaultParagraphFont"/>
    <w:uiPriority w:val="99"/>
    <w:semiHidden/>
    <w:unhideWhenUsed/>
    <w:rsid w:val="00F460BD"/>
    <w:rPr>
      <w:color w:val="800080" w:themeColor="followedHyperlink"/>
      <w:u w:val="single"/>
    </w:rPr>
  </w:style>
  <w:style w:type="paragraph" w:styleId="FootnoteText">
    <w:name w:val="footnote text"/>
    <w:basedOn w:val="Normal"/>
    <w:link w:val="FootnoteTextChar"/>
    <w:uiPriority w:val="99"/>
    <w:unhideWhenUsed/>
    <w:rsid w:val="00F460BD"/>
    <w:pPr>
      <w:spacing w:after="0"/>
    </w:pPr>
    <w:rPr>
      <w:sz w:val="16"/>
      <w:szCs w:val="22"/>
    </w:rPr>
  </w:style>
  <w:style w:type="character" w:customStyle="1" w:styleId="FootnoteTextChar">
    <w:name w:val="Footnote Text Char"/>
    <w:basedOn w:val="DefaultParagraphFont"/>
    <w:link w:val="FootnoteText"/>
    <w:uiPriority w:val="99"/>
    <w:rsid w:val="00F460BD"/>
    <w:rPr>
      <w:rFonts w:ascii="Arial" w:hAnsi="Arial" w:cs="Times New Roman"/>
      <w:sz w:val="16"/>
      <w:szCs w:val="22"/>
    </w:rPr>
  </w:style>
  <w:style w:type="character" w:styleId="FootnoteReference">
    <w:name w:val="footnote reference"/>
    <w:basedOn w:val="DefaultParagraphFont"/>
    <w:uiPriority w:val="99"/>
    <w:unhideWhenUsed/>
    <w:rsid w:val="00F460BD"/>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abv">
    <w:name w:val="abv"/>
    <w:basedOn w:val="DefaultParagraphFont"/>
    <w:rsid w:val="00A74426"/>
  </w:style>
  <w:style w:type="paragraph" w:styleId="Caption">
    <w:name w:val="caption"/>
    <w:basedOn w:val="Normal"/>
    <w:next w:val="Normal"/>
    <w:uiPriority w:val="35"/>
    <w:unhideWhenUsed/>
    <w:qFormat/>
    <w:rsid w:val="00543F28"/>
    <w:pPr>
      <w:spacing w:before="120"/>
      <w:jc w:val="left"/>
    </w:pPr>
    <w:rPr>
      <w:rFonts w:asciiTheme="minorHAnsi" w:eastAsiaTheme="minorHAnsi" w:hAnsiTheme="minorHAnsi" w:cstheme="minorBidi"/>
      <w:b/>
      <w:bCs/>
      <w:color w:val="943634" w:themeColor="accent2" w:themeShade="BF"/>
      <w:sz w:val="18"/>
      <w:szCs w:val="18"/>
    </w:rPr>
  </w:style>
  <w:style w:type="paragraph" w:styleId="BodyText2">
    <w:name w:val="Body Text 2"/>
    <w:basedOn w:val="Normal"/>
    <w:link w:val="BodyText2Char"/>
    <w:rsid w:val="00933BEE"/>
    <w:pPr>
      <w:spacing w:line="480" w:lineRule="auto"/>
      <w:jc w:val="left"/>
    </w:pPr>
    <w:rPr>
      <w:rFonts w:ascii="Times New Roman" w:eastAsia="Times New Roman" w:hAnsi="Times New Roman"/>
      <w:lang w:val="x-none"/>
    </w:rPr>
  </w:style>
  <w:style w:type="character" w:customStyle="1" w:styleId="BodyText2Char">
    <w:name w:val="Body Text 2 Char"/>
    <w:basedOn w:val="DefaultParagraphFont"/>
    <w:link w:val="BodyText2"/>
    <w:rsid w:val="00933BEE"/>
    <w:rPr>
      <w:rFonts w:ascii="Times New Roman" w:eastAsia="Times New Roman" w:hAnsi="Times New Roman" w:cs="Times New Roman"/>
      <w:lang w:val="x-none"/>
    </w:rPr>
  </w:style>
  <w:style w:type="paragraph" w:styleId="Revision">
    <w:name w:val="Revision"/>
    <w:hidden/>
    <w:uiPriority w:val="99"/>
    <w:semiHidden/>
    <w:rsid w:val="00F460BD"/>
    <w:rPr>
      <w:rFonts w:ascii="Arial" w:hAnsi="Arial" w:cs="Arial"/>
      <w:sz w:val="21"/>
      <w:szCs w:val="21"/>
    </w:rPr>
  </w:style>
  <w:style w:type="character" w:customStyle="1" w:styleId="Heading1Char">
    <w:name w:val="Heading 1 Char"/>
    <w:basedOn w:val="DefaultParagraphFont"/>
    <w:link w:val="Heading1"/>
    <w:uiPriority w:val="9"/>
    <w:rsid w:val="00F460BD"/>
    <w:rPr>
      <w:rFonts w:ascii="Arial" w:hAnsi="Arial" w:cs="Times New Roman"/>
      <w:b/>
      <w:sz w:val="40"/>
      <w:szCs w:val="52"/>
    </w:rPr>
  </w:style>
  <w:style w:type="character" w:customStyle="1" w:styleId="Heading2Char">
    <w:name w:val="Heading 2 Char"/>
    <w:basedOn w:val="DefaultParagraphFont"/>
    <w:link w:val="Heading2"/>
    <w:uiPriority w:val="9"/>
    <w:rsid w:val="00F460BD"/>
    <w:rPr>
      <w:rFonts w:ascii="Arial" w:hAnsi="Arial" w:cs="Times New Roman"/>
      <w:b/>
      <w:caps/>
      <w:sz w:val="24"/>
      <w:szCs w:val="26"/>
    </w:rPr>
  </w:style>
  <w:style w:type="character" w:customStyle="1" w:styleId="Heading3Char">
    <w:name w:val="Heading 3 Char"/>
    <w:basedOn w:val="DefaultParagraphFont"/>
    <w:link w:val="Heading3"/>
    <w:uiPriority w:val="9"/>
    <w:rsid w:val="00F460BD"/>
    <w:rPr>
      <w:rFonts w:ascii="Arial" w:hAnsi="Arial" w:cs="Times New Roman"/>
      <w:b/>
      <w:sz w:val="22"/>
      <w:szCs w:val="24"/>
    </w:rPr>
  </w:style>
  <w:style w:type="paragraph" w:customStyle="1" w:styleId="BasicParagraph">
    <w:name w:val="[Basic Paragraph]"/>
    <w:basedOn w:val="Normal"/>
    <w:uiPriority w:val="99"/>
    <w:rsid w:val="00F460B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460BD"/>
    <w:pPr>
      <w:spacing w:before="360" w:after="240"/>
      <w:jc w:val="left"/>
      <w:outlineLvl w:val="0"/>
    </w:pPr>
    <w:rPr>
      <w:b/>
      <w:sz w:val="40"/>
      <w:szCs w:val="52"/>
    </w:rPr>
  </w:style>
  <w:style w:type="paragraph" w:customStyle="1" w:styleId="Bullet1">
    <w:name w:val="Bullet 1"/>
    <w:basedOn w:val="Normal"/>
    <w:autoRedefine/>
    <w:rsid w:val="00F460BD"/>
    <w:pPr>
      <w:numPr>
        <w:numId w:val="14"/>
      </w:numPr>
      <w:spacing w:before="60"/>
      <w:jc w:val="left"/>
    </w:pPr>
    <w:rPr>
      <w:rFonts w:eastAsia="Times New Roman"/>
      <w:color w:val="000000"/>
    </w:rPr>
  </w:style>
  <w:style w:type="paragraph" w:customStyle="1" w:styleId="RefItem1">
    <w:name w:val="Ref Item 1"/>
    <w:basedOn w:val="Normal"/>
    <w:rsid w:val="00F460BD"/>
    <w:pPr>
      <w:jc w:val="left"/>
    </w:pPr>
    <w:rPr>
      <w:color w:val="000000"/>
      <w:szCs w:val="24"/>
      <w:lang w:eastAsia="it-IT"/>
    </w:rPr>
  </w:style>
  <w:style w:type="paragraph" w:customStyle="1" w:styleId="RefTitre">
    <w:name w:val="Ref Titre"/>
    <w:basedOn w:val="Normal"/>
    <w:rsid w:val="00F460BD"/>
    <w:pPr>
      <w:jc w:val="left"/>
    </w:pPr>
    <w:rPr>
      <w:rFonts w:eastAsia="Times New Roman"/>
      <w:b/>
      <w:bCs/>
      <w:sz w:val="26"/>
      <w:szCs w:val="26"/>
    </w:rPr>
  </w:style>
  <w:style w:type="paragraph" w:customStyle="1" w:styleId="Header1">
    <w:name w:val="Header 1"/>
    <w:basedOn w:val="Header"/>
    <w:rsid w:val="00F460BD"/>
    <w:rPr>
      <w:b/>
      <w:sz w:val="24"/>
      <w:szCs w:val="24"/>
    </w:rPr>
  </w:style>
  <w:style w:type="character" w:customStyle="1" w:styleId="Pantone485">
    <w:name w:val="Pantone 485"/>
    <w:basedOn w:val="DefaultParagraphFont"/>
    <w:uiPriority w:val="1"/>
    <w:qFormat/>
    <w:rsid w:val="00F460BD"/>
    <w:rPr>
      <w:rFonts w:cs="Caecilia-Light"/>
      <w:color w:val="DC281E"/>
      <w:szCs w:val="16"/>
    </w:rPr>
  </w:style>
  <w:style w:type="character" w:customStyle="1" w:styleId="H1Char">
    <w:name w:val="H1 Char"/>
    <w:basedOn w:val="DefaultParagraphFont"/>
    <w:link w:val="H1"/>
    <w:rsid w:val="00F460BD"/>
    <w:rPr>
      <w:rFonts w:ascii="Arial" w:hAnsi="Arial" w:cs="Times New Roman"/>
      <w:b/>
      <w:sz w:val="40"/>
      <w:szCs w:val="52"/>
    </w:rPr>
  </w:style>
  <w:style w:type="table" w:customStyle="1" w:styleId="TableGray">
    <w:name w:val="Table Gray"/>
    <w:basedOn w:val="TableNormal"/>
    <w:uiPriority w:val="99"/>
    <w:rsid w:val="00F460BD"/>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460BD"/>
    <w:pPr>
      <w:numPr>
        <w:numId w:val="43"/>
      </w:numPr>
      <w:tabs>
        <w:tab w:val="left" w:pos="7230"/>
      </w:tabs>
      <w:spacing w:before="240"/>
    </w:pPr>
    <w:rPr>
      <w:rFonts w:cs="Arial"/>
    </w:rPr>
  </w:style>
  <w:style w:type="paragraph" w:customStyle="1" w:styleId="ListNumber1">
    <w:name w:val="List Number 1"/>
    <w:basedOn w:val="Normal"/>
    <w:rsid w:val="00F460BD"/>
    <w:pPr>
      <w:numPr>
        <w:ilvl w:val="1"/>
        <w:numId w:val="41"/>
      </w:numPr>
      <w:contextualSpacing/>
    </w:pPr>
    <w:rPr>
      <w:rFonts w:eastAsiaTheme="minorHAnsi" w:cstheme="minorHAnsi"/>
      <w:szCs w:val="22"/>
    </w:rPr>
  </w:style>
  <w:style w:type="paragraph" w:customStyle="1" w:styleId="NormalNo">
    <w:name w:val="Normal + No"/>
    <w:basedOn w:val="Normal"/>
    <w:qFormat/>
    <w:rsid w:val="00F460BD"/>
    <w:pPr>
      <w:numPr>
        <w:numId w:val="42"/>
      </w:numPr>
    </w:pPr>
    <w:rPr>
      <w:rFonts w:eastAsia="MS Mincho"/>
      <w:b/>
      <w:sz w:val="22"/>
    </w:rPr>
  </w:style>
  <w:style w:type="paragraph" w:customStyle="1" w:styleId="Bullet3">
    <w:name w:val="Bullet 3"/>
    <w:basedOn w:val="ListParagraph"/>
    <w:qFormat/>
    <w:rsid w:val="00F460BD"/>
    <w:pPr>
      <w:numPr>
        <w:numId w:val="44"/>
      </w:numPr>
      <w:spacing w:before="120" w:after="120"/>
      <w:ind w:right="425"/>
    </w:pPr>
    <w:rPr>
      <w:rFonts w:cs="Arial"/>
      <w:i/>
      <w:iCs/>
    </w:rPr>
  </w:style>
  <w:style w:type="paragraph" w:customStyle="1" w:styleId="Indent">
    <w:name w:val="Indent"/>
    <w:basedOn w:val="Normal"/>
    <w:qFormat/>
    <w:rsid w:val="00F460BD"/>
    <w:pPr>
      <w:ind w:left="567"/>
    </w:pPr>
    <w:rPr>
      <w:rFonts w:cs="Arial"/>
      <w:b/>
    </w:rPr>
  </w:style>
  <w:style w:type="paragraph" w:customStyle="1" w:styleId="Heading3NotBold">
    <w:name w:val="Heading 3 Not Bold"/>
    <w:basedOn w:val="Normal"/>
    <w:qFormat/>
    <w:rsid w:val="00F27C45"/>
    <w:pPr>
      <w:widowControl w:val="0"/>
      <w:spacing w:before="240"/>
    </w:pPr>
    <w:rPr>
      <w:rFonts w:cs="Arial"/>
      <w:sz w:val="22"/>
    </w:rPr>
  </w:style>
  <w:style w:type="paragraph" w:customStyle="1" w:styleId="TitreTableau">
    <w:name w:val="Titre Tableau"/>
    <w:basedOn w:val="Normal"/>
    <w:qFormat/>
    <w:rsid w:val="00F460BD"/>
    <w:pPr>
      <w:spacing w:before="120"/>
      <w:jc w:val="center"/>
    </w:pPr>
    <w:rPr>
      <w:rFonts w:cs="Arial"/>
      <w:b/>
      <w:bCs/>
      <w:color w:val="FFFFFF" w:themeColor="background1"/>
      <w:lang w:val="en-CA"/>
    </w:rPr>
  </w:style>
  <w:style w:type="paragraph" w:customStyle="1" w:styleId="BulletTableau">
    <w:name w:val="Bullet Tableau"/>
    <w:basedOn w:val="Bullet2"/>
    <w:qFormat/>
    <w:rsid w:val="00F460BD"/>
    <w:pPr>
      <w:keepNext/>
      <w:keepLines/>
      <w:framePr w:hSpace="141" w:wrap="around" w:vAnchor="text" w:hAnchor="margin" w:y="402"/>
      <w:numPr>
        <w:numId w:val="45"/>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BD"/>
    <w:pPr>
      <w:spacing w:after="120"/>
      <w:jc w:val="both"/>
    </w:pPr>
    <w:rPr>
      <w:rFonts w:ascii="Arial" w:hAnsi="Arial" w:cs="Times New Roman"/>
    </w:rPr>
  </w:style>
  <w:style w:type="paragraph" w:styleId="Heading1">
    <w:name w:val="heading 1"/>
    <w:basedOn w:val="H1"/>
    <w:next w:val="Normal"/>
    <w:link w:val="Heading1Char"/>
    <w:uiPriority w:val="9"/>
    <w:rsid w:val="00F460BD"/>
  </w:style>
  <w:style w:type="paragraph" w:styleId="Heading2">
    <w:name w:val="heading 2"/>
    <w:basedOn w:val="Normal"/>
    <w:next w:val="Normal"/>
    <w:link w:val="Heading2Char"/>
    <w:autoRedefine/>
    <w:uiPriority w:val="9"/>
    <w:unhideWhenUsed/>
    <w:qFormat/>
    <w:rsid w:val="00F460BD"/>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F460BD"/>
    <w:pPr>
      <w:keepNext/>
      <w:spacing w:before="240"/>
      <w:jc w:val="left"/>
      <w:outlineLvl w:val="2"/>
    </w:pPr>
    <w:rPr>
      <w:b/>
      <w:sz w:val="22"/>
      <w:szCs w:val="24"/>
    </w:rPr>
  </w:style>
  <w:style w:type="character" w:default="1" w:styleId="DefaultParagraphFont">
    <w:name w:val="Default Paragraph Font"/>
    <w:uiPriority w:val="1"/>
    <w:semiHidden/>
    <w:unhideWhenUsed/>
    <w:rsid w:val="00F460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60BD"/>
  </w:style>
  <w:style w:type="paragraph" w:styleId="ListParagraph">
    <w:name w:val="List Paragraph"/>
    <w:basedOn w:val="Normal"/>
    <w:link w:val="ListParagraphChar"/>
    <w:uiPriority w:val="34"/>
    <w:qFormat/>
    <w:rsid w:val="00F460BD"/>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F460BD"/>
    <w:rPr>
      <w:rFonts w:ascii="Arial" w:eastAsiaTheme="minorHAnsi" w:hAnsi="Arial" w:cstheme="minorBidi"/>
      <w:szCs w:val="22"/>
    </w:rPr>
  </w:style>
  <w:style w:type="table" w:styleId="TableGrid">
    <w:name w:val="Table Grid"/>
    <w:basedOn w:val="TableNormal"/>
    <w:uiPriority w:val="59"/>
    <w:rsid w:val="00F460BD"/>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0BD"/>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460BD"/>
    <w:rPr>
      <w:sz w:val="18"/>
      <w:szCs w:val="18"/>
    </w:rPr>
  </w:style>
  <w:style w:type="paragraph" w:styleId="CommentText">
    <w:name w:val="annotation text"/>
    <w:basedOn w:val="Normal"/>
    <w:link w:val="CommentTextChar"/>
    <w:uiPriority w:val="99"/>
    <w:unhideWhenUsed/>
    <w:rsid w:val="00E9144E"/>
    <w:rPr>
      <w:sz w:val="24"/>
      <w:szCs w:val="24"/>
    </w:rPr>
  </w:style>
  <w:style w:type="character" w:customStyle="1" w:styleId="CommentTextChar">
    <w:name w:val="Comment Text Char"/>
    <w:basedOn w:val="DefaultParagraphFont"/>
    <w:link w:val="CommentText"/>
    <w:uiPriority w:val="99"/>
    <w:rsid w:val="00E9144E"/>
    <w:rPr>
      <w:rFonts w:ascii="Arial" w:hAnsi="Arial" w:cs="Arial"/>
      <w:sz w:val="24"/>
      <w:szCs w:val="24"/>
      <w:lang w:val="en-GB"/>
    </w:rPr>
  </w:style>
  <w:style w:type="paragraph" w:styleId="CommentSubject">
    <w:name w:val="annotation subject"/>
    <w:basedOn w:val="Normal"/>
    <w:link w:val="CommentSubjectChar"/>
    <w:uiPriority w:val="99"/>
    <w:semiHidden/>
    <w:unhideWhenUsed/>
    <w:rsid w:val="00F460BD"/>
    <w:rPr>
      <w:b/>
      <w:bCs/>
    </w:rPr>
  </w:style>
  <w:style w:type="character" w:customStyle="1" w:styleId="CommentSubjectChar">
    <w:name w:val="Comment Subject Char"/>
    <w:basedOn w:val="DefaultParagraphFont"/>
    <w:link w:val="CommentSubject"/>
    <w:uiPriority w:val="99"/>
    <w:semiHidden/>
    <w:rsid w:val="00F460BD"/>
    <w:rPr>
      <w:rFonts w:ascii="Arial" w:hAnsi="Arial" w:cs="Times New Roman"/>
      <w:b/>
      <w:bCs/>
    </w:rPr>
  </w:style>
  <w:style w:type="paragraph" w:styleId="BalloonText">
    <w:name w:val="Balloon Text"/>
    <w:basedOn w:val="Normal"/>
    <w:link w:val="BalloonTextChar"/>
    <w:uiPriority w:val="99"/>
    <w:semiHidden/>
    <w:unhideWhenUsed/>
    <w:rsid w:val="00F460B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0BD"/>
    <w:rPr>
      <w:rFonts w:ascii="Lucida Grande" w:hAnsi="Lucida Grande" w:cs="Lucida Grande"/>
      <w:sz w:val="18"/>
      <w:szCs w:val="18"/>
    </w:rPr>
  </w:style>
  <w:style w:type="paragraph" w:styleId="Footer">
    <w:name w:val="footer"/>
    <w:basedOn w:val="Normal"/>
    <w:link w:val="FooterChar"/>
    <w:uiPriority w:val="99"/>
    <w:unhideWhenUsed/>
    <w:rsid w:val="00F460BD"/>
    <w:pPr>
      <w:spacing w:after="0"/>
      <w:jc w:val="left"/>
    </w:pPr>
    <w:rPr>
      <w:sz w:val="16"/>
      <w:szCs w:val="18"/>
    </w:rPr>
  </w:style>
  <w:style w:type="character" w:customStyle="1" w:styleId="FooterChar">
    <w:name w:val="Footer Char"/>
    <w:basedOn w:val="DefaultParagraphFont"/>
    <w:link w:val="Footer"/>
    <w:uiPriority w:val="99"/>
    <w:rsid w:val="00F460BD"/>
    <w:rPr>
      <w:rFonts w:ascii="Arial" w:hAnsi="Arial" w:cs="Times New Roman"/>
      <w:sz w:val="16"/>
      <w:szCs w:val="18"/>
    </w:rPr>
  </w:style>
  <w:style w:type="character" w:styleId="PageNumber">
    <w:name w:val="page number"/>
    <w:basedOn w:val="DefaultParagraphFont"/>
    <w:uiPriority w:val="99"/>
    <w:unhideWhenUsed/>
    <w:rsid w:val="00F460BD"/>
    <w:rPr>
      <w:b/>
    </w:rPr>
  </w:style>
  <w:style w:type="paragraph" w:styleId="Header">
    <w:name w:val="header"/>
    <w:basedOn w:val="Normal"/>
    <w:link w:val="HeaderChar"/>
    <w:uiPriority w:val="99"/>
    <w:unhideWhenUsed/>
    <w:rsid w:val="00F460BD"/>
    <w:pPr>
      <w:spacing w:after="0" w:line="288" w:lineRule="auto"/>
      <w:jc w:val="left"/>
    </w:pPr>
    <w:rPr>
      <w:sz w:val="16"/>
    </w:rPr>
  </w:style>
  <w:style w:type="character" w:customStyle="1" w:styleId="HeaderChar">
    <w:name w:val="Header Char"/>
    <w:basedOn w:val="DefaultParagraphFont"/>
    <w:link w:val="Header"/>
    <w:uiPriority w:val="99"/>
    <w:rsid w:val="00F460BD"/>
    <w:rPr>
      <w:rFonts w:ascii="Arial" w:hAnsi="Arial" w:cs="Times New Roman"/>
      <w:sz w:val="16"/>
    </w:rPr>
  </w:style>
  <w:style w:type="character" w:styleId="Hyperlink">
    <w:name w:val="Hyperlink"/>
    <w:basedOn w:val="DefaultParagraphFont"/>
    <w:uiPriority w:val="99"/>
    <w:unhideWhenUsed/>
    <w:rsid w:val="00F460BD"/>
    <w:rPr>
      <w:color w:val="0000FF" w:themeColor="hyperlink"/>
      <w:u w:val="single"/>
    </w:rPr>
  </w:style>
  <w:style w:type="character" w:styleId="FollowedHyperlink">
    <w:name w:val="FollowedHyperlink"/>
    <w:basedOn w:val="DefaultParagraphFont"/>
    <w:uiPriority w:val="99"/>
    <w:semiHidden/>
    <w:unhideWhenUsed/>
    <w:rsid w:val="00F460BD"/>
    <w:rPr>
      <w:color w:val="800080" w:themeColor="followedHyperlink"/>
      <w:u w:val="single"/>
    </w:rPr>
  </w:style>
  <w:style w:type="paragraph" w:styleId="FootnoteText">
    <w:name w:val="footnote text"/>
    <w:basedOn w:val="Normal"/>
    <w:link w:val="FootnoteTextChar"/>
    <w:uiPriority w:val="99"/>
    <w:unhideWhenUsed/>
    <w:rsid w:val="00F460BD"/>
    <w:pPr>
      <w:spacing w:after="0"/>
    </w:pPr>
    <w:rPr>
      <w:sz w:val="16"/>
      <w:szCs w:val="22"/>
    </w:rPr>
  </w:style>
  <w:style w:type="character" w:customStyle="1" w:styleId="FootnoteTextChar">
    <w:name w:val="Footnote Text Char"/>
    <w:basedOn w:val="DefaultParagraphFont"/>
    <w:link w:val="FootnoteText"/>
    <w:uiPriority w:val="99"/>
    <w:rsid w:val="00F460BD"/>
    <w:rPr>
      <w:rFonts w:ascii="Arial" w:hAnsi="Arial" w:cs="Times New Roman"/>
      <w:sz w:val="16"/>
      <w:szCs w:val="22"/>
    </w:rPr>
  </w:style>
  <w:style w:type="character" w:styleId="FootnoteReference">
    <w:name w:val="footnote reference"/>
    <w:basedOn w:val="DefaultParagraphFont"/>
    <w:uiPriority w:val="99"/>
    <w:unhideWhenUsed/>
    <w:rsid w:val="00F460BD"/>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abv">
    <w:name w:val="abv"/>
    <w:basedOn w:val="DefaultParagraphFont"/>
    <w:rsid w:val="00A74426"/>
  </w:style>
  <w:style w:type="paragraph" w:styleId="Caption">
    <w:name w:val="caption"/>
    <w:basedOn w:val="Normal"/>
    <w:next w:val="Normal"/>
    <w:uiPriority w:val="35"/>
    <w:unhideWhenUsed/>
    <w:qFormat/>
    <w:rsid w:val="00543F28"/>
    <w:pPr>
      <w:spacing w:before="120"/>
      <w:jc w:val="left"/>
    </w:pPr>
    <w:rPr>
      <w:rFonts w:asciiTheme="minorHAnsi" w:eastAsiaTheme="minorHAnsi" w:hAnsiTheme="minorHAnsi" w:cstheme="minorBidi"/>
      <w:b/>
      <w:bCs/>
      <w:color w:val="943634" w:themeColor="accent2" w:themeShade="BF"/>
      <w:sz w:val="18"/>
      <w:szCs w:val="18"/>
    </w:rPr>
  </w:style>
  <w:style w:type="paragraph" w:styleId="BodyText2">
    <w:name w:val="Body Text 2"/>
    <w:basedOn w:val="Normal"/>
    <w:link w:val="BodyText2Char"/>
    <w:rsid w:val="00933BEE"/>
    <w:pPr>
      <w:spacing w:line="480" w:lineRule="auto"/>
      <w:jc w:val="left"/>
    </w:pPr>
    <w:rPr>
      <w:rFonts w:ascii="Times New Roman" w:eastAsia="Times New Roman" w:hAnsi="Times New Roman"/>
      <w:lang w:val="x-none"/>
    </w:rPr>
  </w:style>
  <w:style w:type="character" w:customStyle="1" w:styleId="BodyText2Char">
    <w:name w:val="Body Text 2 Char"/>
    <w:basedOn w:val="DefaultParagraphFont"/>
    <w:link w:val="BodyText2"/>
    <w:rsid w:val="00933BEE"/>
    <w:rPr>
      <w:rFonts w:ascii="Times New Roman" w:eastAsia="Times New Roman" w:hAnsi="Times New Roman" w:cs="Times New Roman"/>
      <w:lang w:val="x-none"/>
    </w:rPr>
  </w:style>
  <w:style w:type="paragraph" w:styleId="Revision">
    <w:name w:val="Revision"/>
    <w:hidden/>
    <w:uiPriority w:val="99"/>
    <w:semiHidden/>
    <w:rsid w:val="00F460BD"/>
    <w:rPr>
      <w:rFonts w:ascii="Arial" w:hAnsi="Arial" w:cs="Arial"/>
      <w:sz w:val="21"/>
      <w:szCs w:val="21"/>
    </w:rPr>
  </w:style>
  <w:style w:type="character" w:customStyle="1" w:styleId="Heading1Char">
    <w:name w:val="Heading 1 Char"/>
    <w:basedOn w:val="DefaultParagraphFont"/>
    <w:link w:val="Heading1"/>
    <w:uiPriority w:val="9"/>
    <w:rsid w:val="00F460BD"/>
    <w:rPr>
      <w:rFonts w:ascii="Arial" w:hAnsi="Arial" w:cs="Times New Roman"/>
      <w:b/>
      <w:sz w:val="40"/>
      <w:szCs w:val="52"/>
    </w:rPr>
  </w:style>
  <w:style w:type="character" w:customStyle="1" w:styleId="Heading2Char">
    <w:name w:val="Heading 2 Char"/>
    <w:basedOn w:val="DefaultParagraphFont"/>
    <w:link w:val="Heading2"/>
    <w:uiPriority w:val="9"/>
    <w:rsid w:val="00F460BD"/>
    <w:rPr>
      <w:rFonts w:ascii="Arial" w:hAnsi="Arial" w:cs="Times New Roman"/>
      <w:b/>
      <w:caps/>
      <w:sz w:val="24"/>
      <w:szCs w:val="26"/>
    </w:rPr>
  </w:style>
  <w:style w:type="character" w:customStyle="1" w:styleId="Heading3Char">
    <w:name w:val="Heading 3 Char"/>
    <w:basedOn w:val="DefaultParagraphFont"/>
    <w:link w:val="Heading3"/>
    <w:uiPriority w:val="9"/>
    <w:rsid w:val="00F460BD"/>
    <w:rPr>
      <w:rFonts w:ascii="Arial" w:hAnsi="Arial" w:cs="Times New Roman"/>
      <w:b/>
      <w:sz w:val="22"/>
      <w:szCs w:val="24"/>
    </w:rPr>
  </w:style>
  <w:style w:type="paragraph" w:customStyle="1" w:styleId="BasicParagraph">
    <w:name w:val="[Basic Paragraph]"/>
    <w:basedOn w:val="Normal"/>
    <w:uiPriority w:val="99"/>
    <w:rsid w:val="00F460B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460BD"/>
    <w:pPr>
      <w:spacing w:before="360" w:after="240"/>
      <w:jc w:val="left"/>
      <w:outlineLvl w:val="0"/>
    </w:pPr>
    <w:rPr>
      <w:b/>
      <w:sz w:val="40"/>
      <w:szCs w:val="52"/>
    </w:rPr>
  </w:style>
  <w:style w:type="paragraph" w:customStyle="1" w:styleId="Bullet1">
    <w:name w:val="Bullet 1"/>
    <w:basedOn w:val="Normal"/>
    <w:autoRedefine/>
    <w:rsid w:val="00F460BD"/>
    <w:pPr>
      <w:numPr>
        <w:numId w:val="14"/>
      </w:numPr>
      <w:spacing w:before="60"/>
      <w:jc w:val="left"/>
    </w:pPr>
    <w:rPr>
      <w:rFonts w:eastAsia="Times New Roman"/>
      <w:color w:val="000000"/>
    </w:rPr>
  </w:style>
  <w:style w:type="paragraph" w:customStyle="1" w:styleId="RefItem1">
    <w:name w:val="Ref Item 1"/>
    <w:basedOn w:val="Normal"/>
    <w:rsid w:val="00F460BD"/>
    <w:pPr>
      <w:jc w:val="left"/>
    </w:pPr>
    <w:rPr>
      <w:color w:val="000000"/>
      <w:szCs w:val="24"/>
      <w:lang w:eastAsia="it-IT"/>
    </w:rPr>
  </w:style>
  <w:style w:type="paragraph" w:customStyle="1" w:styleId="RefTitre">
    <w:name w:val="Ref Titre"/>
    <w:basedOn w:val="Normal"/>
    <w:rsid w:val="00F460BD"/>
    <w:pPr>
      <w:jc w:val="left"/>
    </w:pPr>
    <w:rPr>
      <w:rFonts w:eastAsia="Times New Roman"/>
      <w:b/>
      <w:bCs/>
      <w:sz w:val="26"/>
      <w:szCs w:val="26"/>
    </w:rPr>
  </w:style>
  <w:style w:type="paragraph" w:customStyle="1" w:styleId="Header1">
    <w:name w:val="Header 1"/>
    <w:basedOn w:val="Header"/>
    <w:rsid w:val="00F460BD"/>
    <w:rPr>
      <w:b/>
      <w:sz w:val="24"/>
      <w:szCs w:val="24"/>
    </w:rPr>
  </w:style>
  <w:style w:type="character" w:customStyle="1" w:styleId="Pantone485">
    <w:name w:val="Pantone 485"/>
    <w:basedOn w:val="DefaultParagraphFont"/>
    <w:uiPriority w:val="1"/>
    <w:qFormat/>
    <w:rsid w:val="00F460BD"/>
    <w:rPr>
      <w:rFonts w:cs="Caecilia-Light"/>
      <w:color w:val="DC281E"/>
      <w:szCs w:val="16"/>
    </w:rPr>
  </w:style>
  <w:style w:type="character" w:customStyle="1" w:styleId="H1Char">
    <w:name w:val="H1 Char"/>
    <w:basedOn w:val="DefaultParagraphFont"/>
    <w:link w:val="H1"/>
    <w:rsid w:val="00F460BD"/>
    <w:rPr>
      <w:rFonts w:ascii="Arial" w:hAnsi="Arial" w:cs="Times New Roman"/>
      <w:b/>
      <w:sz w:val="40"/>
      <w:szCs w:val="52"/>
    </w:rPr>
  </w:style>
  <w:style w:type="table" w:customStyle="1" w:styleId="TableGray">
    <w:name w:val="Table Gray"/>
    <w:basedOn w:val="TableNormal"/>
    <w:uiPriority w:val="99"/>
    <w:rsid w:val="00F460BD"/>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460BD"/>
    <w:pPr>
      <w:numPr>
        <w:numId w:val="43"/>
      </w:numPr>
      <w:tabs>
        <w:tab w:val="left" w:pos="7230"/>
      </w:tabs>
      <w:spacing w:before="240"/>
    </w:pPr>
    <w:rPr>
      <w:rFonts w:cs="Arial"/>
    </w:rPr>
  </w:style>
  <w:style w:type="paragraph" w:customStyle="1" w:styleId="ListNumber1">
    <w:name w:val="List Number 1"/>
    <w:basedOn w:val="Normal"/>
    <w:rsid w:val="00F460BD"/>
    <w:pPr>
      <w:numPr>
        <w:ilvl w:val="1"/>
        <w:numId w:val="41"/>
      </w:numPr>
      <w:contextualSpacing/>
    </w:pPr>
    <w:rPr>
      <w:rFonts w:eastAsiaTheme="minorHAnsi" w:cstheme="minorHAnsi"/>
      <w:szCs w:val="22"/>
    </w:rPr>
  </w:style>
  <w:style w:type="paragraph" w:customStyle="1" w:styleId="NormalNo">
    <w:name w:val="Normal + No"/>
    <w:basedOn w:val="Normal"/>
    <w:qFormat/>
    <w:rsid w:val="00F460BD"/>
    <w:pPr>
      <w:numPr>
        <w:numId w:val="42"/>
      </w:numPr>
    </w:pPr>
    <w:rPr>
      <w:rFonts w:eastAsia="MS Mincho"/>
      <w:b/>
      <w:sz w:val="22"/>
    </w:rPr>
  </w:style>
  <w:style w:type="paragraph" w:customStyle="1" w:styleId="Bullet3">
    <w:name w:val="Bullet 3"/>
    <w:basedOn w:val="ListParagraph"/>
    <w:qFormat/>
    <w:rsid w:val="00F460BD"/>
    <w:pPr>
      <w:numPr>
        <w:numId w:val="44"/>
      </w:numPr>
      <w:spacing w:before="120" w:after="120"/>
      <w:ind w:right="425"/>
    </w:pPr>
    <w:rPr>
      <w:rFonts w:cs="Arial"/>
      <w:i/>
      <w:iCs/>
    </w:rPr>
  </w:style>
  <w:style w:type="paragraph" w:customStyle="1" w:styleId="Indent">
    <w:name w:val="Indent"/>
    <w:basedOn w:val="Normal"/>
    <w:qFormat/>
    <w:rsid w:val="00F460BD"/>
    <w:pPr>
      <w:ind w:left="567"/>
    </w:pPr>
    <w:rPr>
      <w:rFonts w:cs="Arial"/>
      <w:b/>
    </w:rPr>
  </w:style>
  <w:style w:type="paragraph" w:customStyle="1" w:styleId="Heading3NotBold">
    <w:name w:val="Heading 3 Not Bold"/>
    <w:basedOn w:val="Normal"/>
    <w:qFormat/>
    <w:rsid w:val="00F27C45"/>
    <w:pPr>
      <w:widowControl w:val="0"/>
      <w:spacing w:before="240"/>
    </w:pPr>
    <w:rPr>
      <w:rFonts w:cs="Arial"/>
      <w:sz w:val="22"/>
    </w:rPr>
  </w:style>
  <w:style w:type="paragraph" w:customStyle="1" w:styleId="TitreTableau">
    <w:name w:val="Titre Tableau"/>
    <w:basedOn w:val="Normal"/>
    <w:qFormat/>
    <w:rsid w:val="00F460BD"/>
    <w:pPr>
      <w:spacing w:before="120"/>
      <w:jc w:val="center"/>
    </w:pPr>
    <w:rPr>
      <w:rFonts w:cs="Arial"/>
      <w:b/>
      <w:bCs/>
      <w:color w:val="FFFFFF" w:themeColor="background1"/>
      <w:lang w:val="en-CA"/>
    </w:rPr>
  </w:style>
  <w:style w:type="paragraph" w:customStyle="1" w:styleId="BulletTableau">
    <w:name w:val="Bullet Tableau"/>
    <w:basedOn w:val="Bullet2"/>
    <w:qFormat/>
    <w:rsid w:val="00F460BD"/>
    <w:pPr>
      <w:keepNext/>
      <w:keepLines/>
      <w:framePr w:hSpace="141" w:wrap="around" w:vAnchor="text" w:hAnchor="margin" w:y="402"/>
      <w:numPr>
        <w:numId w:val="45"/>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6046">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49585077">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345714878">
      <w:bodyDiv w:val="1"/>
      <w:marLeft w:val="0"/>
      <w:marRight w:val="0"/>
      <w:marTop w:val="0"/>
      <w:marBottom w:val="0"/>
      <w:divBdr>
        <w:top w:val="none" w:sz="0" w:space="0" w:color="auto"/>
        <w:left w:val="none" w:sz="0" w:space="0" w:color="auto"/>
        <w:bottom w:val="none" w:sz="0" w:space="0" w:color="auto"/>
        <w:right w:val="none" w:sz="0" w:space="0" w:color="auto"/>
      </w:divBdr>
    </w:div>
    <w:div w:id="398215929">
      <w:bodyDiv w:val="1"/>
      <w:marLeft w:val="0"/>
      <w:marRight w:val="0"/>
      <w:marTop w:val="0"/>
      <w:marBottom w:val="0"/>
      <w:divBdr>
        <w:top w:val="none" w:sz="0" w:space="0" w:color="auto"/>
        <w:left w:val="none" w:sz="0" w:space="0" w:color="auto"/>
        <w:bottom w:val="none" w:sz="0" w:space="0" w:color="auto"/>
        <w:right w:val="none" w:sz="0" w:space="0" w:color="auto"/>
      </w:divBdr>
    </w:div>
    <w:div w:id="417337811">
      <w:bodyDiv w:val="1"/>
      <w:marLeft w:val="0"/>
      <w:marRight w:val="0"/>
      <w:marTop w:val="0"/>
      <w:marBottom w:val="0"/>
      <w:divBdr>
        <w:top w:val="none" w:sz="0" w:space="0" w:color="auto"/>
        <w:left w:val="none" w:sz="0" w:space="0" w:color="auto"/>
        <w:bottom w:val="none" w:sz="0" w:space="0" w:color="auto"/>
        <w:right w:val="none" w:sz="0" w:space="0" w:color="auto"/>
      </w:divBdr>
      <w:divsChild>
        <w:div w:id="46344817">
          <w:marLeft w:val="0"/>
          <w:marRight w:val="0"/>
          <w:marTop w:val="0"/>
          <w:marBottom w:val="0"/>
          <w:divBdr>
            <w:top w:val="none" w:sz="0" w:space="0" w:color="auto"/>
            <w:left w:val="none" w:sz="0" w:space="0" w:color="auto"/>
            <w:bottom w:val="none" w:sz="0" w:space="0" w:color="auto"/>
            <w:right w:val="none" w:sz="0" w:space="0" w:color="auto"/>
          </w:divBdr>
        </w:div>
      </w:divsChild>
    </w:div>
    <w:div w:id="530991516">
      <w:bodyDiv w:val="1"/>
      <w:marLeft w:val="0"/>
      <w:marRight w:val="0"/>
      <w:marTop w:val="0"/>
      <w:marBottom w:val="0"/>
      <w:divBdr>
        <w:top w:val="none" w:sz="0" w:space="0" w:color="auto"/>
        <w:left w:val="none" w:sz="0" w:space="0" w:color="auto"/>
        <w:bottom w:val="none" w:sz="0" w:space="0" w:color="auto"/>
        <w:right w:val="none" w:sz="0" w:space="0" w:color="auto"/>
      </w:divBdr>
      <w:divsChild>
        <w:div w:id="554195624">
          <w:marLeft w:val="0"/>
          <w:marRight w:val="0"/>
          <w:marTop w:val="0"/>
          <w:marBottom w:val="0"/>
          <w:divBdr>
            <w:top w:val="none" w:sz="0" w:space="0" w:color="auto"/>
            <w:left w:val="none" w:sz="0" w:space="0" w:color="auto"/>
            <w:bottom w:val="none" w:sz="0" w:space="0" w:color="auto"/>
            <w:right w:val="none" w:sz="0" w:space="0" w:color="auto"/>
          </w:divBdr>
        </w:div>
      </w:divsChild>
    </w:div>
    <w:div w:id="549733133">
      <w:bodyDiv w:val="1"/>
      <w:marLeft w:val="0"/>
      <w:marRight w:val="0"/>
      <w:marTop w:val="0"/>
      <w:marBottom w:val="0"/>
      <w:divBdr>
        <w:top w:val="none" w:sz="0" w:space="0" w:color="auto"/>
        <w:left w:val="none" w:sz="0" w:space="0" w:color="auto"/>
        <w:bottom w:val="none" w:sz="0" w:space="0" w:color="auto"/>
        <w:right w:val="none" w:sz="0" w:space="0" w:color="auto"/>
      </w:divBdr>
    </w:div>
    <w:div w:id="577128891">
      <w:bodyDiv w:val="1"/>
      <w:marLeft w:val="0"/>
      <w:marRight w:val="0"/>
      <w:marTop w:val="0"/>
      <w:marBottom w:val="0"/>
      <w:divBdr>
        <w:top w:val="none" w:sz="0" w:space="0" w:color="auto"/>
        <w:left w:val="none" w:sz="0" w:space="0" w:color="auto"/>
        <w:bottom w:val="none" w:sz="0" w:space="0" w:color="auto"/>
        <w:right w:val="none" w:sz="0" w:space="0" w:color="auto"/>
      </w:divBdr>
    </w:div>
    <w:div w:id="580023218">
      <w:bodyDiv w:val="1"/>
      <w:marLeft w:val="0"/>
      <w:marRight w:val="0"/>
      <w:marTop w:val="0"/>
      <w:marBottom w:val="0"/>
      <w:divBdr>
        <w:top w:val="none" w:sz="0" w:space="0" w:color="auto"/>
        <w:left w:val="none" w:sz="0" w:space="0" w:color="auto"/>
        <w:bottom w:val="none" w:sz="0" w:space="0" w:color="auto"/>
        <w:right w:val="none" w:sz="0" w:space="0" w:color="auto"/>
      </w:divBdr>
      <w:divsChild>
        <w:div w:id="1356496651">
          <w:marLeft w:val="0"/>
          <w:marRight w:val="0"/>
          <w:marTop w:val="0"/>
          <w:marBottom w:val="0"/>
          <w:divBdr>
            <w:top w:val="none" w:sz="0" w:space="0" w:color="auto"/>
            <w:left w:val="none" w:sz="0" w:space="0" w:color="auto"/>
            <w:bottom w:val="none" w:sz="0" w:space="0" w:color="auto"/>
            <w:right w:val="none" w:sz="0" w:space="0" w:color="auto"/>
          </w:divBdr>
        </w:div>
        <w:div w:id="4939493">
          <w:marLeft w:val="0"/>
          <w:marRight w:val="0"/>
          <w:marTop w:val="0"/>
          <w:marBottom w:val="0"/>
          <w:divBdr>
            <w:top w:val="none" w:sz="0" w:space="0" w:color="auto"/>
            <w:left w:val="none" w:sz="0" w:space="0" w:color="auto"/>
            <w:bottom w:val="none" w:sz="0" w:space="0" w:color="auto"/>
            <w:right w:val="none" w:sz="0" w:space="0" w:color="auto"/>
          </w:divBdr>
        </w:div>
        <w:div w:id="237979941">
          <w:marLeft w:val="0"/>
          <w:marRight w:val="0"/>
          <w:marTop w:val="0"/>
          <w:marBottom w:val="0"/>
          <w:divBdr>
            <w:top w:val="none" w:sz="0" w:space="0" w:color="auto"/>
            <w:left w:val="none" w:sz="0" w:space="0" w:color="auto"/>
            <w:bottom w:val="none" w:sz="0" w:space="0" w:color="auto"/>
            <w:right w:val="none" w:sz="0" w:space="0" w:color="auto"/>
          </w:divBdr>
        </w:div>
      </w:divsChild>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863985262">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183469503">
      <w:bodyDiv w:val="1"/>
      <w:marLeft w:val="0"/>
      <w:marRight w:val="0"/>
      <w:marTop w:val="0"/>
      <w:marBottom w:val="0"/>
      <w:divBdr>
        <w:top w:val="none" w:sz="0" w:space="0" w:color="auto"/>
        <w:left w:val="none" w:sz="0" w:space="0" w:color="auto"/>
        <w:bottom w:val="none" w:sz="0" w:space="0" w:color="auto"/>
        <w:right w:val="none" w:sz="0" w:space="0" w:color="auto"/>
      </w:divBdr>
      <w:divsChild>
        <w:div w:id="1373338941">
          <w:marLeft w:val="0"/>
          <w:marRight w:val="0"/>
          <w:marTop w:val="0"/>
          <w:marBottom w:val="0"/>
          <w:divBdr>
            <w:top w:val="none" w:sz="0" w:space="0" w:color="auto"/>
            <w:left w:val="none" w:sz="0" w:space="0" w:color="auto"/>
            <w:bottom w:val="none" w:sz="0" w:space="0" w:color="auto"/>
            <w:right w:val="none" w:sz="0" w:space="0" w:color="auto"/>
          </w:divBdr>
        </w:div>
      </w:divsChild>
    </w:div>
    <w:div w:id="1195314458">
      <w:bodyDiv w:val="1"/>
      <w:marLeft w:val="0"/>
      <w:marRight w:val="0"/>
      <w:marTop w:val="0"/>
      <w:marBottom w:val="0"/>
      <w:divBdr>
        <w:top w:val="none" w:sz="0" w:space="0" w:color="auto"/>
        <w:left w:val="none" w:sz="0" w:space="0" w:color="auto"/>
        <w:bottom w:val="none" w:sz="0" w:space="0" w:color="auto"/>
        <w:right w:val="none" w:sz="0" w:space="0" w:color="auto"/>
      </w:divBdr>
    </w:div>
    <w:div w:id="1430542642">
      <w:bodyDiv w:val="1"/>
      <w:marLeft w:val="0"/>
      <w:marRight w:val="0"/>
      <w:marTop w:val="0"/>
      <w:marBottom w:val="0"/>
      <w:divBdr>
        <w:top w:val="none" w:sz="0" w:space="0" w:color="auto"/>
        <w:left w:val="none" w:sz="0" w:space="0" w:color="auto"/>
        <w:bottom w:val="none" w:sz="0" w:space="0" w:color="auto"/>
        <w:right w:val="none" w:sz="0" w:space="0" w:color="auto"/>
      </w:divBdr>
    </w:div>
    <w:div w:id="1628050318">
      <w:bodyDiv w:val="1"/>
      <w:marLeft w:val="0"/>
      <w:marRight w:val="0"/>
      <w:marTop w:val="0"/>
      <w:marBottom w:val="0"/>
      <w:divBdr>
        <w:top w:val="none" w:sz="0" w:space="0" w:color="auto"/>
        <w:left w:val="none" w:sz="0" w:space="0" w:color="auto"/>
        <w:bottom w:val="none" w:sz="0" w:space="0" w:color="auto"/>
        <w:right w:val="none" w:sz="0" w:space="0" w:color="auto"/>
      </w:divBdr>
    </w:div>
    <w:div w:id="1661614996">
      <w:bodyDiv w:val="1"/>
      <w:marLeft w:val="0"/>
      <w:marRight w:val="0"/>
      <w:marTop w:val="0"/>
      <w:marBottom w:val="0"/>
      <w:divBdr>
        <w:top w:val="none" w:sz="0" w:space="0" w:color="auto"/>
        <w:left w:val="none" w:sz="0" w:space="0" w:color="auto"/>
        <w:bottom w:val="none" w:sz="0" w:space="0" w:color="auto"/>
        <w:right w:val="none" w:sz="0" w:space="0" w:color="auto"/>
      </w:divBdr>
    </w:div>
    <w:div w:id="1779833330">
      <w:bodyDiv w:val="1"/>
      <w:marLeft w:val="0"/>
      <w:marRight w:val="0"/>
      <w:marTop w:val="0"/>
      <w:marBottom w:val="0"/>
      <w:divBdr>
        <w:top w:val="none" w:sz="0" w:space="0" w:color="auto"/>
        <w:left w:val="none" w:sz="0" w:space="0" w:color="auto"/>
        <w:bottom w:val="none" w:sz="0" w:space="0" w:color="auto"/>
        <w:right w:val="none" w:sz="0" w:space="0" w:color="auto"/>
      </w:divBdr>
    </w:div>
    <w:div w:id="1891115067">
      <w:bodyDiv w:val="1"/>
      <w:marLeft w:val="0"/>
      <w:marRight w:val="0"/>
      <w:marTop w:val="0"/>
      <w:marBottom w:val="0"/>
      <w:divBdr>
        <w:top w:val="none" w:sz="0" w:space="0" w:color="auto"/>
        <w:left w:val="none" w:sz="0" w:space="0" w:color="auto"/>
        <w:bottom w:val="none" w:sz="0" w:space="0" w:color="auto"/>
        <w:right w:val="none" w:sz="0" w:space="0" w:color="auto"/>
      </w:divBdr>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org/eng/assets/files/publications/icrc-002-4200.pdf" TargetMode="External"/><Relationship Id="rId13" Type="http://schemas.openxmlformats.org/officeDocument/2006/relationships/header" Target="head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ifrc.org/PageFiles/94411/IFRC%20BCA%20Lesson%20Learned%20doc_final.pdf"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10</TotalTime>
  <Pages>3</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5</cp:revision>
  <cp:lastPrinted>2015-09-23T00:44:00Z</cp:lastPrinted>
  <dcterms:created xsi:type="dcterms:W3CDTF">2015-09-17T21:19:00Z</dcterms:created>
  <dcterms:modified xsi:type="dcterms:W3CDTF">2015-09-23T00:50:00Z</dcterms:modified>
</cp:coreProperties>
</file>