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99FA" w14:textId="77777777" w:rsidR="00432547" w:rsidRPr="00A868FB" w:rsidRDefault="004F4028" w:rsidP="00770A3F">
      <w:pPr>
        <w:pStyle w:val="H1"/>
        <w:tabs>
          <w:tab w:val="right" w:pos="9632"/>
        </w:tabs>
      </w:pPr>
      <w:bookmarkStart w:id="0" w:name="_GoBack"/>
      <w:bookmarkEnd w:id="0"/>
      <w:r w:rsidRPr="00A868FB">
        <w:t>M</w:t>
      </w:r>
      <w:r w:rsidR="00490455" w:rsidRPr="00A868FB">
        <w:t xml:space="preserve">obile money </w:t>
      </w:r>
      <w:r w:rsidR="00432547" w:rsidRPr="00A868FB">
        <w:t>requirements</w:t>
      </w:r>
      <w:r w:rsidR="008C2471" w:rsidRPr="00A868FB">
        <w:t xml:space="preserve"> che</w:t>
      </w:r>
      <w:r w:rsidR="002B32DD" w:rsidRPr="00A868FB">
        <w:t>c</w:t>
      </w:r>
      <w:r w:rsidR="008C2471" w:rsidRPr="00A868FB">
        <w:t>klist</w:t>
      </w:r>
      <w:r w:rsidR="00770A3F">
        <w:tab/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6390"/>
        <w:gridCol w:w="1420"/>
      </w:tblGrid>
      <w:tr w:rsidR="00770A3F" w:rsidRPr="00F56789" w14:paraId="0059C6C1" w14:textId="77777777" w:rsidTr="006A02A5">
        <w:trPr>
          <w:trHeight w:val="494"/>
        </w:trPr>
        <w:tc>
          <w:tcPr>
            <w:tcW w:w="2414" w:type="dxa"/>
            <w:shd w:val="clear" w:color="BFBFBF" w:themeColor="background1" w:themeShade="BF" w:fill="DC281E"/>
            <w:vAlign w:val="center"/>
          </w:tcPr>
          <w:p w14:paraId="6945C01F" w14:textId="77777777" w:rsidR="00770A3F" w:rsidRPr="00F56789" w:rsidRDefault="00770A3F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F56789">
              <w:rPr>
                <w:rFonts w:cs="Arial"/>
                <w:b/>
                <w:color w:val="FFFFFF" w:themeColor="background1"/>
              </w:rPr>
              <w:t>Service</w:t>
            </w:r>
          </w:p>
        </w:tc>
        <w:tc>
          <w:tcPr>
            <w:tcW w:w="6390" w:type="dxa"/>
            <w:shd w:val="clear" w:color="BFBFBF" w:themeColor="background1" w:themeShade="BF" w:fill="DC281E"/>
            <w:vAlign w:val="center"/>
          </w:tcPr>
          <w:p w14:paraId="33E84DDD" w14:textId="77777777" w:rsidR="00770A3F" w:rsidRPr="00F56789" w:rsidRDefault="00770A3F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F56789">
              <w:rPr>
                <w:rFonts w:cs="Arial"/>
                <w:b/>
                <w:color w:val="FFFFFF" w:themeColor="background1"/>
              </w:rPr>
              <w:t>Minimum requirements</w:t>
            </w:r>
          </w:p>
        </w:tc>
        <w:tc>
          <w:tcPr>
            <w:tcW w:w="1420" w:type="dxa"/>
            <w:shd w:val="clear" w:color="BFBFBF" w:themeColor="background1" w:themeShade="BF" w:fill="DC281E"/>
          </w:tcPr>
          <w:p w14:paraId="71FFE0A3" w14:textId="77777777" w:rsidR="00770A3F" w:rsidRPr="00F56789" w:rsidRDefault="006A02A5" w:rsidP="003E2145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Task completed?</w:t>
            </w:r>
          </w:p>
        </w:tc>
      </w:tr>
      <w:tr w:rsidR="00770A3F" w:rsidRPr="00F56789" w14:paraId="0A9FD6CC" w14:textId="77777777" w:rsidTr="006A02A5">
        <w:tc>
          <w:tcPr>
            <w:tcW w:w="8804" w:type="dxa"/>
            <w:gridSpan w:val="2"/>
            <w:shd w:val="clear" w:color="auto" w:fill="A6A6A6"/>
            <w:vAlign w:val="center"/>
          </w:tcPr>
          <w:p w14:paraId="0F2A7F35" w14:textId="77777777" w:rsidR="00770A3F" w:rsidRPr="00F56789" w:rsidRDefault="00770A3F" w:rsidP="00F56789">
            <w:pPr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Payment product details: Corporate (payer)</w:t>
            </w:r>
          </w:p>
        </w:tc>
        <w:tc>
          <w:tcPr>
            <w:tcW w:w="1420" w:type="dxa"/>
            <w:shd w:val="clear" w:color="auto" w:fill="A6A6A6"/>
          </w:tcPr>
          <w:p w14:paraId="6C5EC45B" w14:textId="77777777"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14:paraId="25B4D365" w14:textId="77777777" w:rsidTr="006A02A5">
        <w:tc>
          <w:tcPr>
            <w:tcW w:w="2414" w:type="dxa"/>
            <w:shd w:val="clear" w:color="auto" w:fill="E6E6E6"/>
            <w:vAlign w:val="center"/>
          </w:tcPr>
          <w:p w14:paraId="30FFFFD7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Transaction tracking capabilities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6806A9A1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how transactions are pre-verified before payment and how the information is provided to the payer [organization] once payments are made</w:t>
            </w:r>
            <w:r w:rsidRPr="00F56789">
              <w:rPr>
                <w:rFonts w:cs="Arial"/>
              </w:rPr>
              <w:br/>
              <w:t>Sample transaction statement</w:t>
            </w:r>
          </w:p>
        </w:tc>
        <w:tc>
          <w:tcPr>
            <w:tcW w:w="1420" w:type="dxa"/>
            <w:shd w:val="clear" w:color="auto" w:fill="F3F3F3"/>
          </w:tcPr>
          <w:p w14:paraId="62A66D1D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07FBFC8F" w14:textId="77777777" w:rsidTr="006A02A5">
        <w:tc>
          <w:tcPr>
            <w:tcW w:w="2414" w:type="dxa"/>
            <w:shd w:val="clear" w:color="auto" w:fill="E6E6E6"/>
            <w:vAlign w:val="center"/>
          </w:tcPr>
          <w:p w14:paraId="251E85B6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Registration and know your customer requirements (corporate account)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1EFC5D8D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List of requirements for [organization] to activate an account with the service </w:t>
            </w:r>
          </w:p>
        </w:tc>
        <w:tc>
          <w:tcPr>
            <w:tcW w:w="1420" w:type="dxa"/>
            <w:shd w:val="clear" w:color="auto" w:fill="F3F3F3"/>
          </w:tcPr>
          <w:p w14:paraId="529DBA2C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38BB82B" w14:textId="77777777" w:rsidTr="006A02A5">
        <w:tc>
          <w:tcPr>
            <w:tcW w:w="2414" w:type="dxa"/>
            <w:shd w:val="clear" w:color="auto" w:fill="E6E6E6"/>
            <w:vAlign w:val="center"/>
          </w:tcPr>
          <w:p w14:paraId="6914B3DE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Full description of disbursement</w:t>
            </w:r>
            <w:r w:rsidRPr="00F56789">
              <w:rPr>
                <w:rFonts w:cs="Arial"/>
                <w:b/>
              </w:rPr>
              <w:br/>
              <w:t>(payment Process)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5A453525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Process flow chart of a funds disbursement including screenshots.</w:t>
            </w:r>
          </w:p>
        </w:tc>
        <w:tc>
          <w:tcPr>
            <w:tcW w:w="1420" w:type="dxa"/>
            <w:shd w:val="clear" w:color="auto" w:fill="F3F3F3"/>
          </w:tcPr>
          <w:p w14:paraId="2C14C30E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CEB21BC" w14:textId="77777777" w:rsidTr="006A02A5">
        <w:tc>
          <w:tcPr>
            <w:tcW w:w="2414" w:type="dxa"/>
            <w:shd w:val="clear" w:color="auto" w:fill="E6E6E6"/>
            <w:vAlign w:val="center"/>
          </w:tcPr>
          <w:p w14:paraId="1225196C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Account balance and transaction volume limitations (corporate account)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344D08DF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Details on transaction limits, including on limits on the </w:t>
            </w:r>
            <w:r w:rsidRPr="00F56789">
              <w:rPr>
                <w:rFonts w:cs="Arial"/>
                <w:b/>
                <w:i/>
              </w:rPr>
              <w:t>value</w:t>
            </w:r>
            <w:r w:rsidRPr="00F56789">
              <w:rPr>
                <w:rFonts w:cs="Arial"/>
              </w:rPr>
              <w:t xml:space="preserve"> of payments [organization] can send to a single recipient in one day and limits on the </w:t>
            </w:r>
            <w:r w:rsidRPr="00F56789">
              <w:rPr>
                <w:rFonts w:cs="Arial"/>
                <w:b/>
                <w:i/>
              </w:rPr>
              <w:t>volume</w:t>
            </w:r>
            <w:r w:rsidRPr="00F56789">
              <w:rPr>
                <w:rFonts w:cs="Arial"/>
              </w:rPr>
              <w:t xml:space="preserve"> of transactions [organization] can send in one day</w:t>
            </w:r>
          </w:p>
        </w:tc>
        <w:tc>
          <w:tcPr>
            <w:tcW w:w="1420" w:type="dxa"/>
            <w:shd w:val="clear" w:color="auto" w:fill="F3F3F3"/>
          </w:tcPr>
          <w:p w14:paraId="0A5A152D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23B8FC64" w14:textId="77777777" w:rsidTr="006A02A5">
        <w:tc>
          <w:tcPr>
            <w:tcW w:w="2414" w:type="dxa"/>
            <w:shd w:val="clear" w:color="auto" w:fill="E6E6E6"/>
            <w:vAlign w:val="center"/>
          </w:tcPr>
          <w:p w14:paraId="237A0097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 xml:space="preserve">User authorization 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1A756BC9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Ability to assign different user authorities within the system (i.e., maker, checker, processor)</w:t>
            </w:r>
          </w:p>
        </w:tc>
        <w:tc>
          <w:tcPr>
            <w:tcW w:w="1420" w:type="dxa"/>
            <w:shd w:val="clear" w:color="auto" w:fill="F3F3F3"/>
          </w:tcPr>
          <w:p w14:paraId="25B4CA13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1E5544E5" w14:textId="77777777" w:rsidTr="006A02A5">
        <w:trPr>
          <w:trHeight w:val="718"/>
        </w:trPr>
        <w:tc>
          <w:tcPr>
            <w:tcW w:w="2414" w:type="dxa"/>
            <w:shd w:val="clear" w:color="auto" w:fill="E6E6E6"/>
            <w:vAlign w:val="center"/>
          </w:tcPr>
          <w:p w14:paraId="0AB758BB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Brochure, catalog and booklet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36D3AD97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Attachment of brochures, catalogues and booklets that illustrate the service’s functions</w:t>
            </w:r>
          </w:p>
        </w:tc>
        <w:tc>
          <w:tcPr>
            <w:tcW w:w="1420" w:type="dxa"/>
            <w:shd w:val="clear" w:color="auto" w:fill="F3F3F3"/>
          </w:tcPr>
          <w:p w14:paraId="71B74169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5FA8041A" w14:textId="77777777" w:rsidTr="006A02A5">
        <w:tc>
          <w:tcPr>
            <w:tcW w:w="2414" w:type="dxa"/>
            <w:shd w:val="clear" w:color="auto" w:fill="E6E6E6"/>
            <w:vAlign w:val="center"/>
          </w:tcPr>
          <w:p w14:paraId="4840C076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Interoperability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77243C57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Platform interoperability with other payment platforms</w:t>
            </w:r>
          </w:p>
        </w:tc>
        <w:tc>
          <w:tcPr>
            <w:tcW w:w="1420" w:type="dxa"/>
            <w:shd w:val="clear" w:color="auto" w:fill="F3F3F3"/>
          </w:tcPr>
          <w:p w14:paraId="442BCEC4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7DBB2FCD" w14:textId="77777777" w:rsidTr="006A02A5">
        <w:tc>
          <w:tcPr>
            <w:tcW w:w="2414" w:type="dxa"/>
            <w:shd w:val="clear" w:color="auto" w:fill="E6E6E6"/>
            <w:vAlign w:val="center"/>
          </w:tcPr>
          <w:p w14:paraId="4BB23D8D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Pricing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0FF0177A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Detailed pricing matrix for transactions </w:t>
            </w:r>
          </w:p>
        </w:tc>
        <w:tc>
          <w:tcPr>
            <w:tcW w:w="1420" w:type="dxa"/>
            <w:shd w:val="clear" w:color="auto" w:fill="F3F3F3"/>
          </w:tcPr>
          <w:p w14:paraId="08C16137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0E457403" w14:textId="77777777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1125CDDA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  <w:b/>
              </w:rPr>
              <w:t>Data storage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7256D9C4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Ability to store recipient data on the payment platform to avoid uploading names every time a payment is made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14:paraId="08ED2F8A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2D3E107" w14:textId="77777777" w:rsidTr="006A02A5">
        <w:tc>
          <w:tcPr>
            <w:tcW w:w="8804" w:type="dxa"/>
            <w:gridSpan w:val="2"/>
            <w:shd w:val="clear" w:color="auto" w:fill="A6A6A6"/>
            <w:vAlign w:val="center"/>
          </w:tcPr>
          <w:p w14:paraId="19805762" w14:textId="77777777"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Payment product details: End user (payee)</w:t>
            </w:r>
          </w:p>
        </w:tc>
        <w:tc>
          <w:tcPr>
            <w:tcW w:w="1420" w:type="dxa"/>
            <w:shd w:val="clear" w:color="auto" w:fill="A6A6A6"/>
          </w:tcPr>
          <w:p w14:paraId="6BA4F83B" w14:textId="77777777"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14:paraId="66217AD1" w14:textId="77777777" w:rsidTr="006A02A5">
        <w:tc>
          <w:tcPr>
            <w:tcW w:w="2414" w:type="dxa"/>
            <w:shd w:val="clear" w:color="auto" w:fill="E6E6E6"/>
            <w:vAlign w:val="center"/>
          </w:tcPr>
          <w:p w14:paraId="056C8B1C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 xml:space="preserve">Receipt of funds 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3021622D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Notification of transaction to recipients  (e.g., SMS messages) </w:t>
            </w:r>
          </w:p>
        </w:tc>
        <w:tc>
          <w:tcPr>
            <w:tcW w:w="1420" w:type="dxa"/>
            <w:shd w:val="clear" w:color="auto" w:fill="F3F3F3"/>
          </w:tcPr>
          <w:p w14:paraId="0BC02A3F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56DF76F" w14:textId="77777777" w:rsidTr="006A02A5">
        <w:tc>
          <w:tcPr>
            <w:tcW w:w="2414" w:type="dxa"/>
            <w:shd w:val="clear" w:color="auto" w:fill="E6E6E6"/>
            <w:vAlign w:val="center"/>
          </w:tcPr>
          <w:p w14:paraId="2D718C27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Registration and know your customer requirements (end user account)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781A810B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List of requirements for recipients to activate accounts with the service provider; description of the ability to process payments or to unregister non-account holders</w:t>
            </w:r>
          </w:p>
        </w:tc>
        <w:tc>
          <w:tcPr>
            <w:tcW w:w="1420" w:type="dxa"/>
            <w:shd w:val="clear" w:color="auto" w:fill="F3F3F3"/>
          </w:tcPr>
          <w:p w14:paraId="2BD56AC6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2718317" w14:textId="77777777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6BA3E6E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Account balance and transaction volume limitations (end user account)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41F9EB63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minimum/maximum amount of funds the end user can have in the account, as well as the numbers of transactions that can be received in one day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14:paraId="2BC7FE3F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4835A55" w14:textId="77777777" w:rsidTr="006A02A5">
        <w:tc>
          <w:tcPr>
            <w:tcW w:w="8804" w:type="dxa"/>
            <w:gridSpan w:val="2"/>
            <w:shd w:val="clear" w:color="auto" w:fill="A6A6A6"/>
            <w:vAlign w:val="center"/>
          </w:tcPr>
          <w:p w14:paraId="47BED8C8" w14:textId="77777777" w:rsidR="00770A3F" w:rsidRPr="00F56789" w:rsidRDefault="00770A3F" w:rsidP="00F56789">
            <w:pPr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Distribution</w:t>
            </w:r>
          </w:p>
        </w:tc>
        <w:tc>
          <w:tcPr>
            <w:tcW w:w="1420" w:type="dxa"/>
            <w:shd w:val="clear" w:color="auto" w:fill="A6A6A6"/>
          </w:tcPr>
          <w:p w14:paraId="7F8F38CF" w14:textId="77777777"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14:paraId="595E2310" w14:textId="77777777" w:rsidTr="006A02A5">
        <w:tc>
          <w:tcPr>
            <w:tcW w:w="2414" w:type="dxa"/>
            <w:shd w:val="clear" w:color="auto" w:fill="E6E6E6"/>
            <w:vAlign w:val="center"/>
          </w:tcPr>
          <w:p w14:paraId="2E2D2F8B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Coverage area and distribution network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1685B7F9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Map of geographical service coverage areas in [country].  List all cash in/cash out access points (agents)</w:t>
            </w:r>
          </w:p>
        </w:tc>
        <w:tc>
          <w:tcPr>
            <w:tcW w:w="1420" w:type="dxa"/>
            <w:shd w:val="clear" w:color="auto" w:fill="F3F3F3"/>
          </w:tcPr>
          <w:p w14:paraId="22EF8215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6C84F669" w14:textId="77777777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B7408F0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lastRenderedPageBreak/>
              <w:t>Cash in/Cash out liquidity controls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7D8796C8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liquidity management at the cash in/cash out access points (agents)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14:paraId="55B06E51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0E644473" w14:textId="77777777" w:rsidTr="006A02A5">
        <w:tc>
          <w:tcPr>
            <w:tcW w:w="8804" w:type="dxa"/>
            <w:gridSpan w:val="2"/>
            <w:shd w:val="clear" w:color="auto" w:fill="A6A6A6"/>
            <w:vAlign w:val="center"/>
          </w:tcPr>
          <w:p w14:paraId="43EE03F2" w14:textId="77777777" w:rsidR="00770A3F" w:rsidRPr="00F56789" w:rsidRDefault="00770A3F" w:rsidP="00F56789">
            <w:pPr>
              <w:keepNext/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Customer service/training: Corporate (payer)</w:t>
            </w:r>
          </w:p>
        </w:tc>
        <w:tc>
          <w:tcPr>
            <w:tcW w:w="1420" w:type="dxa"/>
            <w:shd w:val="clear" w:color="auto" w:fill="A6A6A6"/>
          </w:tcPr>
          <w:p w14:paraId="1D1A20AD" w14:textId="77777777" w:rsidR="00770A3F" w:rsidRPr="00F56789" w:rsidRDefault="00770A3F" w:rsidP="00F56789">
            <w:pPr>
              <w:keepNext/>
              <w:spacing w:before="120"/>
              <w:rPr>
                <w:rFonts w:cs="Arial"/>
                <w:b/>
              </w:rPr>
            </w:pPr>
          </w:p>
        </w:tc>
      </w:tr>
      <w:tr w:rsidR="00770A3F" w:rsidRPr="00F56789" w14:paraId="1E7C7CD5" w14:textId="77777777" w:rsidTr="006A02A5">
        <w:tc>
          <w:tcPr>
            <w:tcW w:w="2414" w:type="dxa"/>
            <w:shd w:val="clear" w:color="auto" w:fill="E6E6E6"/>
            <w:vAlign w:val="center"/>
          </w:tcPr>
          <w:p w14:paraId="37A29AB6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Training for staff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74161507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about the training on the system which is provided to  [organization]’s staff</w:t>
            </w:r>
          </w:p>
        </w:tc>
        <w:tc>
          <w:tcPr>
            <w:tcW w:w="1420" w:type="dxa"/>
            <w:shd w:val="clear" w:color="auto" w:fill="F3F3F3"/>
          </w:tcPr>
          <w:p w14:paraId="0E319060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DCE76E0" w14:textId="77777777" w:rsidTr="006A02A5">
        <w:tc>
          <w:tcPr>
            <w:tcW w:w="2414" w:type="dxa"/>
            <w:shd w:val="clear" w:color="auto" w:fill="E6E6E6"/>
            <w:vAlign w:val="center"/>
          </w:tcPr>
          <w:p w14:paraId="28CDB592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Technical support/Service level agreements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76BB72BC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the service provider’s support availability, monitoring, measurement and reporting of technical support services</w:t>
            </w:r>
          </w:p>
        </w:tc>
        <w:tc>
          <w:tcPr>
            <w:tcW w:w="1420" w:type="dxa"/>
            <w:shd w:val="clear" w:color="auto" w:fill="F3F3F3"/>
          </w:tcPr>
          <w:p w14:paraId="102D8831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18CA5E61" w14:textId="77777777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4B33642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Disbursement troubleshooting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A35555F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dispute resolution process and process for return of funds not received or collected by recipients as well as other trouble shooting scenarios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14:paraId="4B18FDB8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6E2F78A" w14:textId="77777777" w:rsidTr="006A02A5">
        <w:tc>
          <w:tcPr>
            <w:tcW w:w="8804" w:type="dxa"/>
            <w:gridSpan w:val="2"/>
            <w:shd w:val="clear" w:color="auto" w:fill="A6A6A6"/>
            <w:vAlign w:val="center"/>
          </w:tcPr>
          <w:p w14:paraId="26935D3F" w14:textId="77777777" w:rsidR="00770A3F" w:rsidRPr="00F56789" w:rsidRDefault="00770A3F" w:rsidP="00F56789">
            <w:pPr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Customer service/Training: End user (payee)</w:t>
            </w:r>
          </w:p>
        </w:tc>
        <w:tc>
          <w:tcPr>
            <w:tcW w:w="1420" w:type="dxa"/>
            <w:shd w:val="clear" w:color="auto" w:fill="A6A6A6"/>
          </w:tcPr>
          <w:p w14:paraId="7E6D0197" w14:textId="77777777"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14:paraId="349490D8" w14:textId="77777777" w:rsidTr="006A02A5">
        <w:tc>
          <w:tcPr>
            <w:tcW w:w="2414" w:type="dxa"/>
            <w:shd w:val="clear" w:color="auto" w:fill="E6E6E6"/>
            <w:vAlign w:val="center"/>
          </w:tcPr>
          <w:p w14:paraId="3C3F425F" w14:textId="77777777" w:rsidR="00770A3F" w:rsidRPr="00F56789" w:rsidRDefault="00770A3F" w:rsidP="004D5767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Training for end users (recipients)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61E21D29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Details on training (if any) provided to the end user (payees).  </w:t>
            </w:r>
          </w:p>
        </w:tc>
        <w:tc>
          <w:tcPr>
            <w:tcW w:w="1420" w:type="dxa"/>
            <w:shd w:val="clear" w:color="auto" w:fill="F3F3F3"/>
          </w:tcPr>
          <w:p w14:paraId="3A85A841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55CE1B72" w14:textId="77777777" w:rsidTr="006A02A5">
        <w:tc>
          <w:tcPr>
            <w:tcW w:w="2414" w:type="dxa"/>
            <w:shd w:val="clear" w:color="auto" w:fill="E6E6E6"/>
            <w:vAlign w:val="center"/>
          </w:tcPr>
          <w:p w14:paraId="42857008" w14:textId="77777777" w:rsidR="00770A3F" w:rsidRPr="00F56789" w:rsidRDefault="00770A3F" w:rsidP="004D5767">
            <w:pPr>
              <w:keepNext/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Technical support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1427BA47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the service provider's customer service and support availability and standards</w:t>
            </w:r>
          </w:p>
        </w:tc>
        <w:tc>
          <w:tcPr>
            <w:tcW w:w="1420" w:type="dxa"/>
            <w:shd w:val="clear" w:color="auto" w:fill="F3F3F3"/>
          </w:tcPr>
          <w:p w14:paraId="5321E153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529DE1CD" w14:textId="77777777" w:rsidTr="006A02A5">
        <w:tc>
          <w:tcPr>
            <w:tcW w:w="241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EFFCCA3" w14:textId="77777777" w:rsidR="00770A3F" w:rsidRPr="00F56789" w:rsidRDefault="00770A3F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Recipient troubleshooting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165A7C75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Details on who is responsible for troubleshooting transaction problems encountered by payees.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3F3F3"/>
          </w:tcPr>
          <w:p w14:paraId="286555EB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30B68A40" w14:textId="77777777" w:rsidTr="006A02A5">
        <w:tc>
          <w:tcPr>
            <w:tcW w:w="8804" w:type="dxa"/>
            <w:gridSpan w:val="2"/>
            <w:shd w:val="clear" w:color="auto" w:fill="A6A6A6"/>
            <w:vAlign w:val="center"/>
          </w:tcPr>
          <w:p w14:paraId="0DEC4F9D" w14:textId="77777777" w:rsidR="00770A3F" w:rsidRPr="00F56789" w:rsidRDefault="00770A3F" w:rsidP="00F56789">
            <w:pPr>
              <w:spacing w:before="120"/>
              <w:rPr>
                <w:rFonts w:cs="Arial"/>
              </w:rPr>
            </w:pPr>
            <w:r w:rsidRPr="00F56789">
              <w:rPr>
                <w:rFonts w:cs="Arial"/>
                <w:b/>
              </w:rPr>
              <w:t>Data privacy/Security/Service provider internal controls</w:t>
            </w:r>
          </w:p>
        </w:tc>
        <w:tc>
          <w:tcPr>
            <w:tcW w:w="1420" w:type="dxa"/>
            <w:shd w:val="clear" w:color="auto" w:fill="A6A6A6"/>
          </w:tcPr>
          <w:p w14:paraId="3DB70138" w14:textId="77777777" w:rsidR="00770A3F" w:rsidRPr="00F56789" w:rsidRDefault="00770A3F" w:rsidP="00F56789">
            <w:pPr>
              <w:spacing w:before="120"/>
              <w:rPr>
                <w:rFonts w:cs="Arial"/>
                <w:b/>
              </w:rPr>
            </w:pPr>
          </w:p>
        </w:tc>
      </w:tr>
      <w:tr w:rsidR="00770A3F" w:rsidRPr="00F56789" w14:paraId="693AC7AC" w14:textId="77777777" w:rsidTr="006A02A5">
        <w:tc>
          <w:tcPr>
            <w:tcW w:w="2414" w:type="dxa"/>
            <w:shd w:val="clear" w:color="auto" w:fill="E6E6E6"/>
            <w:vAlign w:val="center"/>
          </w:tcPr>
          <w:p w14:paraId="65E288F9" w14:textId="77777777" w:rsidR="00770A3F" w:rsidRPr="00F56789" w:rsidRDefault="00770A3F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Security of funds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3EAD9C7D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Processes and policies for security of funds once they are deposited into the account</w:t>
            </w:r>
          </w:p>
        </w:tc>
        <w:tc>
          <w:tcPr>
            <w:tcW w:w="1420" w:type="dxa"/>
            <w:shd w:val="clear" w:color="auto" w:fill="F3F3F3"/>
          </w:tcPr>
          <w:p w14:paraId="25592DB2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462626AC" w14:textId="77777777" w:rsidTr="006A02A5">
        <w:tc>
          <w:tcPr>
            <w:tcW w:w="2414" w:type="dxa"/>
            <w:shd w:val="clear" w:color="auto" w:fill="E6E6E6"/>
            <w:vAlign w:val="center"/>
          </w:tcPr>
          <w:p w14:paraId="0F0B12AA" w14:textId="77777777" w:rsidR="00770A3F" w:rsidRPr="00F56789" w:rsidRDefault="00770A3F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Data security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36D7BCEE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>Process and policies for ensuring the privacy and security of data involving the transactional history of [organization]</w:t>
            </w:r>
          </w:p>
        </w:tc>
        <w:tc>
          <w:tcPr>
            <w:tcW w:w="1420" w:type="dxa"/>
            <w:shd w:val="clear" w:color="auto" w:fill="F3F3F3"/>
          </w:tcPr>
          <w:p w14:paraId="0D77C0A5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  <w:tr w:rsidR="00770A3F" w:rsidRPr="00F56789" w14:paraId="5819B8D8" w14:textId="77777777" w:rsidTr="006A02A5">
        <w:tc>
          <w:tcPr>
            <w:tcW w:w="2414" w:type="dxa"/>
            <w:shd w:val="clear" w:color="auto" w:fill="E6E6E6"/>
            <w:vAlign w:val="center"/>
          </w:tcPr>
          <w:p w14:paraId="40A67F2F" w14:textId="77777777" w:rsidR="00770A3F" w:rsidRPr="00F56789" w:rsidRDefault="00770A3F" w:rsidP="004D5767">
            <w:pPr>
              <w:spacing w:before="40" w:after="40"/>
              <w:jc w:val="left"/>
              <w:rPr>
                <w:rFonts w:cs="Arial"/>
                <w:b/>
              </w:rPr>
            </w:pPr>
            <w:r w:rsidRPr="00F56789">
              <w:rPr>
                <w:rFonts w:cs="Arial"/>
                <w:b/>
              </w:rPr>
              <w:t>Data privacy</w:t>
            </w:r>
          </w:p>
        </w:tc>
        <w:tc>
          <w:tcPr>
            <w:tcW w:w="6390" w:type="dxa"/>
            <w:shd w:val="clear" w:color="auto" w:fill="F3F3F3"/>
            <w:vAlign w:val="center"/>
          </w:tcPr>
          <w:p w14:paraId="4E69FABA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  <w:r w:rsidRPr="00F56789">
              <w:rPr>
                <w:rFonts w:cs="Arial"/>
              </w:rPr>
              <w:t xml:space="preserve">Processes and policies for ensuring security and privacy of payee data </w:t>
            </w:r>
          </w:p>
        </w:tc>
        <w:tc>
          <w:tcPr>
            <w:tcW w:w="1420" w:type="dxa"/>
            <w:shd w:val="clear" w:color="auto" w:fill="F3F3F3"/>
          </w:tcPr>
          <w:p w14:paraId="52C48471" w14:textId="77777777" w:rsidR="00770A3F" w:rsidRPr="00F56789" w:rsidRDefault="00770A3F" w:rsidP="00F56789">
            <w:pPr>
              <w:spacing w:before="120"/>
              <w:jc w:val="left"/>
              <w:rPr>
                <w:rFonts w:cs="Arial"/>
              </w:rPr>
            </w:pPr>
          </w:p>
        </w:tc>
      </w:tr>
    </w:tbl>
    <w:p w14:paraId="6DD50F7B" w14:textId="77777777" w:rsidR="007C4704" w:rsidRPr="00F56789" w:rsidRDefault="0090017E" w:rsidP="003E2145">
      <w:pPr>
        <w:spacing w:before="120"/>
        <w:jc w:val="right"/>
        <w:rPr>
          <w:rFonts w:cs="Arial"/>
          <w:sz w:val="18"/>
        </w:rPr>
      </w:pPr>
      <w:r w:rsidRPr="00F56789">
        <w:rPr>
          <w:rFonts w:cs="Arial"/>
          <w:sz w:val="18"/>
        </w:rPr>
        <w:t>Extracted from Key Tool: Servi</w:t>
      </w:r>
      <w:r w:rsidR="00011672" w:rsidRPr="00F56789">
        <w:rPr>
          <w:rFonts w:cs="Arial"/>
          <w:sz w:val="18"/>
        </w:rPr>
        <w:t>ce Provider Capacity Assessment, USAID and</w:t>
      </w:r>
      <w:r w:rsidRPr="00F56789">
        <w:rPr>
          <w:rFonts w:cs="Arial"/>
          <w:sz w:val="18"/>
        </w:rPr>
        <w:t xml:space="preserve"> NetHope.</w:t>
      </w:r>
    </w:p>
    <w:sectPr w:rsidR="007C4704" w:rsidRPr="00F56789" w:rsidSect="00770A3F">
      <w:headerReference w:type="default" r:id="rId7"/>
      <w:footerReference w:type="even" r:id="rId8"/>
      <w:footerReference w:type="default" r:id="rId9"/>
      <w:pgSz w:w="11901" w:h="16817" w:code="9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362B" w14:textId="77777777" w:rsidR="00562E97" w:rsidRDefault="00562E97" w:rsidP="00A403E1">
      <w:pPr>
        <w:spacing w:after="0"/>
      </w:pPr>
      <w:r>
        <w:separator/>
      </w:r>
    </w:p>
  </w:endnote>
  <w:endnote w:type="continuationSeparator" w:id="0">
    <w:p w14:paraId="6E3BF2D7" w14:textId="77777777" w:rsidR="00562E97" w:rsidRDefault="00562E97" w:rsidP="00A40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FE0D" w14:textId="77777777" w:rsidR="00A403E1" w:rsidRDefault="00A403E1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73241" w14:textId="77777777" w:rsidR="00A403E1" w:rsidRDefault="00A403E1" w:rsidP="00A403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7AF" w14:textId="77777777" w:rsidR="00A868FB" w:rsidRPr="00B45C74" w:rsidRDefault="00A868F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435B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0999E30" w14:textId="24A7C5F7" w:rsidR="00A868FB" w:rsidRPr="003A3500" w:rsidRDefault="00A868FB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7F298D" w:rsidRPr="007F298D">
      <w:rPr>
        <w:bCs/>
        <w:noProof/>
      </w:rPr>
      <w:t>Mobile money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82F8" w14:textId="77777777" w:rsidR="00562E97" w:rsidRDefault="00562E97" w:rsidP="00A403E1">
      <w:pPr>
        <w:spacing w:after="0"/>
      </w:pPr>
      <w:r>
        <w:separator/>
      </w:r>
    </w:p>
  </w:footnote>
  <w:footnote w:type="continuationSeparator" w:id="0">
    <w:p w14:paraId="67736C16" w14:textId="77777777" w:rsidR="00562E97" w:rsidRDefault="00562E97" w:rsidP="00A403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5F3A" w14:textId="77777777" w:rsidR="00A868FB" w:rsidRPr="00074036" w:rsidRDefault="00A868FB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86D"/>
    <w:multiLevelType w:val="hybridMultilevel"/>
    <w:tmpl w:val="F72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A60"/>
    <w:multiLevelType w:val="hybridMultilevel"/>
    <w:tmpl w:val="FFD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198E"/>
    <w:multiLevelType w:val="hybridMultilevel"/>
    <w:tmpl w:val="3E46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09A"/>
    <w:multiLevelType w:val="hybridMultilevel"/>
    <w:tmpl w:val="26F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A0470"/>
    <w:multiLevelType w:val="hybridMultilevel"/>
    <w:tmpl w:val="249C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C3D80"/>
    <w:multiLevelType w:val="hybridMultilevel"/>
    <w:tmpl w:val="428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defaultTabStop w:val="708"/>
  <w:hyphenationZone w:val="283"/>
  <w:drawingGridHorizontalSpacing w:val="100"/>
  <w:drawingGridVerticalSpacing w:val="299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47"/>
    <w:rsid w:val="00011672"/>
    <w:rsid w:val="00030DB9"/>
    <w:rsid w:val="0007350C"/>
    <w:rsid w:val="000D5B62"/>
    <w:rsid w:val="001435B6"/>
    <w:rsid w:val="001F6E69"/>
    <w:rsid w:val="002B32DD"/>
    <w:rsid w:val="002F03A0"/>
    <w:rsid w:val="0033737A"/>
    <w:rsid w:val="003955F9"/>
    <w:rsid w:val="003E2145"/>
    <w:rsid w:val="00432547"/>
    <w:rsid w:val="004377B5"/>
    <w:rsid w:val="00490455"/>
    <w:rsid w:val="004D5767"/>
    <w:rsid w:val="004F4028"/>
    <w:rsid w:val="00562E97"/>
    <w:rsid w:val="005A7597"/>
    <w:rsid w:val="005B2877"/>
    <w:rsid w:val="005D7FE6"/>
    <w:rsid w:val="006A02A5"/>
    <w:rsid w:val="00770A3F"/>
    <w:rsid w:val="007F298D"/>
    <w:rsid w:val="008C2471"/>
    <w:rsid w:val="0090017E"/>
    <w:rsid w:val="00A403E1"/>
    <w:rsid w:val="00A45574"/>
    <w:rsid w:val="00A730C9"/>
    <w:rsid w:val="00A868FB"/>
    <w:rsid w:val="00B75A6E"/>
    <w:rsid w:val="00CA0430"/>
    <w:rsid w:val="00CB6EA9"/>
    <w:rsid w:val="00DE08A3"/>
    <w:rsid w:val="00E25072"/>
    <w:rsid w:val="00F56789"/>
    <w:rsid w:val="00F736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2DBA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A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E08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8A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8A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A3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08A3"/>
    <w:rPr>
      <w:rFonts w:ascii="Arial" w:eastAsiaTheme="minorEastAsia" w:hAnsi="Arial" w:cs="Times New Roman"/>
      <w:b/>
      <w:cap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8A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E08A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8A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08A3"/>
    <w:rPr>
      <w:rFonts w:ascii="Arial" w:eastAsiaTheme="minorEastAsia" w:hAnsi="Arial" w:cs="Times New Roman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08A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E08A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E08A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08A3"/>
    <w:rPr>
      <w:rFonts w:ascii="Arial" w:eastAsiaTheme="minorEastAsia" w:hAnsi="Arial" w:cs="Times New Roman"/>
      <w:b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08A3"/>
    <w:rPr>
      <w:rFonts w:ascii="Arial" w:hAnsi="Arial"/>
      <w:sz w:val="20"/>
      <w:szCs w:val="22"/>
    </w:rPr>
  </w:style>
  <w:style w:type="paragraph" w:customStyle="1" w:styleId="Default">
    <w:name w:val="Default"/>
    <w:rsid w:val="00DE08A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E08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8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8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E08A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E08A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8A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08A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08A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E08A3"/>
    <w:rPr>
      <w:vertAlign w:val="superscript"/>
    </w:rPr>
  </w:style>
  <w:style w:type="paragraph" w:styleId="Revision">
    <w:name w:val="Revision"/>
    <w:hidden/>
    <w:uiPriority w:val="99"/>
    <w:semiHidden/>
    <w:rsid w:val="00DE08A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E08A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E08A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E08A3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E08A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E08A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E08A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E08A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E08A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E08A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E08A3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E08A3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E08A3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E08A3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E08A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E08A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E08A3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654584E1BC4E8609FEE23334A754" ma:contentTypeVersion="13" ma:contentTypeDescription="Create a new document." ma:contentTypeScope="" ma:versionID="f96dd6b225e7ea86c2a79567dd8633ea">
  <xsd:schema xmlns:xsd="http://www.w3.org/2001/XMLSchema" xmlns:xs="http://www.w3.org/2001/XMLSchema" xmlns:p="http://schemas.microsoft.com/office/2006/metadata/properties" xmlns:ns2="ecdf2940-b007-46cf-880b-476a0172ef99" xmlns:ns3="1a16cf6d-3f2e-4367-886a-9e0f6dd637eb" targetNamespace="http://schemas.microsoft.com/office/2006/metadata/properties" ma:root="true" ma:fieldsID="75dd95fa157392b355de0e990c126366" ns2:_="" ns3:_="">
    <xsd:import namespace="ecdf2940-b007-46cf-880b-476a0172ef99"/>
    <xsd:import namespace="1a16cf6d-3f2e-4367-886a-9e0f6dd63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2940-b007-46cf-880b-476a0172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6cf6d-3f2e-4367-886a-9e0f6dd63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df2940-b007-46cf-880b-476a0172ef99" xsi:nil="true"/>
  </documentManagement>
</p:properties>
</file>

<file path=customXml/itemProps1.xml><?xml version="1.0" encoding="utf-8"?>
<ds:datastoreItem xmlns:ds="http://schemas.openxmlformats.org/officeDocument/2006/customXml" ds:itemID="{EAB46185-8998-48D8-A5E2-6A9C4B40092E}"/>
</file>

<file path=customXml/itemProps2.xml><?xml version="1.0" encoding="utf-8"?>
<ds:datastoreItem xmlns:ds="http://schemas.openxmlformats.org/officeDocument/2006/customXml" ds:itemID="{90C2F047-5F79-45E7-A61D-B36099487C49}"/>
</file>

<file path=customXml/itemProps3.xml><?xml version="1.0" encoding="utf-8"?>
<ds:datastoreItem xmlns:ds="http://schemas.openxmlformats.org/officeDocument/2006/customXml" ds:itemID="{05B14293-CA45-4E94-80F3-4B687815127F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 Pantaleo</dc:creator>
  <cp:lastModifiedBy>Claire DURHAM</cp:lastModifiedBy>
  <cp:revision>2</cp:revision>
  <cp:lastPrinted>2015-09-30T20:00:00Z</cp:lastPrinted>
  <dcterms:created xsi:type="dcterms:W3CDTF">2019-08-20T07:32:00Z</dcterms:created>
  <dcterms:modified xsi:type="dcterms:W3CDTF">2019-08-20T07:32:00Z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0x010100F5EA654584E1BC4E8609FEE23334A754</vt:lpwstr>
  </property>
</Properties>
</file>