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D6CC8" w14:textId="791D7CD0" w:rsidR="00594260" w:rsidRPr="00594260" w:rsidRDefault="004B1DFB" w:rsidP="00566550">
      <w:pPr>
        <w:pStyle w:val="H1"/>
        <w:spacing w:before="0"/>
      </w:pPr>
      <w:bookmarkStart w:id="0" w:name="_GoBack"/>
      <w:bookmarkEnd w:id="0"/>
      <w:r>
        <w:t>C</w:t>
      </w:r>
      <w:r w:rsidR="00D83859">
        <w:t>ontract requirements with</w:t>
      </w:r>
      <w:r w:rsidR="003B7690">
        <w:t xml:space="preserve"> </w:t>
      </w:r>
      <w:r w:rsidR="00D83859">
        <w:t>e</w:t>
      </w:r>
      <w:r w:rsidR="00594260" w:rsidRPr="00594260">
        <w:t>-transfer service provider</w:t>
      </w:r>
      <w:r>
        <w:t xml:space="preserve"> checklist</w:t>
      </w:r>
    </w:p>
    <w:tbl>
      <w:tblPr>
        <w:tblStyle w:val="LightShading-Accent1"/>
        <w:tblW w:w="5589" w:type="pct"/>
        <w:tblInd w:w="-460" w:type="dxa"/>
        <w:tblLook w:val="04A0" w:firstRow="1" w:lastRow="0" w:firstColumn="1" w:lastColumn="0" w:noHBand="0" w:noVBand="1"/>
      </w:tblPr>
      <w:tblGrid>
        <w:gridCol w:w="9669"/>
        <w:gridCol w:w="1098"/>
      </w:tblGrid>
      <w:tr w:rsidR="00566550" w:rsidRPr="005528AF" w14:paraId="540E1EE2" w14:textId="4CA71CF3" w:rsidTr="002844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single" w:sz="4" w:space="0" w:color="auto"/>
              <w:bottom w:val="single" w:sz="4" w:space="0" w:color="auto"/>
              <w:right w:val="single" w:sz="4" w:space="0" w:color="D9D9D9" w:themeColor="background1" w:themeShade="D9"/>
            </w:tcBorders>
            <w:shd w:val="clear" w:color="auto" w:fill="DC281E"/>
          </w:tcPr>
          <w:p w14:paraId="39498207" w14:textId="77777777" w:rsidR="00566550" w:rsidRPr="005528AF" w:rsidRDefault="00566550" w:rsidP="00FF2C3B">
            <w:pPr>
              <w:widowControl w:val="0"/>
              <w:autoSpaceDE w:val="0"/>
              <w:autoSpaceDN w:val="0"/>
              <w:adjustRightInd w:val="0"/>
              <w:spacing w:before="120"/>
              <w:jc w:val="center"/>
              <w:rPr>
                <w:rFonts w:ascii="Arial Bold" w:hAnsi="Arial Bold" w:cs="Arial"/>
                <w:color w:val="FFFFFF" w:themeColor="background1"/>
              </w:rPr>
            </w:pPr>
            <w:r w:rsidRPr="005528AF">
              <w:rPr>
                <w:rFonts w:ascii="Arial Bold" w:hAnsi="Arial Bold" w:cs="Arial"/>
                <w:color w:val="FFFFFF" w:themeColor="background1"/>
              </w:rPr>
              <w:t>At a minimum, a contract with a service provider must include:</w:t>
            </w:r>
          </w:p>
        </w:tc>
        <w:tc>
          <w:tcPr>
            <w:tcW w:w="510" w:type="pct"/>
            <w:tcBorders>
              <w:top w:val="single" w:sz="4" w:space="0" w:color="auto"/>
              <w:left w:val="single" w:sz="4" w:space="0" w:color="D9D9D9" w:themeColor="background1" w:themeShade="D9"/>
              <w:bottom w:val="single" w:sz="4" w:space="0" w:color="auto"/>
            </w:tcBorders>
            <w:shd w:val="clear" w:color="auto" w:fill="DC281E"/>
          </w:tcPr>
          <w:p w14:paraId="420E6DB8" w14:textId="362C9950" w:rsidR="00566550" w:rsidRPr="005528AF" w:rsidRDefault="002844BE" w:rsidP="00566550">
            <w:pPr>
              <w:widowControl w:val="0"/>
              <w:autoSpaceDE w:val="0"/>
              <w:autoSpaceDN w:val="0"/>
              <w:adjustRightInd w:val="0"/>
              <w:spacing w:before="120"/>
              <w:jc w:val="center"/>
              <w:cnfStyle w:val="100000000000" w:firstRow="1" w:lastRow="0" w:firstColumn="0" w:lastColumn="0" w:oddVBand="0" w:evenVBand="0" w:oddHBand="0" w:evenHBand="0" w:firstRowFirstColumn="0" w:firstRowLastColumn="0" w:lastRowFirstColumn="0" w:lastRowLastColumn="0"/>
              <w:rPr>
                <w:rFonts w:ascii="Arial Bold" w:hAnsi="Arial Bold" w:cs="Arial"/>
                <w:color w:val="FFFFFF" w:themeColor="background1"/>
              </w:rPr>
            </w:pPr>
            <w:r>
              <w:rPr>
                <w:rFonts w:ascii="Arial Bold" w:hAnsi="Arial Bold" w:cs="Arial"/>
                <w:color w:val="FFFFFF" w:themeColor="background1"/>
              </w:rPr>
              <w:t>In place</w:t>
            </w:r>
            <w:r w:rsidR="00566550">
              <w:rPr>
                <w:rFonts w:ascii="Arial Bold" w:hAnsi="Arial Bold" w:cs="Arial"/>
                <w:color w:val="FFFFFF" w:themeColor="background1"/>
              </w:rPr>
              <w:t>?</w:t>
            </w:r>
          </w:p>
        </w:tc>
      </w:tr>
      <w:tr w:rsidR="00566550" w:rsidRPr="005528AF" w14:paraId="38720E02" w14:textId="3E9404B6" w:rsidTr="0028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single" w:sz="4" w:space="0" w:color="auto"/>
              <w:bottom w:val="nil"/>
              <w:right w:val="single" w:sz="4" w:space="0" w:color="D9D9D9" w:themeColor="background1" w:themeShade="D9"/>
            </w:tcBorders>
            <w:shd w:val="clear" w:color="auto" w:fill="A6A6A6"/>
          </w:tcPr>
          <w:p w14:paraId="3CC3A3DC" w14:textId="73B74DD1"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Outline of the period covered by the agreement.</w:t>
            </w:r>
          </w:p>
        </w:tc>
        <w:tc>
          <w:tcPr>
            <w:tcW w:w="510" w:type="pct"/>
            <w:tcBorders>
              <w:top w:val="single" w:sz="4" w:space="0" w:color="auto"/>
              <w:left w:val="single" w:sz="4" w:space="0" w:color="D9D9D9" w:themeColor="background1" w:themeShade="D9"/>
              <w:bottom w:val="nil"/>
            </w:tcBorders>
            <w:shd w:val="clear" w:color="auto" w:fill="A6A6A6"/>
          </w:tcPr>
          <w:p w14:paraId="4F857DED" w14:textId="77777777" w:rsidR="00566550" w:rsidRPr="00566550" w:rsidRDefault="00566550" w:rsidP="00566550">
            <w:pPr>
              <w:widowControl w:val="0"/>
              <w:autoSpaceDE w:val="0"/>
              <w:autoSpaceDN w:val="0"/>
              <w:adjustRightInd w:val="0"/>
              <w:spacing w:before="40" w:after="40"/>
              <w:ind w:left="68"/>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550" w:rsidRPr="005528AF" w14:paraId="57935953" w14:textId="4F3CD5B2" w:rsidTr="002844BE">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F3F3F3"/>
          </w:tcPr>
          <w:p w14:paraId="0A902976" w14:textId="14EA215A"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Operation of service outlining the roles of the service provider including:  controls to follow; any equipment or e-transfer devices to be provided; any role in registration; activation of accounts; process for the transfer of funds to recipient and reporting; notifying beneficiaries; any training of staff/beneficiaries; any informing of service agents/branch staff within the project zone about the programme and required liquidity; any aids to visibility for recipients; and customer services support provided in the event of service failure.</w:t>
            </w:r>
          </w:p>
        </w:tc>
        <w:tc>
          <w:tcPr>
            <w:tcW w:w="510" w:type="pct"/>
            <w:tcBorders>
              <w:top w:val="nil"/>
              <w:left w:val="single" w:sz="4" w:space="0" w:color="D9D9D9" w:themeColor="background1" w:themeShade="D9"/>
              <w:bottom w:val="nil"/>
            </w:tcBorders>
            <w:shd w:val="clear" w:color="auto" w:fill="F3F3F3"/>
          </w:tcPr>
          <w:p w14:paraId="6BDEFD61" w14:textId="77777777" w:rsidR="00566550" w:rsidRPr="00566550" w:rsidRDefault="00566550" w:rsidP="00566550">
            <w:pPr>
              <w:widowControl w:val="0"/>
              <w:autoSpaceDE w:val="0"/>
              <w:autoSpaceDN w:val="0"/>
              <w:adjustRightInd w:val="0"/>
              <w:spacing w:before="40" w:after="40"/>
              <w:ind w:left="68"/>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66550" w:rsidRPr="005528AF" w14:paraId="28CECEBA" w14:textId="64AB6BC5" w:rsidTr="0028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A6A6A6"/>
          </w:tcPr>
          <w:p w14:paraId="4AD6AD9A" w14:textId="5CAB595F"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Outline of the role of the aid agency including: any training; registering of beneficiaries; providing the beneficiary list and finances to the service provider in a timely fashion; ensuring correct ID; and following the controls set by the service provider (e.g., for web-based access to an account).</w:t>
            </w:r>
          </w:p>
        </w:tc>
        <w:tc>
          <w:tcPr>
            <w:tcW w:w="510" w:type="pct"/>
            <w:tcBorders>
              <w:top w:val="nil"/>
              <w:left w:val="single" w:sz="4" w:space="0" w:color="D9D9D9" w:themeColor="background1" w:themeShade="D9"/>
              <w:bottom w:val="nil"/>
            </w:tcBorders>
            <w:shd w:val="clear" w:color="auto" w:fill="A6A6A6"/>
          </w:tcPr>
          <w:p w14:paraId="1F525663" w14:textId="77777777" w:rsidR="00566550" w:rsidRPr="00566550" w:rsidRDefault="00566550" w:rsidP="00566550">
            <w:pPr>
              <w:widowControl w:val="0"/>
              <w:autoSpaceDE w:val="0"/>
              <w:autoSpaceDN w:val="0"/>
              <w:adjustRightInd w:val="0"/>
              <w:spacing w:before="40" w:after="40"/>
              <w:ind w:left="68"/>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550" w:rsidRPr="005528AF" w14:paraId="6F0FDE19" w14:textId="34C8C412" w:rsidTr="002844BE">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F3F3F3"/>
          </w:tcPr>
          <w:p w14:paraId="20DD90FC" w14:textId="188D2DC6"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For new and pilot initiatives, inclusion of a termination clause or pilot phase, within which early termination by either party is possible.</w:t>
            </w:r>
          </w:p>
        </w:tc>
        <w:tc>
          <w:tcPr>
            <w:tcW w:w="510" w:type="pct"/>
            <w:tcBorders>
              <w:top w:val="nil"/>
              <w:left w:val="single" w:sz="4" w:space="0" w:color="D9D9D9" w:themeColor="background1" w:themeShade="D9"/>
              <w:bottom w:val="nil"/>
            </w:tcBorders>
            <w:shd w:val="clear" w:color="auto" w:fill="F3F3F3"/>
          </w:tcPr>
          <w:p w14:paraId="1516B18C" w14:textId="77777777" w:rsidR="00566550" w:rsidRPr="00566550" w:rsidRDefault="00566550" w:rsidP="00566550">
            <w:pPr>
              <w:widowControl w:val="0"/>
              <w:autoSpaceDE w:val="0"/>
              <w:autoSpaceDN w:val="0"/>
              <w:adjustRightInd w:val="0"/>
              <w:spacing w:before="40" w:after="40"/>
              <w:ind w:left="68"/>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66550" w:rsidRPr="005528AF" w14:paraId="7758A50E" w14:textId="22A5F485" w:rsidTr="0028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A6A6A6"/>
          </w:tcPr>
          <w:p w14:paraId="4EC85B05"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The location and number of distributors/agents/branches.</w:t>
            </w:r>
          </w:p>
        </w:tc>
        <w:tc>
          <w:tcPr>
            <w:tcW w:w="510" w:type="pct"/>
            <w:tcBorders>
              <w:top w:val="nil"/>
              <w:left w:val="single" w:sz="4" w:space="0" w:color="D9D9D9" w:themeColor="background1" w:themeShade="D9"/>
              <w:bottom w:val="nil"/>
            </w:tcBorders>
            <w:shd w:val="clear" w:color="auto" w:fill="A6A6A6"/>
          </w:tcPr>
          <w:p w14:paraId="53A24FAF" w14:textId="77777777" w:rsidR="00566550" w:rsidRPr="00566550" w:rsidRDefault="00566550" w:rsidP="00566550">
            <w:pPr>
              <w:widowControl w:val="0"/>
              <w:autoSpaceDE w:val="0"/>
              <w:autoSpaceDN w:val="0"/>
              <w:adjustRightInd w:val="0"/>
              <w:spacing w:before="40" w:after="40"/>
              <w:ind w:left="68"/>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550" w:rsidRPr="005528AF" w14:paraId="6F19262D" w14:textId="14D7BD5A" w:rsidTr="002844BE">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F3F3F3"/>
          </w:tcPr>
          <w:p w14:paraId="1EC10CEA"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what constitutes force majeure.</w:t>
            </w:r>
          </w:p>
        </w:tc>
        <w:tc>
          <w:tcPr>
            <w:tcW w:w="510" w:type="pct"/>
            <w:tcBorders>
              <w:top w:val="nil"/>
              <w:left w:val="single" w:sz="4" w:space="0" w:color="D9D9D9" w:themeColor="background1" w:themeShade="D9"/>
              <w:bottom w:val="nil"/>
            </w:tcBorders>
            <w:shd w:val="clear" w:color="auto" w:fill="F3F3F3"/>
          </w:tcPr>
          <w:p w14:paraId="3387D1D4" w14:textId="77777777" w:rsidR="00566550" w:rsidRPr="00566550" w:rsidRDefault="00566550" w:rsidP="00566550">
            <w:pPr>
              <w:widowControl w:val="0"/>
              <w:autoSpaceDE w:val="0"/>
              <w:autoSpaceDN w:val="0"/>
              <w:adjustRightInd w:val="0"/>
              <w:spacing w:before="40" w:after="40"/>
              <w:ind w:left="68"/>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66550" w:rsidRPr="005528AF" w14:paraId="02F60A14" w14:textId="7C898B54" w:rsidTr="0028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A6A6A6"/>
          </w:tcPr>
          <w:p w14:paraId="32DA7CE4"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Expected duration of set-up phase including any testing.</w:t>
            </w:r>
          </w:p>
        </w:tc>
        <w:tc>
          <w:tcPr>
            <w:tcW w:w="510" w:type="pct"/>
            <w:tcBorders>
              <w:top w:val="nil"/>
              <w:left w:val="single" w:sz="4" w:space="0" w:color="D9D9D9" w:themeColor="background1" w:themeShade="D9"/>
              <w:bottom w:val="nil"/>
            </w:tcBorders>
            <w:shd w:val="clear" w:color="auto" w:fill="A6A6A6"/>
          </w:tcPr>
          <w:p w14:paraId="43B30323" w14:textId="77777777" w:rsidR="00566550" w:rsidRPr="00566550" w:rsidRDefault="00566550" w:rsidP="00566550">
            <w:pPr>
              <w:widowControl w:val="0"/>
              <w:autoSpaceDE w:val="0"/>
              <w:autoSpaceDN w:val="0"/>
              <w:adjustRightInd w:val="0"/>
              <w:spacing w:before="40" w:after="40"/>
              <w:ind w:left="68"/>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550" w:rsidRPr="005528AF" w14:paraId="31B67BC3" w14:textId="458C25AA" w:rsidTr="002844BE">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F3F3F3"/>
          </w:tcPr>
          <w:p w14:paraId="33ED4D2D" w14:textId="0079E51F"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the payment schedule including: the time that any e-transfer devices (e.g., cheques/bank cards) will be provided to the aid agency; the time that funds and any advance charges will be provided to service provider; and the  time by which service providers must fulfil their disbursement role.</w:t>
            </w:r>
          </w:p>
        </w:tc>
        <w:tc>
          <w:tcPr>
            <w:tcW w:w="510" w:type="pct"/>
            <w:tcBorders>
              <w:top w:val="nil"/>
              <w:left w:val="single" w:sz="4" w:space="0" w:color="D9D9D9" w:themeColor="background1" w:themeShade="D9"/>
              <w:bottom w:val="nil"/>
            </w:tcBorders>
            <w:shd w:val="clear" w:color="auto" w:fill="F3F3F3"/>
          </w:tcPr>
          <w:p w14:paraId="2C8DBD55" w14:textId="77777777" w:rsidR="00566550" w:rsidRPr="00566550" w:rsidRDefault="00566550" w:rsidP="00566550">
            <w:pPr>
              <w:widowControl w:val="0"/>
              <w:autoSpaceDE w:val="0"/>
              <w:autoSpaceDN w:val="0"/>
              <w:adjustRightInd w:val="0"/>
              <w:spacing w:before="40" w:after="40"/>
              <w:ind w:left="68"/>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66550" w:rsidRPr="005528AF" w14:paraId="3AF52721" w14:textId="54A51FCC" w:rsidTr="0028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A6A6A6"/>
          </w:tcPr>
          <w:p w14:paraId="40B6AC1A"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 of dedicated staff for the project.</w:t>
            </w:r>
          </w:p>
        </w:tc>
        <w:tc>
          <w:tcPr>
            <w:tcW w:w="510" w:type="pct"/>
            <w:tcBorders>
              <w:top w:val="nil"/>
              <w:left w:val="single" w:sz="4" w:space="0" w:color="D9D9D9" w:themeColor="background1" w:themeShade="D9"/>
              <w:bottom w:val="nil"/>
            </w:tcBorders>
            <w:shd w:val="clear" w:color="auto" w:fill="A6A6A6"/>
          </w:tcPr>
          <w:p w14:paraId="5DC1BE9B" w14:textId="77777777" w:rsidR="00566550" w:rsidRPr="00566550" w:rsidRDefault="00566550" w:rsidP="00566550">
            <w:pPr>
              <w:widowControl w:val="0"/>
              <w:autoSpaceDE w:val="0"/>
              <w:autoSpaceDN w:val="0"/>
              <w:adjustRightInd w:val="0"/>
              <w:spacing w:before="40" w:after="40"/>
              <w:ind w:left="68"/>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550" w:rsidRPr="005528AF" w14:paraId="759EB999" w14:textId="6CBA36EB" w:rsidTr="002844BE">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F3F3F3"/>
          </w:tcPr>
          <w:p w14:paraId="69EAF3FA"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Aid agency’s transaction and account limits, and those of beneficiaries where relevant.</w:t>
            </w:r>
          </w:p>
        </w:tc>
        <w:tc>
          <w:tcPr>
            <w:tcW w:w="510" w:type="pct"/>
            <w:tcBorders>
              <w:top w:val="nil"/>
              <w:left w:val="single" w:sz="4" w:space="0" w:color="D9D9D9" w:themeColor="background1" w:themeShade="D9"/>
              <w:bottom w:val="nil"/>
            </w:tcBorders>
            <w:shd w:val="clear" w:color="auto" w:fill="F3F3F3"/>
          </w:tcPr>
          <w:p w14:paraId="3ED9C3D1" w14:textId="77777777" w:rsidR="00566550" w:rsidRPr="00566550" w:rsidRDefault="00566550" w:rsidP="00566550">
            <w:pPr>
              <w:widowControl w:val="0"/>
              <w:autoSpaceDE w:val="0"/>
              <w:autoSpaceDN w:val="0"/>
              <w:adjustRightInd w:val="0"/>
              <w:spacing w:before="40" w:after="40"/>
              <w:ind w:left="68"/>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66550" w:rsidRPr="005528AF" w14:paraId="5C01C61C" w14:textId="4339F8E0" w:rsidTr="0028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A6A6A6"/>
          </w:tcPr>
          <w:p w14:paraId="6543257B"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Maximum number, and value, of beneficiary payments that can be made per day.</w:t>
            </w:r>
          </w:p>
        </w:tc>
        <w:tc>
          <w:tcPr>
            <w:tcW w:w="510" w:type="pct"/>
            <w:tcBorders>
              <w:top w:val="nil"/>
              <w:left w:val="single" w:sz="4" w:space="0" w:color="D9D9D9" w:themeColor="background1" w:themeShade="D9"/>
              <w:bottom w:val="nil"/>
            </w:tcBorders>
            <w:shd w:val="clear" w:color="auto" w:fill="A6A6A6"/>
          </w:tcPr>
          <w:p w14:paraId="220D7BF3" w14:textId="77777777" w:rsidR="00566550" w:rsidRPr="00566550" w:rsidRDefault="00566550" w:rsidP="00566550">
            <w:pPr>
              <w:widowControl w:val="0"/>
              <w:autoSpaceDE w:val="0"/>
              <w:autoSpaceDN w:val="0"/>
              <w:adjustRightInd w:val="0"/>
              <w:spacing w:before="40" w:after="40"/>
              <w:ind w:left="68"/>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550" w:rsidRPr="005528AF" w14:paraId="4056A2B7" w14:textId="7A58D332" w:rsidTr="002844BE">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F3F3F3"/>
          </w:tcPr>
          <w:p w14:paraId="4B1A05A0"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All the transaction charges including any waivers from normal charges.</w:t>
            </w:r>
          </w:p>
        </w:tc>
        <w:tc>
          <w:tcPr>
            <w:tcW w:w="510" w:type="pct"/>
            <w:tcBorders>
              <w:top w:val="nil"/>
              <w:left w:val="single" w:sz="4" w:space="0" w:color="D9D9D9" w:themeColor="background1" w:themeShade="D9"/>
              <w:bottom w:val="nil"/>
            </w:tcBorders>
            <w:shd w:val="clear" w:color="auto" w:fill="F3F3F3"/>
          </w:tcPr>
          <w:p w14:paraId="3CAB0EAA" w14:textId="77777777" w:rsidR="00566550" w:rsidRPr="00566550" w:rsidRDefault="00566550" w:rsidP="00566550">
            <w:pPr>
              <w:widowControl w:val="0"/>
              <w:autoSpaceDE w:val="0"/>
              <w:autoSpaceDN w:val="0"/>
              <w:adjustRightInd w:val="0"/>
              <w:spacing w:before="40" w:after="40"/>
              <w:ind w:left="68"/>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66550" w:rsidRPr="005528AF" w14:paraId="4CAF0516" w14:textId="095E6002" w:rsidTr="0028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A6A6A6"/>
          </w:tcPr>
          <w:p w14:paraId="56AD2D48" w14:textId="5F577C40"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Grievance/troubleshooting procedures.</w:t>
            </w:r>
          </w:p>
        </w:tc>
        <w:tc>
          <w:tcPr>
            <w:tcW w:w="510" w:type="pct"/>
            <w:tcBorders>
              <w:top w:val="nil"/>
              <w:left w:val="single" w:sz="4" w:space="0" w:color="D9D9D9" w:themeColor="background1" w:themeShade="D9"/>
              <w:bottom w:val="nil"/>
            </w:tcBorders>
            <w:shd w:val="clear" w:color="auto" w:fill="A6A6A6"/>
          </w:tcPr>
          <w:p w14:paraId="0495F4D0" w14:textId="77777777" w:rsidR="00566550" w:rsidRPr="00566550" w:rsidRDefault="00566550" w:rsidP="00566550">
            <w:pPr>
              <w:widowControl w:val="0"/>
              <w:autoSpaceDE w:val="0"/>
              <w:autoSpaceDN w:val="0"/>
              <w:adjustRightInd w:val="0"/>
              <w:spacing w:before="40" w:after="40"/>
              <w:ind w:left="68"/>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550" w:rsidRPr="005528AF" w14:paraId="7EF72047" w14:textId="07DD7900" w:rsidTr="002844BE">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F3F3F3"/>
          </w:tcPr>
          <w:p w14:paraId="71630657"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Any special relaxations/considerations.</w:t>
            </w:r>
          </w:p>
        </w:tc>
        <w:tc>
          <w:tcPr>
            <w:tcW w:w="510" w:type="pct"/>
            <w:tcBorders>
              <w:top w:val="nil"/>
              <w:left w:val="single" w:sz="4" w:space="0" w:color="D9D9D9" w:themeColor="background1" w:themeShade="D9"/>
              <w:bottom w:val="nil"/>
            </w:tcBorders>
            <w:shd w:val="clear" w:color="auto" w:fill="F3F3F3"/>
          </w:tcPr>
          <w:p w14:paraId="5677B9A2" w14:textId="77777777" w:rsidR="00566550" w:rsidRPr="00566550" w:rsidRDefault="00566550" w:rsidP="00566550">
            <w:pPr>
              <w:widowControl w:val="0"/>
              <w:autoSpaceDE w:val="0"/>
              <w:autoSpaceDN w:val="0"/>
              <w:adjustRightInd w:val="0"/>
              <w:spacing w:before="40" w:after="40"/>
              <w:ind w:left="68"/>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66550" w:rsidRPr="005528AF" w14:paraId="76392FAD" w14:textId="4A196460" w:rsidTr="0028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A6A6A6"/>
          </w:tcPr>
          <w:p w14:paraId="699E3A8D" w14:textId="2954FC02"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Security arrangements the service provider must have in place – e.g., armoured vehicles in the case of courier services; and secure SMS transactions in the case of mobile money transfer.</w:t>
            </w:r>
          </w:p>
        </w:tc>
        <w:tc>
          <w:tcPr>
            <w:tcW w:w="510" w:type="pct"/>
            <w:tcBorders>
              <w:top w:val="nil"/>
              <w:left w:val="single" w:sz="4" w:space="0" w:color="D9D9D9" w:themeColor="background1" w:themeShade="D9"/>
              <w:bottom w:val="nil"/>
            </w:tcBorders>
            <w:shd w:val="clear" w:color="auto" w:fill="A6A6A6"/>
          </w:tcPr>
          <w:p w14:paraId="4B2C9FA0" w14:textId="77777777" w:rsidR="00566550" w:rsidRPr="00566550" w:rsidRDefault="00566550" w:rsidP="00566550">
            <w:pPr>
              <w:widowControl w:val="0"/>
              <w:autoSpaceDE w:val="0"/>
              <w:autoSpaceDN w:val="0"/>
              <w:adjustRightInd w:val="0"/>
              <w:spacing w:before="40" w:after="40"/>
              <w:ind w:left="68"/>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550" w:rsidRPr="005528AF" w14:paraId="5947B7EC" w14:textId="09F4946C" w:rsidTr="002844BE">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F3F3F3"/>
          </w:tcPr>
          <w:p w14:paraId="0AE6F4BD"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Insurance against loss or against insolvency.</w:t>
            </w:r>
          </w:p>
        </w:tc>
        <w:tc>
          <w:tcPr>
            <w:tcW w:w="510" w:type="pct"/>
            <w:tcBorders>
              <w:top w:val="nil"/>
              <w:left w:val="single" w:sz="4" w:space="0" w:color="D9D9D9" w:themeColor="background1" w:themeShade="D9"/>
              <w:bottom w:val="nil"/>
            </w:tcBorders>
            <w:shd w:val="clear" w:color="auto" w:fill="F3F3F3"/>
          </w:tcPr>
          <w:p w14:paraId="06EE97CE" w14:textId="77777777" w:rsidR="00566550" w:rsidRPr="00566550" w:rsidRDefault="00566550" w:rsidP="00566550">
            <w:pPr>
              <w:widowControl w:val="0"/>
              <w:autoSpaceDE w:val="0"/>
              <w:autoSpaceDN w:val="0"/>
              <w:adjustRightInd w:val="0"/>
              <w:spacing w:before="40" w:after="40"/>
              <w:ind w:left="68"/>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66550" w:rsidRPr="005528AF" w14:paraId="396E153D" w14:textId="0A425F87" w:rsidTr="0028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A6A6A6"/>
          </w:tcPr>
          <w:p w14:paraId="2F67BA98"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Data protection requirements.</w:t>
            </w:r>
          </w:p>
        </w:tc>
        <w:tc>
          <w:tcPr>
            <w:tcW w:w="510" w:type="pct"/>
            <w:tcBorders>
              <w:top w:val="nil"/>
              <w:left w:val="single" w:sz="4" w:space="0" w:color="D9D9D9" w:themeColor="background1" w:themeShade="D9"/>
              <w:bottom w:val="nil"/>
            </w:tcBorders>
            <w:shd w:val="clear" w:color="auto" w:fill="A6A6A6"/>
          </w:tcPr>
          <w:p w14:paraId="2F577F88" w14:textId="77777777" w:rsidR="00566550" w:rsidRPr="00566550" w:rsidRDefault="00566550" w:rsidP="00566550">
            <w:pPr>
              <w:widowControl w:val="0"/>
              <w:autoSpaceDE w:val="0"/>
              <w:autoSpaceDN w:val="0"/>
              <w:adjustRightInd w:val="0"/>
              <w:spacing w:before="40" w:after="40"/>
              <w:ind w:left="68"/>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550" w:rsidRPr="005528AF" w14:paraId="3AC5162B" w14:textId="4AC454CE" w:rsidTr="002844BE">
        <w:trPr>
          <w:trHeight w:val="574"/>
        </w:trPr>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F3F3F3"/>
          </w:tcPr>
          <w:p w14:paraId="4F318B98"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the verification criteria and documentation process the service provider must follow when transferring cash to beneficiaries.</w:t>
            </w:r>
          </w:p>
        </w:tc>
        <w:tc>
          <w:tcPr>
            <w:tcW w:w="510" w:type="pct"/>
            <w:tcBorders>
              <w:top w:val="nil"/>
              <w:left w:val="single" w:sz="4" w:space="0" w:color="D9D9D9" w:themeColor="background1" w:themeShade="D9"/>
              <w:bottom w:val="nil"/>
            </w:tcBorders>
            <w:shd w:val="clear" w:color="auto" w:fill="F3F3F3"/>
          </w:tcPr>
          <w:p w14:paraId="68F638DA" w14:textId="77777777" w:rsidR="00566550" w:rsidRPr="00566550" w:rsidRDefault="00566550" w:rsidP="00566550">
            <w:pPr>
              <w:widowControl w:val="0"/>
              <w:autoSpaceDE w:val="0"/>
              <w:autoSpaceDN w:val="0"/>
              <w:adjustRightInd w:val="0"/>
              <w:spacing w:before="40" w:after="40"/>
              <w:ind w:left="68"/>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66550" w:rsidRPr="005528AF" w14:paraId="5D283215" w14:textId="48EFF11D" w:rsidTr="0028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A6A6A6"/>
          </w:tcPr>
          <w:p w14:paraId="35F04231"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the reporting requirements including frequency, content and proof of transaction. This may include procedures for access to any online web portal of the aid agency and beneficiary accounts hosted by the service provider.</w:t>
            </w:r>
          </w:p>
        </w:tc>
        <w:tc>
          <w:tcPr>
            <w:tcW w:w="510" w:type="pct"/>
            <w:tcBorders>
              <w:top w:val="nil"/>
              <w:left w:val="single" w:sz="4" w:space="0" w:color="D9D9D9" w:themeColor="background1" w:themeShade="D9"/>
              <w:bottom w:val="nil"/>
            </w:tcBorders>
            <w:shd w:val="clear" w:color="auto" w:fill="A6A6A6"/>
          </w:tcPr>
          <w:p w14:paraId="3801D148" w14:textId="77777777" w:rsidR="00566550" w:rsidRPr="00566550" w:rsidRDefault="00566550" w:rsidP="00566550">
            <w:pPr>
              <w:widowControl w:val="0"/>
              <w:autoSpaceDE w:val="0"/>
              <w:autoSpaceDN w:val="0"/>
              <w:adjustRightInd w:val="0"/>
              <w:spacing w:before="40" w:after="40"/>
              <w:ind w:left="68"/>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550" w:rsidRPr="005528AF" w14:paraId="719A773C" w14:textId="38C698A4" w:rsidTr="002844BE">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F3F3F3"/>
          </w:tcPr>
          <w:p w14:paraId="6A163920"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Details of the commission accruing and the terms under which the service provider will be remunerated (likely to be on a monthly basis upon completion of activities as verified through completed reporting and monitoring, through bank transfer).</w:t>
            </w:r>
          </w:p>
        </w:tc>
        <w:tc>
          <w:tcPr>
            <w:tcW w:w="510" w:type="pct"/>
            <w:tcBorders>
              <w:top w:val="nil"/>
              <w:left w:val="single" w:sz="4" w:space="0" w:color="D9D9D9" w:themeColor="background1" w:themeShade="D9"/>
              <w:bottom w:val="nil"/>
            </w:tcBorders>
            <w:shd w:val="clear" w:color="auto" w:fill="F3F3F3"/>
          </w:tcPr>
          <w:p w14:paraId="35DA8B1E" w14:textId="77777777" w:rsidR="00566550" w:rsidRPr="00566550" w:rsidRDefault="00566550" w:rsidP="00566550">
            <w:pPr>
              <w:widowControl w:val="0"/>
              <w:autoSpaceDE w:val="0"/>
              <w:autoSpaceDN w:val="0"/>
              <w:adjustRightInd w:val="0"/>
              <w:spacing w:before="40" w:after="40"/>
              <w:ind w:left="68"/>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66550" w:rsidRPr="005528AF" w14:paraId="38374579" w14:textId="1C17D8F0" w:rsidTr="0028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A6A6A6"/>
          </w:tcPr>
          <w:p w14:paraId="4DDD273E"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Outline of the process to follow for absentees, bounce-backs and repayments.</w:t>
            </w:r>
          </w:p>
        </w:tc>
        <w:tc>
          <w:tcPr>
            <w:tcW w:w="510" w:type="pct"/>
            <w:tcBorders>
              <w:top w:val="nil"/>
              <w:left w:val="single" w:sz="4" w:space="0" w:color="D9D9D9" w:themeColor="background1" w:themeShade="D9"/>
              <w:bottom w:val="nil"/>
            </w:tcBorders>
            <w:shd w:val="clear" w:color="auto" w:fill="A6A6A6"/>
          </w:tcPr>
          <w:p w14:paraId="59EA3D43" w14:textId="77777777" w:rsidR="00566550" w:rsidRPr="00566550" w:rsidRDefault="00566550" w:rsidP="00566550">
            <w:pPr>
              <w:widowControl w:val="0"/>
              <w:autoSpaceDE w:val="0"/>
              <w:autoSpaceDN w:val="0"/>
              <w:adjustRightInd w:val="0"/>
              <w:spacing w:before="40" w:after="40"/>
              <w:ind w:left="68"/>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550" w:rsidRPr="005528AF" w14:paraId="79EDEC53" w14:textId="0A3D1786" w:rsidTr="002844BE">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F3F3F3"/>
          </w:tcPr>
          <w:p w14:paraId="3B710587"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Clear penalties especially around inability to supply agreed goods.</w:t>
            </w:r>
          </w:p>
        </w:tc>
        <w:tc>
          <w:tcPr>
            <w:tcW w:w="510" w:type="pct"/>
            <w:tcBorders>
              <w:top w:val="nil"/>
              <w:left w:val="single" w:sz="4" w:space="0" w:color="D9D9D9" w:themeColor="background1" w:themeShade="D9"/>
              <w:bottom w:val="nil"/>
            </w:tcBorders>
            <w:shd w:val="clear" w:color="auto" w:fill="F3F3F3"/>
          </w:tcPr>
          <w:p w14:paraId="64BC1D89" w14:textId="77777777" w:rsidR="00566550" w:rsidRPr="00566550" w:rsidRDefault="00566550" w:rsidP="00566550">
            <w:pPr>
              <w:widowControl w:val="0"/>
              <w:autoSpaceDE w:val="0"/>
              <w:autoSpaceDN w:val="0"/>
              <w:adjustRightInd w:val="0"/>
              <w:spacing w:before="40" w:after="40"/>
              <w:ind w:left="68"/>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66550" w:rsidRPr="005528AF" w14:paraId="2D9B77EB" w14:textId="1FC5F0E8" w:rsidTr="0028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A6A6A6"/>
          </w:tcPr>
          <w:p w14:paraId="379015A7"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Clauses detailing the aid agency’s position on fraud and programme participant protection, and responsibilities of the service provider.</w:t>
            </w:r>
          </w:p>
        </w:tc>
        <w:tc>
          <w:tcPr>
            <w:tcW w:w="510" w:type="pct"/>
            <w:tcBorders>
              <w:top w:val="nil"/>
              <w:left w:val="single" w:sz="4" w:space="0" w:color="D9D9D9" w:themeColor="background1" w:themeShade="D9"/>
              <w:bottom w:val="nil"/>
            </w:tcBorders>
            <w:shd w:val="clear" w:color="auto" w:fill="A6A6A6"/>
          </w:tcPr>
          <w:p w14:paraId="07B7A97C" w14:textId="77777777" w:rsidR="00566550" w:rsidRPr="00566550" w:rsidRDefault="00566550" w:rsidP="00566550">
            <w:pPr>
              <w:widowControl w:val="0"/>
              <w:autoSpaceDE w:val="0"/>
              <w:autoSpaceDN w:val="0"/>
              <w:adjustRightInd w:val="0"/>
              <w:spacing w:before="40" w:after="40"/>
              <w:ind w:left="68"/>
              <w:cnfStyle w:val="000000100000" w:firstRow="0" w:lastRow="0" w:firstColumn="0" w:lastColumn="0" w:oddVBand="0" w:evenVBand="0" w:oddHBand="1" w:evenHBand="0" w:firstRowFirstColumn="0" w:firstRowLastColumn="0" w:lastRowFirstColumn="0" w:lastRowLastColumn="0"/>
              <w:rPr>
                <w:rFonts w:cs="Arial"/>
                <w:color w:val="000000"/>
              </w:rPr>
            </w:pPr>
          </w:p>
        </w:tc>
      </w:tr>
      <w:tr w:rsidR="00566550" w:rsidRPr="005528AF" w14:paraId="7A5343F0" w14:textId="2BEDAC2D" w:rsidTr="002844BE">
        <w:tc>
          <w:tcPr>
            <w:cnfStyle w:val="001000000000" w:firstRow="0" w:lastRow="0" w:firstColumn="1" w:lastColumn="0" w:oddVBand="0" w:evenVBand="0" w:oddHBand="0" w:evenHBand="0" w:firstRowFirstColumn="0" w:firstRowLastColumn="0" w:lastRowFirstColumn="0" w:lastRowLastColumn="0"/>
            <w:tcW w:w="4490" w:type="pct"/>
            <w:tcBorders>
              <w:top w:val="nil"/>
              <w:bottom w:val="nil"/>
              <w:right w:val="single" w:sz="4" w:space="0" w:color="D9D9D9" w:themeColor="background1" w:themeShade="D9"/>
            </w:tcBorders>
            <w:shd w:val="clear" w:color="auto" w:fill="F3F3F3"/>
          </w:tcPr>
          <w:p w14:paraId="40543A74"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Clauses detailing procedure for the protection of beneficiary personal data.</w:t>
            </w:r>
          </w:p>
        </w:tc>
        <w:tc>
          <w:tcPr>
            <w:tcW w:w="510" w:type="pct"/>
            <w:tcBorders>
              <w:top w:val="nil"/>
              <w:left w:val="single" w:sz="4" w:space="0" w:color="D9D9D9" w:themeColor="background1" w:themeShade="D9"/>
              <w:bottom w:val="nil"/>
            </w:tcBorders>
            <w:shd w:val="clear" w:color="auto" w:fill="F3F3F3"/>
          </w:tcPr>
          <w:p w14:paraId="57F301AE" w14:textId="77777777" w:rsidR="00566550" w:rsidRPr="00566550" w:rsidRDefault="00566550" w:rsidP="00566550">
            <w:pPr>
              <w:widowControl w:val="0"/>
              <w:autoSpaceDE w:val="0"/>
              <w:autoSpaceDN w:val="0"/>
              <w:adjustRightInd w:val="0"/>
              <w:spacing w:before="40" w:after="40"/>
              <w:ind w:left="68"/>
              <w:cnfStyle w:val="000000000000" w:firstRow="0" w:lastRow="0" w:firstColumn="0" w:lastColumn="0" w:oddVBand="0" w:evenVBand="0" w:oddHBand="0" w:evenHBand="0" w:firstRowFirstColumn="0" w:firstRowLastColumn="0" w:lastRowFirstColumn="0" w:lastRowLastColumn="0"/>
              <w:rPr>
                <w:rFonts w:cs="Arial"/>
                <w:color w:val="000000"/>
              </w:rPr>
            </w:pPr>
          </w:p>
        </w:tc>
      </w:tr>
      <w:tr w:rsidR="00566550" w:rsidRPr="005528AF" w14:paraId="3E38A89A" w14:textId="2094470E" w:rsidTr="00284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0" w:type="pct"/>
            <w:tcBorders>
              <w:top w:val="nil"/>
              <w:bottom w:val="single" w:sz="4" w:space="0" w:color="auto"/>
              <w:right w:val="single" w:sz="4" w:space="0" w:color="D9D9D9" w:themeColor="background1" w:themeShade="D9"/>
            </w:tcBorders>
            <w:shd w:val="clear" w:color="auto" w:fill="A6A6A6"/>
          </w:tcPr>
          <w:p w14:paraId="6762392F" w14:textId="77777777" w:rsidR="00566550" w:rsidRPr="005528AF" w:rsidRDefault="00566550" w:rsidP="00FF2C3B">
            <w:pPr>
              <w:pStyle w:val="ListParagraph"/>
              <w:widowControl w:val="0"/>
              <w:numPr>
                <w:ilvl w:val="0"/>
                <w:numId w:val="1"/>
              </w:numPr>
              <w:autoSpaceDE w:val="0"/>
              <w:autoSpaceDN w:val="0"/>
              <w:adjustRightInd w:val="0"/>
              <w:spacing w:before="40" w:after="40"/>
              <w:ind w:left="425" w:hanging="357"/>
              <w:contextualSpacing w:val="0"/>
              <w:rPr>
                <w:rFonts w:cs="Arial"/>
                <w:b w:val="0"/>
                <w:color w:val="000000"/>
                <w:szCs w:val="20"/>
              </w:rPr>
            </w:pPr>
            <w:r w:rsidRPr="005528AF">
              <w:rPr>
                <w:rFonts w:cs="Arial"/>
                <w:b w:val="0"/>
                <w:color w:val="000000"/>
                <w:szCs w:val="20"/>
              </w:rPr>
              <w:t>Exit strategy including any account de-activation periods and additional support from the service provider beyond the transfer period.</w:t>
            </w:r>
          </w:p>
        </w:tc>
        <w:tc>
          <w:tcPr>
            <w:tcW w:w="510" w:type="pct"/>
            <w:tcBorders>
              <w:top w:val="nil"/>
              <w:left w:val="single" w:sz="4" w:space="0" w:color="D9D9D9" w:themeColor="background1" w:themeShade="D9"/>
              <w:bottom w:val="single" w:sz="4" w:space="0" w:color="auto"/>
            </w:tcBorders>
            <w:shd w:val="clear" w:color="auto" w:fill="A6A6A6"/>
          </w:tcPr>
          <w:p w14:paraId="7376AB91" w14:textId="77777777" w:rsidR="00566550" w:rsidRPr="00566550" w:rsidRDefault="00566550" w:rsidP="00566550">
            <w:pPr>
              <w:widowControl w:val="0"/>
              <w:autoSpaceDE w:val="0"/>
              <w:autoSpaceDN w:val="0"/>
              <w:adjustRightInd w:val="0"/>
              <w:spacing w:before="40" w:after="40"/>
              <w:ind w:left="68"/>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4F663A2B" w14:textId="4BC4766B" w:rsidR="006D2F29" w:rsidRPr="005528AF" w:rsidRDefault="006D2F29" w:rsidP="00A94E13">
      <w:pPr>
        <w:widowControl w:val="0"/>
        <w:autoSpaceDE w:val="0"/>
        <w:autoSpaceDN w:val="0"/>
        <w:adjustRightInd w:val="0"/>
        <w:spacing w:before="120" w:after="0"/>
        <w:jc w:val="right"/>
        <w:rPr>
          <w:color w:val="000000"/>
          <w:sz w:val="18"/>
          <w:szCs w:val="18"/>
        </w:rPr>
      </w:pPr>
      <w:r w:rsidRPr="005528AF">
        <w:rPr>
          <w:color w:val="000000"/>
          <w:sz w:val="18"/>
          <w:szCs w:val="18"/>
        </w:rPr>
        <w:t>Sou</w:t>
      </w:r>
      <w:r w:rsidR="00BD5DED" w:rsidRPr="005528AF">
        <w:rPr>
          <w:color w:val="000000"/>
          <w:sz w:val="18"/>
          <w:szCs w:val="18"/>
        </w:rPr>
        <w:t>rce: E-transfers in emergencies: i</w:t>
      </w:r>
      <w:r w:rsidRPr="005528AF">
        <w:rPr>
          <w:color w:val="000000"/>
          <w:sz w:val="18"/>
          <w:szCs w:val="18"/>
        </w:rPr>
        <w:t>mplementation support guidelines CaLP</w:t>
      </w:r>
    </w:p>
    <w:sectPr w:rsidR="006D2F29" w:rsidRPr="005528AF" w:rsidSect="005528AF">
      <w:headerReference w:type="default" r:id="rId7"/>
      <w:footerReference w:type="default" r:id="rId8"/>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264C" w14:textId="77777777" w:rsidR="00F93B2F" w:rsidRDefault="00F93B2F" w:rsidP="008C25F5">
      <w:r>
        <w:separator/>
      </w:r>
    </w:p>
  </w:endnote>
  <w:endnote w:type="continuationSeparator" w:id="0">
    <w:p w14:paraId="30410B5C" w14:textId="77777777" w:rsidR="00F93B2F" w:rsidRDefault="00F93B2F" w:rsidP="008C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charset w:val="00"/>
    <w:family w:val="auto"/>
    <w:pitch w:val="variable"/>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EDC8" w14:textId="77777777" w:rsidR="005528AF" w:rsidRPr="00B45C74" w:rsidRDefault="005528A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844BE">
      <w:rPr>
        <w:b/>
        <w:noProof/>
        <w:color w:val="808080" w:themeColor="background1" w:themeShade="80"/>
        <w:sz w:val="18"/>
        <w:szCs w:val="18"/>
      </w:rPr>
      <w:t>1</w:t>
    </w:r>
    <w:r w:rsidRPr="00B45C74">
      <w:rPr>
        <w:b/>
        <w:color w:val="808080" w:themeColor="background1" w:themeShade="80"/>
        <w:sz w:val="18"/>
        <w:szCs w:val="18"/>
      </w:rPr>
      <w:fldChar w:fldCharType="end"/>
    </w:r>
  </w:p>
  <w:p w14:paraId="3810F217" w14:textId="770CCD1F" w:rsidR="005528AF" w:rsidRPr="003A3500" w:rsidRDefault="005528AF" w:rsidP="00ED1B2B">
    <w:pPr>
      <w:pStyle w:val="Footer"/>
    </w:pPr>
    <w:r w:rsidRPr="00107E15">
      <w:rPr>
        <w:b/>
      </w:rPr>
      <w:t xml:space="preserve">Module </w:t>
    </w:r>
    <w:r>
      <w:rPr>
        <w:b/>
      </w:rPr>
      <w:t>4</w:t>
    </w:r>
    <w:r w:rsidRPr="00107E15">
      <w:rPr>
        <w:b/>
      </w:rPr>
      <w:t>.</w:t>
    </w:r>
    <w:r w:rsidRPr="00107E15">
      <w:t xml:space="preserve"> Step </w:t>
    </w:r>
    <w:r>
      <w:t>3</w:t>
    </w:r>
    <w:r w:rsidRPr="00107E15">
      <w:t>.</w:t>
    </w:r>
    <w:r>
      <w:t xml:space="preserve"> Sub-step 3. </w:t>
    </w:r>
    <w:r w:rsidRPr="00107E15">
      <w:rPr>
        <w:i/>
      </w:rPr>
      <w:fldChar w:fldCharType="begin"/>
    </w:r>
    <w:r w:rsidRPr="00107E15">
      <w:rPr>
        <w:i/>
      </w:rPr>
      <w:instrText xml:space="preserve"> STYLEREF  H1 \t  \* MERGEFORMAT </w:instrText>
    </w:r>
    <w:r w:rsidRPr="00107E15">
      <w:rPr>
        <w:i/>
      </w:rPr>
      <w:fldChar w:fldCharType="separate"/>
    </w:r>
    <w:r w:rsidR="00020C2E" w:rsidRPr="00020C2E">
      <w:rPr>
        <w:bCs/>
        <w:noProof/>
      </w:rPr>
      <w:t>Contract requirements with e-transfer service provider checklist</w:t>
    </w:r>
    <w:r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553B9" w14:textId="77777777" w:rsidR="00F93B2F" w:rsidRDefault="00F93B2F" w:rsidP="008C25F5">
      <w:r>
        <w:separator/>
      </w:r>
    </w:p>
  </w:footnote>
  <w:footnote w:type="continuationSeparator" w:id="0">
    <w:p w14:paraId="6902A93F" w14:textId="77777777" w:rsidR="00F93B2F" w:rsidRDefault="00F93B2F" w:rsidP="008C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D98A" w14:textId="77777777" w:rsidR="005528AF" w:rsidRPr="00074036" w:rsidRDefault="005528AF"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D3D02"/>
    <w:multiLevelType w:val="hybridMultilevel"/>
    <w:tmpl w:val="92CA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60"/>
    <w:rsid w:val="00020C2E"/>
    <w:rsid w:val="001C70DB"/>
    <w:rsid w:val="00214119"/>
    <w:rsid w:val="002844BE"/>
    <w:rsid w:val="002D61B1"/>
    <w:rsid w:val="003A56F9"/>
    <w:rsid w:val="003B7690"/>
    <w:rsid w:val="004B1DFB"/>
    <w:rsid w:val="004F3255"/>
    <w:rsid w:val="004F78CE"/>
    <w:rsid w:val="00530C26"/>
    <w:rsid w:val="005528AF"/>
    <w:rsid w:val="00566550"/>
    <w:rsid w:val="00594260"/>
    <w:rsid w:val="006145CD"/>
    <w:rsid w:val="006D2F29"/>
    <w:rsid w:val="0071100B"/>
    <w:rsid w:val="007B539C"/>
    <w:rsid w:val="008C25F5"/>
    <w:rsid w:val="00A94E13"/>
    <w:rsid w:val="00AE0EA5"/>
    <w:rsid w:val="00BD5DED"/>
    <w:rsid w:val="00C62B57"/>
    <w:rsid w:val="00CE7B15"/>
    <w:rsid w:val="00D83859"/>
    <w:rsid w:val="00D964C8"/>
    <w:rsid w:val="00F93B2F"/>
    <w:rsid w:val="00FF2C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C01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C3B"/>
    <w:pPr>
      <w:spacing w:after="120"/>
      <w:jc w:val="both"/>
    </w:pPr>
    <w:rPr>
      <w:rFonts w:ascii="Arial" w:hAnsi="Arial" w:cs="Times New Roman"/>
    </w:rPr>
  </w:style>
  <w:style w:type="paragraph" w:styleId="Heading1">
    <w:name w:val="heading 1"/>
    <w:basedOn w:val="H1"/>
    <w:next w:val="Normal"/>
    <w:link w:val="Heading1Char"/>
    <w:uiPriority w:val="9"/>
    <w:rsid w:val="00FF2C3B"/>
  </w:style>
  <w:style w:type="paragraph" w:styleId="Heading2">
    <w:name w:val="heading 2"/>
    <w:basedOn w:val="Normal"/>
    <w:next w:val="Normal"/>
    <w:link w:val="Heading2Char"/>
    <w:uiPriority w:val="9"/>
    <w:unhideWhenUsed/>
    <w:qFormat/>
    <w:rsid w:val="00FF2C3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F2C3B"/>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2C3B"/>
    <w:pPr>
      <w:spacing w:after="240"/>
      <w:ind w:left="720"/>
      <w:contextualSpacing/>
    </w:pPr>
    <w:rPr>
      <w:rFonts w:eastAsiaTheme="minorHAnsi" w:cstheme="minorBidi"/>
      <w:szCs w:val="22"/>
    </w:rPr>
  </w:style>
  <w:style w:type="table" w:styleId="TableGrid">
    <w:name w:val="Table Grid"/>
    <w:basedOn w:val="TableNormal"/>
    <w:uiPriority w:val="59"/>
    <w:rsid w:val="00FF2C3B"/>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942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F2C3B"/>
    <w:pPr>
      <w:spacing w:after="0" w:line="288" w:lineRule="auto"/>
      <w:jc w:val="left"/>
    </w:pPr>
    <w:rPr>
      <w:sz w:val="16"/>
    </w:rPr>
  </w:style>
  <w:style w:type="character" w:customStyle="1" w:styleId="HeaderChar">
    <w:name w:val="Header Char"/>
    <w:basedOn w:val="DefaultParagraphFont"/>
    <w:link w:val="Header"/>
    <w:uiPriority w:val="99"/>
    <w:rsid w:val="00FF2C3B"/>
    <w:rPr>
      <w:rFonts w:ascii="Arial" w:hAnsi="Arial" w:cs="Times New Roman"/>
      <w:sz w:val="16"/>
    </w:rPr>
  </w:style>
  <w:style w:type="paragraph" w:styleId="Footer">
    <w:name w:val="footer"/>
    <w:basedOn w:val="Normal"/>
    <w:link w:val="FooterChar"/>
    <w:uiPriority w:val="99"/>
    <w:unhideWhenUsed/>
    <w:rsid w:val="00FF2C3B"/>
    <w:pPr>
      <w:spacing w:after="0"/>
      <w:jc w:val="left"/>
    </w:pPr>
    <w:rPr>
      <w:sz w:val="16"/>
      <w:szCs w:val="18"/>
    </w:rPr>
  </w:style>
  <w:style w:type="character" w:customStyle="1" w:styleId="FooterChar">
    <w:name w:val="Footer Char"/>
    <w:basedOn w:val="DefaultParagraphFont"/>
    <w:link w:val="Footer"/>
    <w:uiPriority w:val="99"/>
    <w:rsid w:val="00FF2C3B"/>
    <w:rPr>
      <w:rFonts w:ascii="Arial" w:hAnsi="Arial" w:cs="Times New Roman"/>
      <w:sz w:val="16"/>
      <w:szCs w:val="18"/>
    </w:rPr>
  </w:style>
  <w:style w:type="character" w:customStyle="1" w:styleId="Heading1Char">
    <w:name w:val="Heading 1 Char"/>
    <w:basedOn w:val="DefaultParagraphFont"/>
    <w:link w:val="Heading1"/>
    <w:uiPriority w:val="9"/>
    <w:rsid w:val="00FF2C3B"/>
    <w:rPr>
      <w:rFonts w:ascii="Arial" w:hAnsi="Arial" w:cs="Times New Roman"/>
      <w:b/>
      <w:sz w:val="40"/>
      <w:szCs w:val="52"/>
    </w:rPr>
  </w:style>
  <w:style w:type="character" w:customStyle="1" w:styleId="Heading2Char">
    <w:name w:val="Heading 2 Char"/>
    <w:basedOn w:val="DefaultParagraphFont"/>
    <w:link w:val="Heading2"/>
    <w:uiPriority w:val="9"/>
    <w:rsid w:val="00FF2C3B"/>
    <w:rPr>
      <w:rFonts w:ascii="Arial" w:hAnsi="Arial" w:cs="Times New Roman"/>
      <w:b/>
      <w:caps/>
      <w:sz w:val="24"/>
      <w:szCs w:val="26"/>
    </w:rPr>
  </w:style>
  <w:style w:type="character" w:customStyle="1" w:styleId="Heading3Char">
    <w:name w:val="Heading 3 Char"/>
    <w:basedOn w:val="DefaultParagraphFont"/>
    <w:link w:val="Heading3"/>
    <w:uiPriority w:val="9"/>
    <w:rsid w:val="00FF2C3B"/>
    <w:rPr>
      <w:rFonts w:ascii="Arial" w:hAnsi="Arial" w:cs="Times New Roman"/>
      <w:b/>
      <w:sz w:val="22"/>
      <w:szCs w:val="24"/>
    </w:rPr>
  </w:style>
  <w:style w:type="character" w:customStyle="1" w:styleId="ListParagraphChar">
    <w:name w:val="List Paragraph Char"/>
    <w:basedOn w:val="DefaultParagraphFont"/>
    <w:link w:val="ListParagraph"/>
    <w:uiPriority w:val="34"/>
    <w:rsid w:val="00FF2C3B"/>
    <w:rPr>
      <w:rFonts w:ascii="Arial" w:eastAsiaTheme="minorHAnsi" w:hAnsi="Arial" w:cstheme="minorBidi"/>
      <w:szCs w:val="22"/>
    </w:rPr>
  </w:style>
  <w:style w:type="paragraph" w:customStyle="1" w:styleId="Default">
    <w:name w:val="Default"/>
    <w:rsid w:val="00FF2C3B"/>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F2C3B"/>
    <w:rPr>
      <w:sz w:val="18"/>
      <w:szCs w:val="18"/>
    </w:rPr>
  </w:style>
  <w:style w:type="paragraph" w:styleId="CommentText">
    <w:name w:val="annotation text"/>
    <w:basedOn w:val="Normal"/>
    <w:link w:val="CommentTextChar"/>
    <w:uiPriority w:val="99"/>
    <w:semiHidden/>
    <w:unhideWhenUsed/>
    <w:rsid w:val="005528AF"/>
  </w:style>
  <w:style w:type="character" w:customStyle="1" w:styleId="CommentTextChar">
    <w:name w:val="Comment Text Char"/>
    <w:basedOn w:val="DefaultParagraphFont"/>
    <w:link w:val="CommentText"/>
    <w:uiPriority w:val="99"/>
    <w:semiHidden/>
    <w:rsid w:val="005528AF"/>
    <w:rPr>
      <w:rFonts w:ascii="Arial" w:hAnsi="Arial" w:cs="Times New Roman"/>
    </w:rPr>
  </w:style>
  <w:style w:type="paragraph" w:styleId="CommentSubject">
    <w:name w:val="annotation subject"/>
    <w:basedOn w:val="Normal"/>
    <w:link w:val="CommentSubjectChar"/>
    <w:uiPriority w:val="99"/>
    <w:semiHidden/>
    <w:unhideWhenUsed/>
    <w:rsid w:val="00FF2C3B"/>
    <w:rPr>
      <w:b/>
      <w:bCs/>
    </w:rPr>
  </w:style>
  <w:style w:type="character" w:customStyle="1" w:styleId="CommentSubjectChar">
    <w:name w:val="Comment Subject Char"/>
    <w:basedOn w:val="DefaultParagraphFont"/>
    <w:link w:val="CommentSubject"/>
    <w:uiPriority w:val="99"/>
    <w:semiHidden/>
    <w:rsid w:val="00FF2C3B"/>
    <w:rPr>
      <w:rFonts w:ascii="Arial" w:hAnsi="Arial" w:cs="Times New Roman"/>
      <w:b/>
      <w:bCs/>
    </w:rPr>
  </w:style>
  <w:style w:type="paragraph" w:styleId="BalloonText">
    <w:name w:val="Balloon Text"/>
    <w:basedOn w:val="Normal"/>
    <w:link w:val="BalloonTextChar"/>
    <w:uiPriority w:val="99"/>
    <w:semiHidden/>
    <w:unhideWhenUsed/>
    <w:rsid w:val="00FF2C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C3B"/>
    <w:rPr>
      <w:rFonts w:ascii="Lucida Grande" w:hAnsi="Lucida Grande" w:cs="Lucida Grande"/>
      <w:sz w:val="18"/>
      <w:szCs w:val="18"/>
    </w:rPr>
  </w:style>
  <w:style w:type="character" w:styleId="PageNumber">
    <w:name w:val="page number"/>
    <w:basedOn w:val="DefaultParagraphFont"/>
    <w:uiPriority w:val="99"/>
    <w:unhideWhenUsed/>
    <w:rsid w:val="00FF2C3B"/>
    <w:rPr>
      <w:b/>
    </w:rPr>
  </w:style>
  <w:style w:type="character" w:styleId="Hyperlink">
    <w:name w:val="Hyperlink"/>
    <w:basedOn w:val="DefaultParagraphFont"/>
    <w:uiPriority w:val="99"/>
    <w:unhideWhenUsed/>
    <w:rsid w:val="00FF2C3B"/>
    <w:rPr>
      <w:color w:val="0000FF" w:themeColor="hyperlink"/>
      <w:u w:val="single"/>
    </w:rPr>
  </w:style>
  <w:style w:type="character" w:styleId="FollowedHyperlink">
    <w:name w:val="FollowedHyperlink"/>
    <w:basedOn w:val="DefaultParagraphFont"/>
    <w:uiPriority w:val="99"/>
    <w:semiHidden/>
    <w:unhideWhenUsed/>
    <w:rsid w:val="00FF2C3B"/>
    <w:rPr>
      <w:color w:val="800080" w:themeColor="followedHyperlink"/>
      <w:u w:val="single"/>
    </w:rPr>
  </w:style>
  <w:style w:type="paragraph" w:styleId="FootnoteText">
    <w:name w:val="footnote text"/>
    <w:basedOn w:val="Normal"/>
    <w:link w:val="FootnoteTextChar"/>
    <w:uiPriority w:val="99"/>
    <w:unhideWhenUsed/>
    <w:rsid w:val="00FF2C3B"/>
    <w:pPr>
      <w:spacing w:after="0"/>
    </w:pPr>
    <w:rPr>
      <w:sz w:val="16"/>
      <w:szCs w:val="22"/>
    </w:rPr>
  </w:style>
  <w:style w:type="character" w:customStyle="1" w:styleId="FootnoteTextChar">
    <w:name w:val="Footnote Text Char"/>
    <w:basedOn w:val="DefaultParagraphFont"/>
    <w:link w:val="FootnoteText"/>
    <w:uiPriority w:val="99"/>
    <w:rsid w:val="00FF2C3B"/>
    <w:rPr>
      <w:rFonts w:ascii="Arial" w:hAnsi="Arial" w:cs="Times New Roman"/>
      <w:sz w:val="16"/>
      <w:szCs w:val="22"/>
    </w:rPr>
  </w:style>
  <w:style w:type="character" w:styleId="FootnoteReference">
    <w:name w:val="footnote reference"/>
    <w:basedOn w:val="DefaultParagraphFont"/>
    <w:uiPriority w:val="99"/>
    <w:unhideWhenUsed/>
    <w:rsid w:val="00FF2C3B"/>
    <w:rPr>
      <w:vertAlign w:val="superscript"/>
    </w:rPr>
  </w:style>
  <w:style w:type="paragraph" w:styleId="Revision">
    <w:name w:val="Revision"/>
    <w:hidden/>
    <w:uiPriority w:val="99"/>
    <w:semiHidden/>
    <w:rsid w:val="00FF2C3B"/>
    <w:rPr>
      <w:rFonts w:ascii="Arial" w:hAnsi="Arial" w:cs="Arial"/>
      <w:sz w:val="21"/>
      <w:szCs w:val="21"/>
    </w:rPr>
  </w:style>
  <w:style w:type="paragraph" w:customStyle="1" w:styleId="BasicParagraph">
    <w:name w:val="[Basic Paragraph]"/>
    <w:basedOn w:val="Normal"/>
    <w:uiPriority w:val="99"/>
    <w:rsid w:val="00FF2C3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F2C3B"/>
    <w:pPr>
      <w:spacing w:before="360" w:after="240"/>
      <w:jc w:val="left"/>
      <w:outlineLvl w:val="0"/>
    </w:pPr>
    <w:rPr>
      <w:b/>
      <w:sz w:val="40"/>
      <w:szCs w:val="52"/>
    </w:rPr>
  </w:style>
  <w:style w:type="paragraph" w:customStyle="1" w:styleId="Bullet1">
    <w:name w:val="Bullet 1"/>
    <w:basedOn w:val="Normal"/>
    <w:rsid w:val="00FF2C3B"/>
    <w:pPr>
      <w:numPr>
        <w:numId w:val="4"/>
      </w:numPr>
      <w:spacing w:before="60"/>
    </w:pPr>
    <w:rPr>
      <w:rFonts w:eastAsia="Times New Roman"/>
      <w:color w:val="000000"/>
    </w:rPr>
  </w:style>
  <w:style w:type="paragraph" w:customStyle="1" w:styleId="RefItem1">
    <w:name w:val="Ref Item 1"/>
    <w:basedOn w:val="Normal"/>
    <w:rsid w:val="00FF2C3B"/>
    <w:pPr>
      <w:jc w:val="left"/>
    </w:pPr>
    <w:rPr>
      <w:color w:val="000000"/>
      <w:szCs w:val="24"/>
      <w:lang w:eastAsia="it-IT"/>
    </w:rPr>
  </w:style>
  <w:style w:type="paragraph" w:customStyle="1" w:styleId="RefTitre">
    <w:name w:val="Ref Titre"/>
    <w:basedOn w:val="Normal"/>
    <w:rsid w:val="00FF2C3B"/>
    <w:pPr>
      <w:jc w:val="left"/>
    </w:pPr>
    <w:rPr>
      <w:rFonts w:eastAsia="Times New Roman"/>
      <w:b/>
      <w:bCs/>
      <w:sz w:val="26"/>
      <w:szCs w:val="26"/>
    </w:rPr>
  </w:style>
  <w:style w:type="paragraph" w:customStyle="1" w:styleId="Header1">
    <w:name w:val="Header 1"/>
    <w:basedOn w:val="Header"/>
    <w:rsid w:val="00FF2C3B"/>
    <w:rPr>
      <w:b/>
      <w:sz w:val="24"/>
      <w:szCs w:val="24"/>
    </w:rPr>
  </w:style>
  <w:style w:type="character" w:customStyle="1" w:styleId="Pantone485">
    <w:name w:val="Pantone 485"/>
    <w:basedOn w:val="DefaultParagraphFont"/>
    <w:uiPriority w:val="1"/>
    <w:qFormat/>
    <w:rsid w:val="00FF2C3B"/>
    <w:rPr>
      <w:rFonts w:cs="Caecilia-Light"/>
      <w:color w:val="DC281E"/>
      <w:szCs w:val="16"/>
    </w:rPr>
  </w:style>
  <w:style w:type="character" w:customStyle="1" w:styleId="H1Char">
    <w:name w:val="H1 Char"/>
    <w:basedOn w:val="DefaultParagraphFont"/>
    <w:link w:val="H1"/>
    <w:rsid w:val="00FF2C3B"/>
    <w:rPr>
      <w:rFonts w:ascii="Arial" w:hAnsi="Arial" w:cs="Times New Roman"/>
      <w:b/>
      <w:sz w:val="40"/>
      <w:szCs w:val="52"/>
    </w:rPr>
  </w:style>
  <w:style w:type="table" w:customStyle="1" w:styleId="TableGray">
    <w:name w:val="Table Gray"/>
    <w:basedOn w:val="TableNormal"/>
    <w:uiPriority w:val="99"/>
    <w:rsid w:val="00FF2C3B"/>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F2C3B"/>
    <w:pPr>
      <w:numPr>
        <w:numId w:val="5"/>
      </w:numPr>
      <w:spacing w:before="120" w:after="120"/>
      <w:contextualSpacing w:val="0"/>
    </w:pPr>
    <w:rPr>
      <w:rFonts w:eastAsia="Cambria" w:cs="Arial"/>
    </w:rPr>
  </w:style>
  <w:style w:type="paragraph" w:customStyle="1" w:styleId="ListNumber1">
    <w:name w:val="List Number 1"/>
    <w:basedOn w:val="Normal"/>
    <w:rsid w:val="00FF2C3B"/>
    <w:pPr>
      <w:numPr>
        <w:ilvl w:val="1"/>
        <w:numId w:val="2"/>
      </w:numPr>
      <w:contextualSpacing/>
    </w:pPr>
    <w:rPr>
      <w:rFonts w:eastAsiaTheme="minorHAnsi" w:cstheme="minorHAnsi"/>
      <w:szCs w:val="22"/>
    </w:rPr>
  </w:style>
  <w:style w:type="paragraph" w:customStyle="1" w:styleId="NormalNo">
    <w:name w:val="Normal + No"/>
    <w:basedOn w:val="Normal"/>
    <w:qFormat/>
    <w:rsid w:val="00FF2C3B"/>
    <w:pPr>
      <w:numPr>
        <w:numId w:val="3"/>
      </w:numPr>
    </w:pPr>
    <w:rPr>
      <w:rFonts w:eastAsia="MS Mincho"/>
      <w:b/>
      <w:sz w:val="22"/>
    </w:rPr>
  </w:style>
  <w:style w:type="paragraph" w:customStyle="1" w:styleId="Bullet3">
    <w:name w:val="Bullet 3"/>
    <w:basedOn w:val="ListParagraph"/>
    <w:qFormat/>
    <w:rsid w:val="00FF2C3B"/>
    <w:pPr>
      <w:numPr>
        <w:numId w:val="6"/>
      </w:numPr>
      <w:spacing w:before="120" w:after="120"/>
      <w:ind w:right="425"/>
    </w:pPr>
    <w:rPr>
      <w:rFonts w:cs="Arial"/>
      <w:i/>
      <w:iCs/>
    </w:rPr>
  </w:style>
  <w:style w:type="paragraph" w:customStyle="1" w:styleId="Indent">
    <w:name w:val="Indent"/>
    <w:basedOn w:val="Normal"/>
    <w:qFormat/>
    <w:rsid w:val="00FF2C3B"/>
    <w:pPr>
      <w:ind w:left="567"/>
    </w:pPr>
    <w:rPr>
      <w:rFonts w:cs="Arial"/>
      <w:b/>
    </w:rPr>
  </w:style>
  <w:style w:type="paragraph" w:customStyle="1" w:styleId="TitreTableau">
    <w:name w:val="Titre Tableau"/>
    <w:basedOn w:val="Normal"/>
    <w:qFormat/>
    <w:rsid w:val="00FF2C3B"/>
    <w:pPr>
      <w:spacing w:before="120"/>
      <w:jc w:val="center"/>
    </w:pPr>
    <w:rPr>
      <w:rFonts w:cs="Arial"/>
      <w:b/>
      <w:bCs/>
      <w:color w:val="FFFFFF" w:themeColor="background1"/>
      <w:lang w:val="en-CA"/>
    </w:rPr>
  </w:style>
  <w:style w:type="paragraph" w:customStyle="1" w:styleId="BulletTableau">
    <w:name w:val="Bullet Tableau"/>
    <w:basedOn w:val="Bullet2"/>
    <w:qFormat/>
    <w:rsid w:val="00FF2C3B"/>
    <w:pPr>
      <w:keepNext/>
      <w:keepLines/>
      <w:framePr w:hSpace="141" w:wrap="around" w:vAnchor="text" w:hAnchor="margin" w:y="402"/>
      <w:numPr>
        <w:numId w:val="7"/>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3" ma:contentTypeDescription="Create a new document." ma:contentTypeScope="" ma:versionID="f96dd6b225e7ea86c2a79567dd8633ea">
  <xsd:schema xmlns:xsd="http://www.w3.org/2001/XMLSchema" xmlns:xs="http://www.w3.org/2001/XMLSchema" xmlns:p="http://schemas.microsoft.com/office/2006/metadata/properties" xmlns:ns2="ecdf2940-b007-46cf-880b-476a0172ef99" xmlns:ns3="1a16cf6d-3f2e-4367-886a-9e0f6dd637eb" targetNamespace="http://schemas.microsoft.com/office/2006/metadata/properties" ma:root="true" ma:fieldsID="75dd95fa157392b355de0e990c126366" ns2:_="" ns3:_="">
    <xsd:import namespace="ecdf2940-b007-46cf-880b-476a0172ef99"/>
    <xsd:import namespace="1a16cf6d-3f2e-4367-886a-9e0f6dd637eb"/>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df2940-b007-46cf-880b-476a0172ef99" xsi:nil="true"/>
  </documentManagement>
</p:properties>
</file>

<file path=customXml/itemProps1.xml><?xml version="1.0" encoding="utf-8"?>
<ds:datastoreItem xmlns:ds="http://schemas.openxmlformats.org/officeDocument/2006/customXml" ds:itemID="{4C94A382-4B80-4078-A59A-456ED266E9B7}"/>
</file>

<file path=customXml/itemProps2.xml><?xml version="1.0" encoding="utf-8"?>
<ds:datastoreItem xmlns:ds="http://schemas.openxmlformats.org/officeDocument/2006/customXml" ds:itemID="{2B8AC660-988F-4C68-BCC0-58E8E1F4024D}"/>
</file>

<file path=customXml/itemProps3.xml><?xml version="1.0" encoding="utf-8"?>
<ds:datastoreItem xmlns:ds="http://schemas.openxmlformats.org/officeDocument/2006/customXml" ds:itemID="{FD7D06EB-772E-43BE-BB1D-5FEDA43ECC91}"/>
</file>

<file path=docProps/app.xml><?xml version="1.0" encoding="utf-8"?>
<Properties xmlns="http://schemas.openxmlformats.org/officeDocument/2006/extended-properties" xmlns:vt="http://schemas.openxmlformats.org/officeDocument/2006/docPropsVTypes">
  <Template>ICRC_Template.dotx</Template>
  <TotalTime>0</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Claire DURHAM</cp:lastModifiedBy>
  <cp:revision>2</cp:revision>
  <cp:lastPrinted>2019-08-20T07:36:00Z</cp:lastPrinted>
  <dcterms:created xsi:type="dcterms:W3CDTF">2019-08-20T07:36:00Z</dcterms:created>
  <dcterms:modified xsi:type="dcterms:W3CDTF">2019-08-20T07:36:00Z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0x010100F5EA654584E1BC4E8609FEE23334A754</vt:lpwstr>
  </property>
</Properties>
</file>