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75E79" w14:textId="0BFDC049" w:rsidR="00571391" w:rsidRPr="00AF6D6B" w:rsidRDefault="00AF6D6B" w:rsidP="0030717A">
      <w:pPr>
        <w:pStyle w:val="H1"/>
        <w:rPr>
          <w:rFonts w:cs="Arial"/>
          <w:lang w:val="es-ES"/>
        </w:rPr>
      </w:pPr>
      <w:r w:rsidRPr="00AF6D6B">
        <w:rPr>
          <w:rFonts w:cs="Arial"/>
          <w:lang w:val="es-ES"/>
        </w:rPr>
        <w:t>Hoja de ruta para la planificación y la preparaci</w:t>
      </w:r>
      <w:r>
        <w:rPr>
          <w:rFonts w:cs="Arial"/>
          <w:lang w:val="es-ES"/>
        </w:rPr>
        <w:t xml:space="preserve">ón de evaluaciones de necesidades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2E70BA" w:rsidRPr="002E70BA" w14:paraId="16A7BBF1" w14:textId="77777777" w:rsidTr="001B48B3"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23FF" w14:textId="77777777" w:rsidR="002E70BA" w:rsidRPr="002E70BA" w:rsidRDefault="002E70BA" w:rsidP="002E70BA">
            <w:pPr>
              <w:keepNext/>
              <w:spacing w:before="144" w:after="48"/>
              <w:ind w:left="720"/>
              <w:contextualSpacing/>
              <w:jc w:val="center"/>
              <w:outlineLvl w:val="1"/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</w:pPr>
            <w:r w:rsidRPr="002E70BA"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  <w:t xml:space="preserve">EVALUACIÓN de necesidades </w:t>
            </w:r>
          </w:p>
        </w:tc>
      </w:tr>
      <w:tr w:rsidR="002E70BA" w:rsidRPr="002E70BA" w14:paraId="0E94F95D" w14:textId="77777777" w:rsidTr="001B48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B8E9" w14:textId="77777777" w:rsidR="002E70BA" w:rsidRPr="002E70BA" w:rsidRDefault="002E70BA" w:rsidP="002E70BA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</w:pPr>
            <w:r w:rsidRPr="002E70BA"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  <w:t xml:space="preserve">planificación y preparación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8A80" w14:textId="77777777" w:rsidR="002E70BA" w:rsidRPr="002E70BA" w:rsidRDefault="002E70BA" w:rsidP="002E70BA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2E70BA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a nivel de comunidad teniendo en cuenta aspectos relativos a PTE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31C3" w14:textId="77777777" w:rsidR="002E70BA" w:rsidRPr="002E70BA" w:rsidRDefault="002E70BA" w:rsidP="002E70BA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2E70BA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rápida del mercado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B079" w14:textId="77777777" w:rsidR="002E70BA" w:rsidRPr="002E70BA" w:rsidRDefault="002E70BA" w:rsidP="002E70BA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 w:rsidRPr="002E70BA"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Proveedores de servicios, capacidad de la organización y análisis de riesgos </w:t>
            </w:r>
          </w:p>
        </w:tc>
      </w:tr>
      <w:tr w:rsidR="002E70BA" w:rsidRPr="002E70BA" w14:paraId="147FB841" w14:textId="77777777" w:rsidTr="001B48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16D7" w14:textId="77777777" w:rsidR="002E70BA" w:rsidRPr="002E70BA" w:rsidRDefault="002E70BA" w:rsidP="002E70BA">
            <w:pPr>
              <w:spacing w:before="144" w:after="48"/>
              <w:ind w:left="720"/>
              <w:contextualSpacing/>
              <w:rPr>
                <w:lang w:val="es-ES"/>
              </w:rPr>
            </w:pPr>
            <w:r w:rsidRPr="002E70BA">
              <w:rPr>
                <w:lang w:val="es-ES"/>
              </w:rPr>
              <w:t xml:space="preserve">  </w:t>
            </w:r>
          </w:p>
          <w:p w14:paraId="1D8BF679" w14:textId="77777777" w:rsidR="002E70BA" w:rsidRPr="002E70BA" w:rsidRDefault="002E70BA" w:rsidP="002E70BA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Decisión inicial sobre el uso de PTE </w:t>
            </w:r>
          </w:p>
          <w:p w14:paraId="1D7B348F" w14:textId="77777777" w:rsidR="002E70BA" w:rsidRPr="002E70BA" w:rsidRDefault="002E70BA" w:rsidP="002E70BA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>Selección de las herramientas para la evaluación</w:t>
            </w:r>
          </w:p>
          <w:p w14:paraId="1A9C190F" w14:textId="77777777" w:rsidR="002E70BA" w:rsidRPr="002E70BA" w:rsidRDefault="002E70BA" w:rsidP="002E70BA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>Encontrar información secundaria relevante</w:t>
            </w:r>
          </w:p>
          <w:p w14:paraId="717A1662" w14:textId="77777777" w:rsidR="002E70BA" w:rsidRPr="002E70BA" w:rsidRDefault="002E70BA" w:rsidP="002E70BA">
            <w:pPr>
              <w:numPr>
                <w:ilvl w:val="0"/>
                <w:numId w:val="17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Mapeo de los actores/grupos interesados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7CF" w14:textId="77777777" w:rsidR="002E70BA" w:rsidRPr="002E70BA" w:rsidRDefault="002E70BA" w:rsidP="002E70BA">
            <w:pPr>
              <w:spacing w:before="144" w:after="48"/>
              <w:ind w:left="720"/>
              <w:contextualSpacing/>
              <w:rPr>
                <w:lang w:val="es-ES"/>
              </w:rPr>
            </w:pPr>
          </w:p>
          <w:p w14:paraId="346793EE" w14:textId="77777777" w:rsidR="002E70BA" w:rsidRPr="002E70BA" w:rsidRDefault="002E70BA" w:rsidP="002E70BA">
            <w:pPr>
              <w:numPr>
                <w:ilvl w:val="0"/>
                <w:numId w:val="18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Obtener información específica sobre entrega de efectivo en la comunidad </w:t>
            </w:r>
          </w:p>
          <w:p w14:paraId="04A2E250" w14:textId="77777777" w:rsidR="002E70BA" w:rsidRPr="002E70BA" w:rsidRDefault="002E70BA" w:rsidP="002E70BA">
            <w:pPr>
              <w:numPr>
                <w:ilvl w:val="0"/>
                <w:numId w:val="18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Entender el acceso a los mercados y a los servicios financieros </w:t>
            </w:r>
          </w:p>
          <w:p w14:paraId="77D0CA29" w14:textId="77777777" w:rsidR="002E70BA" w:rsidRPr="002E70BA" w:rsidRDefault="002E70BA" w:rsidP="002E70BA">
            <w:pPr>
              <w:numPr>
                <w:ilvl w:val="0"/>
                <w:numId w:val="18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Identificar y cuantificar las necesidades prioritarias </w:t>
            </w:r>
          </w:p>
          <w:p w14:paraId="1FE88274" w14:textId="77777777" w:rsidR="002E70BA" w:rsidRPr="002E70BA" w:rsidRDefault="002E70BA" w:rsidP="002E70BA">
            <w:pPr>
              <w:numPr>
                <w:ilvl w:val="0"/>
                <w:numId w:val="18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Consolidar los resultados de la información recogida a nivel de comunidad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63D9" w14:textId="77777777" w:rsidR="002E70BA" w:rsidRPr="002E70BA" w:rsidRDefault="002E70BA" w:rsidP="002E70BA">
            <w:pPr>
              <w:keepNext/>
              <w:numPr>
                <w:ilvl w:val="0"/>
                <w:numId w:val="19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Identificar los productos y los mercados principales </w:t>
            </w:r>
          </w:p>
          <w:p w14:paraId="22C04F28" w14:textId="77777777" w:rsidR="002E70BA" w:rsidRPr="002E70BA" w:rsidRDefault="002E70BA" w:rsidP="002E70BA">
            <w:pPr>
              <w:numPr>
                <w:ilvl w:val="0"/>
                <w:numId w:val="19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>Recabar información sobre mercados</w:t>
            </w:r>
          </w:p>
          <w:p w14:paraId="46A96468" w14:textId="77777777" w:rsidR="002E70BA" w:rsidRPr="002E70BA" w:rsidRDefault="002E70BA" w:rsidP="002E70BA">
            <w:pPr>
              <w:numPr>
                <w:ilvl w:val="0"/>
                <w:numId w:val="19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>Consolidar los hallazgos sobre los mercados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06E" w14:textId="77777777" w:rsidR="002E70BA" w:rsidRPr="002E70BA" w:rsidRDefault="002E70BA" w:rsidP="002E70BA">
            <w:pPr>
              <w:keepNext/>
              <w:numPr>
                <w:ilvl w:val="0"/>
                <w:numId w:val="20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Evaluar los servicios financieros </w:t>
            </w:r>
          </w:p>
          <w:p w14:paraId="54B20651" w14:textId="77777777" w:rsidR="002E70BA" w:rsidRPr="002E70BA" w:rsidRDefault="002E70BA" w:rsidP="002E70BA">
            <w:pPr>
              <w:numPr>
                <w:ilvl w:val="0"/>
                <w:numId w:val="20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>Evaluar la capacidad organizativa</w:t>
            </w:r>
          </w:p>
          <w:p w14:paraId="4CA94317" w14:textId="77777777" w:rsidR="002E70BA" w:rsidRPr="002E70BA" w:rsidRDefault="002E70BA" w:rsidP="002E70BA">
            <w:pPr>
              <w:numPr>
                <w:ilvl w:val="0"/>
                <w:numId w:val="20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 w:rsidRPr="002E70BA">
              <w:rPr>
                <w:rFonts w:eastAsiaTheme="minorHAnsi" w:cstheme="minorBidi"/>
                <w:szCs w:val="22"/>
                <w:lang w:val="es-ES"/>
              </w:rPr>
              <w:t xml:space="preserve">Analizar los riesgos </w:t>
            </w:r>
          </w:p>
        </w:tc>
      </w:tr>
    </w:tbl>
    <w:p w14:paraId="2978E197" w14:textId="08AB3CB4" w:rsidR="00571391" w:rsidRDefault="00571391" w:rsidP="008A252B">
      <w:pPr>
        <w:ind w:left="-170"/>
        <w:rPr>
          <w:lang w:val="es-ES"/>
        </w:rPr>
      </w:pPr>
    </w:p>
    <w:p w14:paraId="2C44726D" w14:textId="182B4FEC" w:rsidR="002E70BA" w:rsidRDefault="002E70BA" w:rsidP="008A252B">
      <w:pPr>
        <w:ind w:left="-170"/>
        <w:rPr>
          <w:lang w:val="es-ES"/>
        </w:rPr>
      </w:pPr>
    </w:p>
    <w:p w14:paraId="5E7C8885" w14:textId="5793263F" w:rsidR="00E66A9A" w:rsidRPr="00027916" w:rsidRDefault="00E66A9A" w:rsidP="00051D33">
      <w:pPr>
        <w:pStyle w:val="Heading2"/>
        <w:rPr>
          <w:rFonts w:cs="Arial"/>
          <w:lang w:val="es-ES"/>
        </w:rPr>
      </w:pPr>
      <w:bookmarkStart w:id="0" w:name="_GoBack"/>
      <w:bookmarkEnd w:id="0"/>
      <w:r w:rsidRPr="00027916">
        <w:rPr>
          <w:rFonts w:cs="Arial"/>
          <w:lang w:val="es-ES"/>
        </w:rPr>
        <w:t>INTRODUC</w:t>
      </w:r>
      <w:r w:rsidR="00AF6D6B" w:rsidRPr="00027916">
        <w:rPr>
          <w:rFonts w:cs="Arial"/>
          <w:lang w:val="es-ES"/>
        </w:rPr>
        <w:t>CIó</w:t>
      </w:r>
      <w:r w:rsidRPr="00027916">
        <w:rPr>
          <w:rFonts w:cs="Arial"/>
          <w:lang w:val="es-ES"/>
        </w:rPr>
        <w:t>N</w:t>
      </w:r>
    </w:p>
    <w:p w14:paraId="1307A257" w14:textId="16D2B1CD" w:rsidR="004B1EBE" w:rsidRPr="004B1EBE" w:rsidRDefault="004B1EBE" w:rsidP="004B1EBE">
      <w:pPr>
        <w:rPr>
          <w:lang w:val="es-ES"/>
        </w:rPr>
      </w:pPr>
      <w:r w:rsidRPr="004B1EBE">
        <w:rPr>
          <w:lang w:val="es-ES"/>
        </w:rPr>
        <w:t xml:space="preserve">Para poder considerar la entrega de efectivo entre las posibles modalidades y mecanismos de intervención, hay que asegurarse que la evaluación de necesidades tiene en cuenta aspectos relativos a la entrega de efectivo. Esta hoja de ruta ayuda a planificar y preparar la evaluación teniendo en cuenta los aspectos específicos relacionados con la entrega de efectivo. </w:t>
      </w:r>
    </w:p>
    <w:p w14:paraId="26EBB188" w14:textId="2F7A40D0" w:rsidR="004B1EBE" w:rsidRPr="004B1EBE" w:rsidRDefault="004B1EBE" w:rsidP="004B1EBE">
      <w:pPr>
        <w:rPr>
          <w:lang w:val="es-ES"/>
        </w:rPr>
      </w:pPr>
      <w:r w:rsidRPr="004B1EBE">
        <w:rPr>
          <w:lang w:val="es-ES"/>
        </w:rPr>
        <w:t>A efectos de la Caja de herramientas para PTE, la planificación de la evaluación y la preparación se divide en cuatro sub-etapas. La primera sub-etapa sirve para apoyar las decisiones iniciales sobre la viabilidad de entrega de efectivo. La segunda sub-etapa presenta los distintos enfoques y herramientas de evaluación, la mayoría de los cuales no son específicos de entrega de efectivo, por lo que los aspectos relativos a la entrega de efectivo deberán incorporarse a lo largo del proceso de evaluación. Las directrices de evaluación más comunes y sus herramientas más relevantes se pueden encontrar en los documentos de referencia. La tercera sub-etapa da a conocer las fuentes de información secundaria que pueden ser relevantes para la entrega de dinero en efectivo en las interve</w:t>
      </w:r>
      <w:r w:rsidR="00030813">
        <w:rPr>
          <w:lang w:val="es-ES"/>
        </w:rPr>
        <w:t xml:space="preserve">nciones de emergencia. La última </w:t>
      </w:r>
      <w:r w:rsidRPr="004B1EBE">
        <w:rPr>
          <w:lang w:val="es-ES"/>
        </w:rPr>
        <w:t>sub-</w:t>
      </w:r>
      <w:r w:rsidR="00030813">
        <w:rPr>
          <w:lang w:val="es-ES"/>
        </w:rPr>
        <w:t>etapa</w:t>
      </w:r>
      <w:r w:rsidRPr="004B1EBE">
        <w:rPr>
          <w:lang w:val="es-ES"/>
        </w:rPr>
        <w:t xml:space="preserve"> ayuda a identificar </w:t>
      </w:r>
      <w:r w:rsidR="00030813">
        <w:rPr>
          <w:lang w:val="es-ES"/>
        </w:rPr>
        <w:t xml:space="preserve">a </w:t>
      </w:r>
      <w:r w:rsidRPr="004B1EBE">
        <w:rPr>
          <w:lang w:val="es-ES"/>
        </w:rPr>
        <w:t xml:space="preserve">los principales </w:t>
      </w:r>
      <w:r w:rsidR="00030813">
        <w:rPr>
          <w:lang w:val="es-ES"/>
        </w:rPr>
        <w:t xml:space="preserve">actores </w:t>
      </w:r>
      <w:r w:rsidRPr="004B1EBE">
        <w:rPr>
          <w:lang w:val="es-ES"/>
        </w:rPr>
        <w:t xml:space="preserve">interesados y </w:t>
      </w:r>
      <w:r w:rsidR="00030813">
        <w:rPr>
          <w:lang w:val="es-ES"/>
        </w:rPr>
        <w:t xml:space="preserve">a </w:t>
      </w:r>
      <w:r w:rsidRPr="004B1EBE">
        <w:rPr>
          <w:lang w:val="es-ES"/>
        </w:rPr>
        <w:t>recopilar información sobre entrega en efectivo específica de ellos.</w:t>
      </w:r>
    </w:p>
    <w:p w14:paraId="094599CA" w14:textId="1B6B0F9A" w:rsidR="00E66A9A" w:rsidRPr="004B1EBE" w:rsidRDefault="004B1EBE" w:rsidP="004B1EBE">
      <w:pPr>
        <w:rPr>
          <w:lang w:val="es-ES"/>
        </w:rPr>
      </w:pPr>
      <w:r w:rsidRPr="004B1EBE">
        <w:rPr>
          <w:lang w:val="es-ES"/>
        </w:rPr>
        <w:lastRenderedPageBreak/>
        <w:t xml:space="preserve">En una situación de emergencia, no siempre </w:t>
      </w:r>
      <w:r w:rsidR="00030813">
        <w:rPr>
          <w:lang w:val="es-ES"/>
        </w:rPr>
        <w:t xml:space="preserve">se </w:t>
      </w:r>
      <w:r w:rsidRPr="004B1EBE">
        <w:rPr>
          <w:lang w:val="es-ES"/>
        </w:rPr>
        <w:t>va a ser capaz de utilizar todas las herramientas sugeridas, pero s</w:t>
      </w:r>
      <w:r w:rsidR="00030813">
        <w:rPr>
          <w:lang w:val="es-ES"/>
        </w:rPr>
        <w:t>e debe, al menos, cumplir con lo</w:t>
      </w:r>
      <w:r w:rsidRPr="004B1EBE">
        <w:rPr>
          <w:lang w:val="es-ES"/>
        </w:rPr>
        <w:t xml:space="preserve">s </w:t>
      </w:r>
      <w:r w:rsidR="00030813">
        <w:rPr>
          <w:lang w:val="es-ES"/>
        </w:rPr>
        <w:t>estándares mínimos establecido</w:t>
      </w:r>
      <w:r w:rsidRPr="004B1EBE">
        <w:rPr>
          <w:lang w:val="es-ES"/>
        </w:rPr>
        <w:t>s para el proceso</w:t>
      </w:r>
      <w:r w:rsidR="00E66A9A" w:rsidRPr="004B1EBE">
        <w:rPr>
          <w:lang w:val="es-ES"/>
        </w:rPr>
        <w:t xml:space="preserve"> </w:t>
      </w:r>
      <w:r w:rsidR="00AA24BB" w:rsidRPr="004B1EBE">
        <w:rPr>
          <w:lang w:val="es-ES"/>
        </w:rPr>
        <w:t xml:space="preserve"> </w:t>
      </w:r>
    </w:p>
    <w:p w14:paraId="4E297FEC" w14:textId="5BFE0EB8" w:rsidR="00E66A9A" w:rsidRPr="00051D33" w:rsidRDefault="004B1EBE" w:rsidP="00051D33">
      <w:pPr>
        <w:pStyle w:val="Heading2"/>
      </w:pPr>
      <w:r>
        <w:t>ESTÁ</w:t>
      </w:r>
      <w:r w:rsidRPr="00051D33">
        <w:t>NDARD</w:t>
      </w:r>
      <w:r>
        <w:t>e</w:t>
      </w:r>
      <w:r w:rsidRPr="00051D33">
        <w:t xml:space="preserve">S </w:t>
      </w:r>
      <w:r>
        <w:t>Mí</w:t>
      </w:r>
      <w:r w:rsidR="00E66A9A" w:rsidRPr="00051D33">
        <w:t>NIM</w:t>
      </w:r>
      <w:r>
        <w:t xml:space="preserve">os </w:t>
      </w:r>
    </w:p>
    <w:p w14:paraId="291D5AA6" w14:textId="116A7298" w:rsidR="00234CB3" w:rsidRPr="00027916" w:rsidRDefault="00B756D6" w:rsidP="00B756D6">
      <w:pPr>
        <w:pStyle w:val="Bullet1"/>
        <w:rPr>
          <w:lang w:val="es-ES"/>
        </w:rPr>
      </w:pPr>
      <w:r w:rsidRPr="00027916">
        <w:rPr>
          <w:lang w:val="es-ES"/>
        </w:rPr>
        <w:t>Las decisiones sobre la viabilidad de dinero en efectivo en el período inmediatamente posterior a un choque deben ser tomadas por personal con experiencia y conocimientos técnicos.</w:t>
      </w:r>
    </w:p>
    <w:p w14:paraId="662B6AF1" w14:textId="01A55CE4" w:rsidR="00E66A9A" w:rsidRPr="00917BCE" w:rsidRDefault="00917BCE" w:rsidP="00917BCE">
      <w:pPr>
        <w:pStyle w:val="Bullet1"/>
        <w:rPr>
          <w:lang w:val="es-ES"/>
        </w:rPr>
      </w:pPr>
      <w:r w:rsidRPr="00917BCE">
        <w:rPr>
          <w:lang w:val="es-ES"/>
        </w:rPr>
        <w:t>Cualquier decisión sobre la viabilidad inmediata de dinero en efectivo debe ser confirmada por la posterior evaluación y análisis de la intervención.</w:t>
      </w:r>
      <w:r w:rsidR="00234CB3" w:rsidRPr="00917BCE">
        <w:rPr>
          <w:lang w:val="es-ES"/>
        </w:rPr>
        <w:t xml:space="preserve"> </w:t>
      </w:r>
    </w:p>
    <w:p w14:paraId="2AB29B2F" w14:textId="120AD06D" w:rsidR="00234CB3" w:rsidRPr="00027916" w:rsidRDefault="00917BCE" w:rsidP="005B3222">
      <w:pPr>
        <w:pStyle w:val="Bullet1"/>
        <w:rPr>
          <w:lang w:val="es-ES"/>
        </w:rPr>
      </w:pPr>
      <w:r>
        <w:rPr>
          <w:lang w:val="es-ES"/>
        </w:rPr>
        <w:t>El enfoque de evaluación/</w:t>
      </w:r>
      <w:r w:rsidRPr="00917BCE">
        <w:rPr>
          <w:lang w:val="es-ES"/>
        </w:rPr>
        <w:t>herramienta debe ser elegido sobre la base d</w:t>
      </w:r>
      <w:r>
        <w:rPr>
          <w:lang w:val="es-ES"/>
        </w:rPr>
        <w:t>e las preferencias de la organización</w:t>
      </w:r>
      <w:r w:rsidRPr="00917BCE">
        <w:rPr>
          <w:lang w:val="es-ES"/>
        </w:rPr>
        <w:t>, el sector y la profundidad del análisis y la fase de la emergencia</w:t>
      </w:r>
      <w:r>
        <w:rPr>
          <w:lang w:val="es-ES"/>
        </w:rPr>
        <w:t xml:space="preserve">. </w:t>
      </w:r>
      <w:r w:rsidR="005B3222">
        <w:rPr>
          <w:lang w:val="es-ES"/>
        </w:rPr>
        <w:t xml:space="preserve">Cuando </w:t>
      </w:r>
      <w:r w:rsidR="005B3222" w:rsidRPr="005B3222">
        <w:rPr>
          <w:lang w:val="es-ES"/>
        </w:rPr>
        <w:t xml:space="preserve">el enfoque/ herramientas elegidas no </w:t>
      </w:r>
      <w:r w:rsidR="005B3222">
        <w:rPr>
          <w:lang w:val="es-ES"/>
        </w:rPr>
        <w:t>tienen en cuenta específicamente la</w:t>
      </w:r>
      <w:r w:rsidR="00030813">
        <w:rPr>
          <w:lang w:val="es-ES"/>
        </w:rPr>
        <w:t>s transferencias</w:t>
      </w:r>
      <w:r w:rsidR="005B3222">
        <w:rPr>
          <w:lang w:val="es-ES"/>
        </w:rPr>
        <w:t xml:space="preserve"> de efectivo</w:t>
      </w:r>
      <w:r w:rsidR="005B3222" w:rsidRPr="005B3222">
        <w:rPr>
          <w:lang w:val="es-ES"/>
        </w:rPr>
        <w:t xml:space="preserve">, </w:t>
      </w:r>
      <w:r w:rsidR="005B3222">
        <w:rPr>
          <w:lang w:val="es-ES"/>
        </w:rPr>
        <w:t xml:space="preserve">entonces </w:t>
      </w:r>
      <w:r w:rsidR="005B3222" w:rsidRPr="005B3222">
        <w:rPr>
          <w:lang w:val="es-ES"/>
        </w:rPr>
        <w:t>deben</w:t>
      </w:r>
      <w:r w:rsidR="00030813">
        <w:rPr>
          <w:lang w:val="es-ES"/>
        </w:rPr>
        <w:t xml:space="preserve"> integrarse temas específicos sobre transferencias de</w:t>
      </w:r>
      <w:r w:rsidR="005B3222" w:rsidRPr="005B3222">
        <w:rPr>
          <w:lang w:val="es-ES"/>
        </w:rPr>
        <w:t xml:space="preserve"> efectivo. </w:t>
      </w:r>
    </w:p>
    <w:p w14:paraId="20F828AD" w14:textId="389D734F" w:rsidR="00234CB3" w:rsidRPr="005B3222" w:rsidRDefault="005B3222" w:rsidP="005B3222">
      <w:pPr>
        <w:pStyle w:val="Bullet1"/>
        <w:rPr>
          <w:lang w:val="es-ES"/>
        </w:rPr>
      </w:pPr>
      <w:r w:rsidRPr="005B3222">
        <w:rPr>
          <w:lang w:val="es-ES"/>
        </w:rPr>
        <w:t>La informaci</w:t>
      </w:r>
      <w:r>
        <w:rPr>
          <w:lang w:val="es-ES"/>
        </w:rPr>
        <w:t>ón secundaria e</w:t>
      </w:r>
      <w:r w:rsidRPr="005B3222">
        <w:rPr>
          <w:lang w:val="es-ES"/>
        </w:rPr>
        <w:t xml:space="preserve">specífica </w:t>
      </w:r>
      <w:r w:rsidR="00030813">
        <w:rPr>
          <w:lang w:val="es-ES"/>
        </w:rPr>
        <w:t>sobre transferencias de</w:t>
      </w:r>
      <w:r>
        <w:rPr>
          <w:lang w:val="es-ES"/>
        </w:rPr>
        <w:t xml:space="preserve"> efectivo </w:t>
      </w:r>
      <w:r w:rsidRPr="005B3222">
        <w:rPr>
          <w:lang w:val="es-ES"/>
        </w:rPr>
        <w:t>debe ser recogid</w:t>
      </w:r>
      <w:r>
        <w:rPr>
          <w:lang w:val="es-ES"/>
        </w:rPr>
        <w:t>a</w:t>
      </w:r>
      <w:r w:rsidRPr="005B3222">
        <w:rPr>
          <w:lang w:val="es-ES"/>
        </w:rPr>
        <w:t xml:space="preserve"> y analizad</w:t>
      </w:r>
      <w:r>
        <w:rPr>
          <w:lang w:val="es-ES"/>
        </w:rPr>
        <w:t>a</w:t>
      </w:r>
      <w:r w:rsidRPr="005B3222">
        <w:rPr>
          <w:lang w:val="es-ES"/>
        </w:rPr>
        <w:t xml:space="preserve"> antes de planificar la recolección de datos primarios.</w:t>
      </w:r>
    </w:p>
    <w:p w14:paraId="6B3D3D14" w14:textId="44F52328" w:rsidR="00234CB3" w:rsidRPr="005B3222" w:rsidRDefault="005B3222" w:rsidP="005B3222">
      <w:pPr>
        <w:pStyle w:val="Bullet1"/>
        <w:rPr>
          <w:lang w:val="es-ES"/>
        </w:rPr>
      </w:pPr>
      <w:r>
        <w:rPr>
          <w:lang w:val="es-ES"/>
        </w:rPr>
        <w:t xml:space="preserve">En el mapeo y </w:t>
      </w:r>
      <w:r w:rsidRPr="005B3222">
        <w:rPr>
          <w:lang w:val="es-ES"/>
        </w:rPr>
        <w:t>el análisis de l</w:t>
      </w:r>
      <w:r w:rsidR="00030813">
        <w:rPr>
          <w:lang w:val="es-ES"/>
        </w:rPr>
        <w:t>os principales actores/grupos interesados</w:t>
      </w:r>
      <w:r w:rsidRPr="005B3222">
        <w:rPr>
          <w:lang w:val="es-ES"/>
        </w:rPr>
        <w:t xml:space="preserve"> </w:t>
      </w:r>
      <w:r>
        <w:rPr>
          <w:lang w:val="es-ES"/>
        </w:rPr>
        <w:t xml:space="preserve">se deben integrar aspectos relativos a la entrega de efectivo. </w:t>
      </w:r>
      <w:r w:rsidR="00D13FF3" w:rsidRPr="005B3222">
        <w:rPr>
          <w:lang w:val="es-ES"/>
        </w:rPr>
        <w:t xml:space="preserve"> </w:t>
      </w:r>
    </w:p>
    <w:p w14:paraId="36BC10D5" w14:textId="067F827B" w:rsidR="00A22FB8" w:rsidRPr="004B1EBE" w:rsidRDefault="004B1EBE" w:rsidP="00542794">
      <w:pPr>
        <w:pStyle w:val="Heading2"/>
        <w:rPr>
          <w:lang w:val="es-ES"/>
        </w:rPr>
      </w:pPr>
      <w:r w:rsidRPr="004B1EBE">
        <w:rPr>
          <w:lang w:val="es-ES"/>
        </w:rPr>
        <w:t xml:space="preserve">SUB-ETAPAS Y HERRAMIENTAS </w:t>
      </w:r>
    </w:p>
    <w:p w14:paraId="67DE8542" w14:textId="17EEA0E0" w:rsidR="00E66A9A" w:rsidRDefault="004B1EBE" w:rsidP="00542794">
      <w:pPr>
        <w:pStyle w:val="Heading3"/>
        <w:rPr>
          <w:lang w:val="es-ES"/>
        </w:rPr>
      </w:pPr>
      <w:r>
        <w:rPr>
          <w:lang w:val="es-ES"/>
        </w:rPr>
        <w:t>D</w:t>
      </w:r>
      <w:r w:rsidRPr="004B1EBE">
        <w:rPr>
          <w:lang w:val="es-ES"/>
        </w:rPr>
        <w:t>ecisión</w:t>
      </w:r>
      <w:r w:rsidR="00551FBB" w:rsidRPr="004B1EBE">
        <w:rPr>
          <w:lang w:val="es-ES"/>
        </w:rPr>
        <w:t xml:space="preserve"> </w:t>
      </w:r>
      <w:r w:rsidR="00030813">
        <w:rPr>
          <w:lang w:val="es-ES"/>
        </w:rPr>
        <w:t>i</w:t>
      </w:r>
      <w:r w:rsidRPr="004B1EBE">
        <w:rPr>
          <w:lang w:val="es-ES"/>
        </w:rPr>
        <w:t>nicial</w:t>
      </w:r>
      <w:r>
        <w:rPr>
          <w:lang w:val="es-ES"/>
        </w:rPr>
        <w:t xml:space="preserve"> sobre uso de efectivo </w:t>
      </w:r>
    </w:p>
    <w:p w14:paraId="6959E600" w14:textId="30D2754C" w:rsidR="003E6E75" w:rsidRPr="003E6E75" w:rsidRDefault="003E6E75" w:rsidP="003E6E75">
      <w:pPr>
        <w:rPr>
          <w:lang w:val="es-ES"/>
        </w:rPr>
      </w:pPr>
      <w:r w:rsidRPr="003E6E75">
        <w:rPr>
          <w:lang w:val="es-ES"/>
        </w:rPr>
        <w:t>Las primeras decisiones sobre la forma de responder a una emergencia repentina se hacen inmediatamente después del choque. Por lo general, los llamamientos de emergencia se emiten en cuestión de horas después de que una emergencia grave o desastre se haya producido, y deben proporcionar alguna indicación sobre cómo se van a cubrir las necesidades iniciales. Esto requiere una decisión a corto plazo sobre si las modalidades basadas en efectivo se van a utilizar para cubrir las necesidades inmediatas. Esta decisión debe ser tomada por personal con conocimientos técnicos y experiencia (generalmente un especialista senior en entrega de efectivo en emergencias o mercado). Entre las herramientas de las sub-etapas, se encuentra una lista de verificación que puede apoyar esta decisión inicial.</w:t>
      </w:r>
    </w:p>
    <w:p w14:paraId="38D97315" w14:textId="7FA77756" w:rsidR="003E6E75" w:rsidRPr="003E6E75" w:rsidRDefault="003E6E75" w:rsidP="003E6E75">
      <w:pPr>
        <w:rPr>
          <w:lang w:val="es-ES"/>
        </w:rPr>
      </w:pPr>
      <w:r w:rsidRPr="003E6E75">
        <w:rPr>
          <w:lang w:val="es-ES"/>
        </w:rPr>
        <w:t>El buen uso de la lista de verificación dependerá de la comprensión del contexto, la capacidad de la organización y de sus socios, y los efectos inmediatos del choque en la población y la infraestructura. Esta información puede ser obtenida directamente durante las visi</w:t>
      </w:r>
      <w:r w:rsidR="00030813">
        <w:rPr>
          <w:lang w:val="es-ES"/>
        </w:rPr>
        <w:t>tas de campo iniciales, o tomada</w:t>
      </w:r>
      <w:r w:rsidRPr="003E6E75">
        <w:rPr>
          <w:lang w:val="es-ES"/>
        </w:rPr>
        <w:t xml:space="preserve"> de los pla</w:t>
      </w:r>
      <w:r w:rsidR="00030813">
        <w:rPr>
          <w:lang w:val="es-ES"/>
        </w:rPr>
        <w:t xml:space="preserve">nes de contingencia nacionales </w:t>
      </w:r>
      <w:r w:rsidRPr="003E6E75">
        <w:rPr>
          <w:lang w:val="es-ES"/>
        </w:rPr>
        <w:t>para PTE y de las reuniones de coordinación.</w:t>
      </w:r>
    </w:p>
    <w:p w14:paraId="4EE371E4" w14:textId="6F080A55" w:rsidR="003E6E75" w:rsidRPr="003E6E75" w:rsidRDefault="003E6E75" w:rsidP="003E6E75">
      <w:pPr>
        <w:rPr>
          <w:lang w:val="es-ES"/>
        </w:rPr>
      </w:pPr>
      <w:r w:rsidRPr="003E6E75">
        <w:rPr>
          <w:lang w:val="es-ES"/>
        </w:rPr>
        <w:t>Es importante tener en cuenta que, independientemente de la decisión inmediata, sólo una evaluación posterior</w:t>
      </w:r>
      <w:r w:rsidR="00030813">
        <w:rPr>
          <w:lang w:val="es-ES"/>
        </w:rPr>
        <w:t>,</w:t>
      </w:r>
      <w:r w:rsidRPr="003E6E75">
        <w:rPr>
          <w:lang w:val="es-ES"/>
        </w:rPr>
        <w:t xml:space="preserve"> seguida del análisis de las posibles intervenciones</w:t>
      </w:r>
      <w:r w:rsidR="00030813">
        <w:rPr>
          <w:lang w:val="es-ES"/>
        </w:rPr>
        <w:t>,</w:t>
      </w:r>
      <w:r w:rsidRPr="003E6E75">
        <w:rPr>
          <w:lang w:val="es-ES"/>
        </w:rPr>
        <w:t xml:space="preserve"> puede confirmar si un PTE será la mejor opción para satisfacer las necesidades de la población afectada en las siguientes fases.</w:t>
      </w:r>
    </w:p>
    <w:p w14:paraId="7A4277D1" w14:textId="6A4D9F97" w:rsidR="002A76ED" w:rsidRDefault="003E6E75" w:rsidP="00542794">
      <w:pPr>
        <w:pStyle w:val="Heading3"/>
        <w:rPr>
          <w:lang w:val="es-ES"/>
        </w:rPr>
      </w:pPr>
      <w:r w:rsidRPr="003E6E75">
        <w:rPr>
          <w:lang w:val="es-ES"/>
        </w:rPr>
        <w:t xml:space="preserve">Selección de </w:t>
      </w:r>
      <w:r w:rsidR="008256FD">
        <w:rPr>
          <w:lang w:val="es-ES"/>
        </w:rPr>
        <w:t>las herramientas para la evaluaci</w:t>
      </w:r>
      <w:r>
        <w:rPr>
          <w:lang w:val="es-ES"/>
        </w:rPr>
        <w:t xml:space="preserve">ón </w:t>
      </w:r>
    </w:p>
    <w:p w14:paraId="75901896" w14:textId="6ECD5D29" w:rsidR="008256FD" w:rsidRPr="008256FD" w:rsidRDefault="008256FD" w:rsidP="008256FD">
      <w:pPr>
        <w:rPr>
          <w:lang w:val="es-ES"/>
        </w:rPr>
      </w:pPr>
      <w:r w:rsidRPr="008256FD">
        <w:rPr>
          <w:lang w:val="es-ES"/>
        </w:rPr>
        <w:t>Al planear y prepararse para una evaluación, una de las primeras cosas que hay que hacer es decidir qué enfoque y herramientas se van a utilizar. En las herramientas de las sub-etapas, se encuentra una tabla resumen de las herramientas de evaluación más utilizadas, con una breve descripción de cada herramienta, la información sobre el momento ideal para usarlo, en qué sector, y si tiene en cuenta las especificidades de la entrega en efectivo o no. Como se puede ver, la mayoría de las herramientas de evaluación disponibles no tienen en cuenta aspectos específicos sobre efectivo; por lo tanto, es probable que se tenga que integrar la información específica sobre efectivo en ellos, o llevar a cabo análisis complementarios específicos sobre efectivo. Se debe estar preparado para añadir preguntas sobre efectivo a herramientas multisectoriales existentes y concebir preguntas específicas sobre efectivo para sectores como alojamiento, agua, saneamiento e higiene. En todos los casos, hay que tener en cuenta los mercados de productos y utilizar las herramientas de evaluación de mercado de la Cruz Roja para los productos claramente identificados y para los proveedores de servicios financieros</w:t>
      </w:r>
    </w:p>
    <w:p w14:paraId="67A139E3" w14:textId="2BC15BC2" w:rsidR="00551FBB" w:rsidRPr="008256FD" w:rsidRDefault="008256FD" w:rsidP="00542794">
      <w:pPr>
        <w:pStyle w:val="Heading3"/>
        <w:rPr>
          <w:lang w:val="es-ES"/>
        </w:rPr>
      </w:pPr>
      <w:r w:rsidRPr="008256FD">
        <w:rPr>
          <w:lang w:val="es-ES"/>
        </w:rPr>
        <w:t>Encontrar información secundaria relevante</w:t>
      </w:r>
    </w:p>
    <w:p w14:paraId="4662D53B" w14:textId="06686486" w:rsidR="008256FD" w:rsidRPr="008256FD" w:rsidRDefault="008256FD" w:rsidP="00542794">
      <w:pPr>
        <w:rPr>
          <w:lang w:val="es-ES"/>
        </w:rPr>
      </w:pPr>
      <w:r w:rsidRPr="008256FD">
        <w:rPr>
          <w:lang w:val="es-ES"/>
        </w:rPr>
        <w:t xml:space="preserve">Antes de planificar la </w:t>
      </w:r>
      <w:r>
        <w:rPr>
          <w:lang w:val="es-ES"/>
        </w:rPr>
        <w:t>recopilación de información primaria</w:t>
      </w:r>
      <w:r w:rsidRPr="008256FD">
        <w:rPr>
          <w:lang w:val="es-ES"/>
        </w:rPr>
        <w:t xml:space="preserve">, se debe comprobar si </w:t>
      </w:r>
      <w:r>
        <w:rPr>
          <w:lang w:val="es-ES"/>
        </w:rPr>
        <w:t xml:space="preserve">existe información secundaria </w:t>
      </w:r>
      <w:r w:rsidRPr="008256FD">
        <w:rPr>
          <w:lang w:val="es-ES"/>
        </w:rPr>
        <w:t>específica</w:t>
      </w:r>
      <w:r>
        <w:rPr>
          <w:lang w:val="es-ES"/>
        </w:rPr>
        <w:t xml:space="preserve"> de entrega de efectivo</w:t>
      </w:r>
      <w:r w:rsidRPr="008256FD">
        <w:rPr>
          <w:lang w:val="es-ES"/>
        </w:rPr>
        <w:t>. Los datos secundarios pueden ser recogidos a partir de un</w:t>
      </w:r>
      <w:r>
        <w:rPr>
          <w:lang w:val="es-ES"/>
        </w:rPr>
        <w:t>a</w:t>
      </w:r>
      <w:r w:rsidRPr="008256FD">
        <w:rPr>
          <w:lang w:val="es-ES"/>
        </w:rPr>
        <w:t xml:space="preserve"> </w:t>
      </w:r>
      <w:r>
        <w:rPr>
          <w:lang w:val="es-ES"/>
        </w:rPr>
        <w:t xml:space="preserve">variedad </w:t>
      </w:r>
      <w:r w:rsidRPr="008256FD">
        <w:rPr>
          <w:lang w:val="es-ES"/>
        </w:rPr>
        <w:t xml:space="preserve">de sitios, entre ellos a partir de documentos de preparación. Entre las herramientas de </w:t>
      </w:r>
      <w:r>
        <w:rPr>
          <w:lang w:val="es-ES"/>
        </w:rPr>
        <w:t xml:space="preserve">las </w:t>
      </w:r>
      <w:r w:rsidRPr="008256FD">
        <w:rPr>
          <w:lang w:val="es-ES"/>
        </w:rPr>
        <w:t>sub-</w:t>
      </w:r>
      <w:r>
        <w:rPr>
          <w:lang w:val="es-ES"/>
        </w:rPr>
        <w:lastRenderedPageBreak/>
        <w:t>etapas</w:t>
      </w:r>
      <w:r w:rsidRPr="008256FD">
        <w:rPr>
          <w:lang w:val="es-ES"/>
        </w:rPr>
        <w:t xml:space="preserve">, </w:t>
      </w:r>
      <w:r>
        <w:rPr>
          <w:lang w:val="es-ES"/>
        </w:rPr>
        <w:t>se e</w:t>
      </w:r>
      <w:r w:rsidRPr="008256FD">
        <w:rPr>
          <w:lang w:val="es-ES"/>
        </w:rPr>
        <w:t>nc</w:t>
      </w:r>
      <w:r w:rsidR="003C21C1">
        <w:rPr>
          <w:lang w:val="es-ES"/>
        </w:rPr>
        <w:t xml:space="preserve">uentra </w:t>
      </w:r>
      <w:r w:rsidRPr="008256FD">
        <w:rPr>
          <w:lang w:val="es-ES"/>
        </w:rPr>
        <w:t xml:space="preserve">una lista de fuentes de datos secundarios. </w:t>
      </w:r>
      <w:r w:rsidR="003C21C1">
        <w:rPr>
          <w:lang w:val="es-ES"/>
        </w:rPr>
        <w:t>Es importante recordar que por lo general existe un sistema de control en el país del precio</w:t>
      </w:r>
      <w:r w:rsidRPr="008256FD">
        <w:rPr>
          <w:lang w:val="es-ES"/>
        </w:rPr>
        <w:t xml:space="preserve"> de mercado, que proporcionará información clave.</w:t>
      </w:r>
    </w:p>
    <w:p w14:paraId="412BFD4E" w14:textId="00AF5242" w:rsidR="003C21C1" w:rsidRPr="003C21C1" w:rsidRDefault="003C21C1" w:rsidP="003C21C1">
      <w:pPr>
        <w:pStyle w:val="Heading3"/>
        <w:rPr>
          <w:lang w:val="es-ES"/>
        </w:rPr>
      </w:pPr>
      <w:r w:rsidRPr="003C21C1">
        <w:rPr>
          <w:lang w:val="es-ES"/>
        </w:rPr>
        <w:t xml:space="preserve">Mapeo de los </w:t>
      </w:r>
      <w:r w:rsidR="00030813">
        <w:rPr>
          <w:lang w:val="es-ES"/>
        </w:rPr>
        <w:t>actores</w:t>
      </w:r>
      <w:r w:rsidR="002E70BA">
        <w:rPr>
          <w:lang w:val="es-ES"/>
        </w:rPr>
        <w:t>/grupos</w:t>
      </w:r>
      <w:r w:rsidR="00030813">
        <w:rPr>
          <w:lang w:val="es-ES"/>
        </w:rPr>
        <w:t xml:space="preserve"> </w:t>
      </w:r>
      <w:r w:rsidRPr="003C21C1">
        <w:rPr>
          <w:lang w:val="es-ES"/>
        </w:rPr>
        <w:t>interesados</w:t>
      </w:r>
    </w:p>
    <w:p w14:paraId="07399FF7" w14:textId="3FF08933" w:rsidR="00E66A9A" w:rsidRPr="00027916" w:rsidRDefault="003C21C1" w:rsidP="003C21C1">
      <w:pPr>
        <w:rPr>
          <w:lang w:val="es-ES"/>
        </w:rPr>
      </w:pPr>
      <w:r w:rsidRPr="003C21C1">
        <w:rPr>
          <w:lang w:val="es-ES"/>
        </w:rPr>
        <w:t xml:space="preserve">Los principales </w:t>
      </w:r>
      <w:r w:rsidR="00030813">
        <w:rPr>
          <w:lang w:val="es-ES"/>
        </w:rPr>
        <w:t xml:space="preserve">actores/grupos </w:t>
      </w:r>
      <w:r w:rsidRPr="003C21C1">
        <w:rPr>
          <w:lang w:val="es-ES"/>
        </w:rPr>
        <w:t xml:space="preserve">interesados son </w:t>
      </w:r>
      <w:r w:rsidR="00030813">
        <w:rPr>
          <w:lang w:val="es-ES"/>
        </w:rPr>
        <w:t xml:space="preserve">aquéllos </w:t>
      </w:r>
      <w:r w:rsidRPr="003C21C1">
        <w:rPr>
          <w:lang w:val="es-ES"/>
        </w:rPr>
        <w:t xml:space="preserve">que pueden influir de manera importante o son importantes para el éxito de una posible intervención en efectivo. </w:t>
      </w:r>
      <w:r>
        <w:rPr>
          <w:lang w:val="es-ES"/>
        </w:rPr>
        <w:t>La i</w:t>
      </w:r>
      <w:r w:rsidRPr="003C21C1">
        <w:rPr>
          <w:lang w:val="es-ES"/>
        </w:rPr>
        <w:t xml:space="preserve">nformación acerca de ellos es fundamental para determinar la viabilidad de </w:t>
      </w:r>
      <w:r w:rsidR="00030813">
        <w:rPr>
          <w:lang w:val="es-ES"/>
        </w:rPr>
        <w:t xml:space="preserve">las transferencias de </w:t>
      </w:r>
      <w:r w:rsidRPr="003C21C1">
        <w:rPr>
          <w:lang w:val="es-ES"/>
        </w:rPr>
        <w:t xml:space="preserve">efectivo. Las herramientas de </w:t>
      </w:r>
      <w:r>
        <w:rPr>
          <w:lang w:val="es-ES"/>
        </w:rPr>
        <w:t>las sub-etapas</w:t>
      </w:r>
      <w:r w:rsidRPr="003C21C1">
        <w:rPr>
          <w:lang w:val="es-ES"/>
        </w:rPr>
        <w:t xml:space="preserve"> incluyen una matriz que puede ayudarle a preparar la información sobre las principales partes interesadas. Entre las herramientas de </w:t>
      </w:r>
      <w:r>
        <w:rPr>
          <w:lang w:val="es-ES"/>
        </w:rPr>
        <w:t xml:space="preserve">las </w:t>
      </w:r>
      <w:r w:rsidRPr="003C21C1">
        <w:rPr>
          <w:lang w:val="es-ES"/>
        </w:rPr>
        <w:t>sub-</w:t>
      </w:r>
      <w:r>
        <w:rPr>
          <w:lang w:val="es-ES"/>
        </w:rPr>
        <w:t>etapas</w:t>
      </w:r>
      <w:r w:rsidRPr="003C21C1">
        <w:rPr>
          <w:lang w:val="es-ES"/>
        </w:rPr>
        <w:t>, se e</w:t>
      </w:r>
      <w:r>
        <w:rPr>
          <w:lang w:val="es-ES"/>
        </w:rPr>
        <w:t xml:space="preserve">ncuentran dos listas de verificación </w:t>
      </w:r>
      <w:r w:rsidRPr="003C21C1">
        <w:rPr>
          <w:lang w:val="es-ES"/>
        </w:rPr>
        <w:t>de la</w:t>
      </w:r>
      <w:r>
        <w:rPr>
          <w:lang w:val="es-ES"/>
        </w:rPr>
        <w:t xml:space="preserve">s entrevistas que </w:t>
      </w:r>
      <w:r w:rsidRPr="003C21C1">
        <w:rPr>
          <w:lang w:val="es-ES"/>
        </w:rPr>
        <w:t xml:space="preserve">pueden ayudar a recopilar información específica </w:t>
      </w:r>
      <w:r>
        <w:rPr>
          <w:lang w:val="es-ES"/>
        </w:rPr>
        <w:t>sobre</w:t>
      </w:r>
      <w:r w:rsidRPr="003C21C1">
        <w:rPr>
          <w:lang w:val="es-ES"/>
        </w:rPr>
        <w:t xml:space="preserve"> efectivo durante las entrevistas con las autoridades locales y los organismos humanitarios. Puede </w:t>
      </w:r>
      <w:r w:rsidR="00B756D6">
        <w:rPr>
          <w:lang w:val="es-ES"/>
        </w:rPr>
        <w:t xml:space="preserve">extender el </w:t>
      </w:r>
      <w:r w:rsidRPr="003C21C1">
        <w:rPr>
          <w:lang w:val="es-ES"/>
        </w:rPr>
        <w:t xml:space="preserve">uso </w:t>
      </w:r>
      <w:r w:rsidR="00B756D6">
        <w:rPr>
          <w:lang w:val="es-ES"/>
        </w:rPr>
        <w:t xml:space="preserve">de estas herramientas </w:t>
      </w:r>
      <w:r w:rsidRPr="003C21C1">
        <w:rPr>
          <w:lang w:val="es-ES"/>
        </w:rPr>
        <w:t>dentro de los actores del Movimient</w:t>
      </w:r>
      <w:r w:rsidR="00B756D6">
        <w:rPr>
          <w:lang w:val="es-ES"/>
        </w:rPr>
        <w:t xml:space="preserve">o Internacional de la Cruz Roja, </w:t>
      </w:r>
      <w:r w:rsidRPr="003C21C1">
        <w:rPr>
          <w:lang w:val="es-ES"/>
        </w:rPr>
        <w:t xml:space="preserve">a través de una reunión de grupo de trabajo sobre </w:t>
      </w:r>
      <w:r w:rsidR="00B756D6">
        <w:rPr>
          <w:lang w:val="es-ES"/>
        </w:rPr>
        <w:t>PTE</w:t>
      </w:r>
      <w:r w:rsidRPr="003C21C1">
        <w:rPr>
          <w:lang w:val="es-ES"/>
        </w:rPr>
        <w:t xml:space="preserve">, si es necesario. Las listas de </w:t>
      </w:r>
      <w:r w:rsidR="00B756D6">
        <w:rPr>
          <w:lang w:val="es-ES"/>
        </w:rPr>
        <w:t>verificación</w:t>
      </w:r>
      <w:r w:rsidRPr="003C21C1">
        <w:rPr>
          <w:lang w:val="es-ES"/>
        </w:rPr>
        <w:t xml:space="preserve"> sugieren preguntas para elegir y adaptar a su contexto con el fin de garantizar que </w:t>
      </w:r>
      <w:r w:rsidR="00B756D6">
        <w:rPr>
          <w:lang w:val="es-ES"/>
        </w:rPr>
        <w:t xml:space="preserve">las </w:t>
      </w:r>
      <w:r w:rsidRPr="003C21C1">
        <w:rPr>
          <w:lang w:val="es-ES"/>
        </w:rPr>
        <w:t xml:space="preserve">cuestiones </w:t>
      </w:r>
      <w:r w:rsidR="00B756D6">
        <w:rPr>
          <w:lang w:val="es-ES"/>
        </w:rPr>
        <w:t>relativas a la entrega de efectivo se tienen en cuenta en la</w:t>
      </w:r>
      <w:r w:rsidRPr="003C21C1">
        <w:rPr>
          <w:lang w:val="es-ES"/>
        </w:rPr>
        <w:t xml:space="preserve"> evaluación. Por último, la herramienta 4</w:t>
      </w:r>
      <w:r w:rsidR="00030813">
        <w:rPr>
          <w:lang w:val="es-ES"/>
        </w:rPr>
        <w:t>W</w:t>
      </w:r>
      <w:r w:rsidRPr="003C21C1">
        <w:rPr>
          <w:lang w:val="es-ES"/>
        </w:rPr>
        <w:t>s puede ayudarle a recopilar y consolidar información sobre quién está haciendo qué, dónde y cuándo, en respuesta a la emergencia.</w:t>
      </w:r>
      <w:r w:rsidR="00B756D6">
        <w:rPr>
          <w:lang w:val="es-ES"/>
        </w:rPr>
        <w:t xml:space="preserve"> </w:t>
      </w:r>
    </w:p>
    <w:p w14:paraId="506ACC7E" w14:textId="09CC47E7" w:rsidR="00542794" w:rsidRPr="00027916" w:rsidRDefault="00542794">
      <w:pPr>
        <w:spacing w:after="0"/>
        <w:jc w:val="left"/>
        <w:rPr>
          <w:lang w:val="es-ES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42794" w:rsidRPr="00B756D6" w14:paraId="5FCC95D2" w14:textId="77777777" w:rsidTr="00542794">
        <w:tc>
          <w:tcPr>
            <w:tcW w:w="9916" w:type="dxa"/>
          </w:tcPr>
          <w:p w14:paraId="4D82FA48" w14:textId="19484805" w:rsidR="00542794" w:rsidRPr="00051D33" w:rsidRDefault="00542794" w:rsidP="00542794">
            <w:pPr>
              <w:pStyle w:val="RefTitre"/>
            </w:pPr>
            <w:r w:rsidRPr="00051D33">
              <w:t>DOCUMENT</w:t>
            </w:r>
            <w:r w:rsidR="00B756D6">
              <w:t>O</w:t>
            </w:r>
            <w:r w:rsidRPr="00051D33">
              <w:t>S</w:t>
            </w:r>
            <w:r w:rsidR="00B756D6" w:rsidRPr="00051D33">
              <w:t xml:space="preserve"> </w:t>
            </w:r>
            <w:r w:rsidR="00B756D6">
              <w:t xml:space="preserve">DE </w:t>
            </w:r>
            <w:r w:rsidR="00B756D6" w:rsidRPr="00051D33">
              <w:t>REFERENC</w:t>
            </w:r>
            <w:r w:rsidR="00B756D6">
              <w:t xml:space="preserve">IA </w:t>
            </w:r>
          </w:p>
          <w:p w14:paraId="34C86CDB" w14:textId="5E49D969" w:rsidR="00542794" w:rsidRPr="00051D33" w:rsidRDefault="00542794" w:rsidP="00542794">
            <w:pPr>
              <w:pStyle w:val="RefItem1"/>
              <w:rPr>
                <w:rFonts w:eastAsia="Times New Roman"/>
                <w:b/>
                <w:bCs/>
              </w:rPr>
            </w:pPr>
            <w:r w:rsidRPr="00051D33">
              <w:rPr>
                <w:rFonts w:eastAsia="Times New Roman"/>
                <w:bCs/>
                <w:shd w:val="clear" w:color="auto" w:fill="D9D9D9" w:themeFill="background1" w:themeFillShade="D9"/>
              </w:rPr>
              <w:t xml:space="preserve">Household Economic Security (HES) Technical Guidelines for Assessment Analysis and </w:t>
            </w:r>
            <w:proofErr w:type="spellStart"/>
            <w:r w:rsidRPr="00051D33">
              <w:rPr>
                <w:rFonts w:eastAsia="Times New Roman"/>
                <w:bCs/>
                <w:shd w:val="clear" w:color="auto" w:fill="D9D9D9" w:themeFill="background1" w:themeFillShade="D9"/>
              </w:rPr>
              <w:t>Programme</w:t>
            </w:r>
            <w:proofErr w:type="spellEnd"/>
            <w:r w:rsidRPr="00051D33">
              <w:rPr>
                <w:rFonts w:eastAsia="Times New Roman"/>
                <w:bCs/>
                <w:shd w:val="clear" w:color="auto" w:fill="D9D9D9" w:themeFill="background1" w:themeFillShade="D9"/>
              </w:rPr>
              <w:t xml:space="preserve"> Design </w:t>
            </w:r>
            <w:r w:rsidRPr="00051D33">
              <w:rPr>
                <w:rFonts w:eastAsia="Times New Roman"/>
                <w:shd w:val="clear" w:color="auto" w:fill="D9D9D9" w:themeFill="background1" w:themeFillShade="D9"/>
              </w:rPr>
              <w:t>(BRC)</w:t>
            </w:r>
            <w:r w:rsidRPr="00051D33">
              <w:rPr>
                <w:rFonts w:eastAsia="Times New Roman"/>
              </w:rPr>
              <w:t xml:space="preserve"> </w:t>
            </w:r>
            <w:hyperlink r:id="rId7" w:anchor="wlp_pages_documentDetail_page" w:history="1">
              <w:r w:rsidR="001D5C1A">
                <w:rPr>
                  <w:rStyle w:val="Hyperlink"/>
                  <w:rFonts w:eastAsia="Times New Roman" w:cs="Arial"/>
                  <w:szCs w:val="20"/>
                </w:rPr>
                <w:t>http://www.livelihoodscentre.org/livelihoods/portal.portal?_nfpb=true&amp;_pageLabel=pages_documentDetail_page&amp;language=en&amp;nodeId=%2FLivelihoods%2F16011&amp;section=Publications&amp;l=en#wlp_pages_documentDetail_page</w:t>
              </w:r>
            </w:hyperlink>
          </w:p>
          <w:p w14:paraId="0804D917" w14:textId="77777777" w:rsidR="00542794" w:rsidRPr="00027916" w:rsidRDefault="00542794" w:rsidP="00542794">
            <w:pPr>
              <w:pStyle w:val="RefItem1"/>
              <w:rPr>
                <w:lang w:val="es-ES"/>
              </w:rPr>
            </w:pPr>
            <w:r w:rsidRPr="00027916">
              <w:rPr>
                <w:lang w:val="es-ES"/>
              </w:rPr>
              <w:t>MIRA (</w:t>
            </w:r>
            <w:proofErr w:type="spellStart"/>
            <w:r w:rsidRPr="00027916">
              <w:rPr>
                <w:lang w:val="es-ES"/>
              </w:rPr>
              <w:t>Multi-cluster</w:t>
            </w:r>
            <w:proofErr w:type="spellEnd"/>
            <w:r w:rsidRPr="00027916">
              <w:rPr>
                <w:lang w:val="es-ES"/>
              </w:rPr>
              <w:t xml:space="preserve">/sector </w:t>
            </w:r>
            <w:proofErr w:type="spellStart"/>
            <w:r w:rsidRPr="00027916">
              <w:rPr>
                <w:lang w:val="es-ES"/>
              </w:rPr>
              <w:t>Initial</w:t>
            </w:r>
            <w:proofErr w:type="spellEnd"/>
            <w:r w:rsidRPr="00027916">
              <w:rPr>
                <w:lang w:val="es-ES"/>
              </w:rPr>
              <w:t xml:space="preserve"> Rapid </w:t>
            </w:r>
            <w:proofErr w:type="spellStart"/>
            <w:r w:rsidRPr="00027916">
              <w:rPr>
                <w:lang w:val="es-ES"/>
              </w:rPr>
              <w:t>Assessment</w:t>
            </w:r>
            <w:proofErr w:type="spellEnd"/>
            <w:r w:rsidRPr="00027916">
              <w:rPr>
                <w:lang w:val="es-ES"/>
              </w:rPr>
              <w:t xml:space="preserve">) (UN-OCHA) </w:t>
            </w:r>
            <w:hyperlink r:id="rId8" w:history="1">
              <w:r w:rsidRPr="00027916">
                <w:rPr>
                  <w:rStyle w:val="Hyperlink"/>
                  <w:rFonts w:eastAsia="Times New Roman" w:cs="Arial"/>
                  <w:szCs w:val="20"/>
                  <w:lang w:val="es-ES"/>
                </w:rPr>
                <w:t>https://docs.unocha.org/sites/dms/Documents/mira_final_version2012.pdf</w:t>
              </w:r>
            </w:hyperlink>
            <w:r w:rsidRPr="00027916">
              <w:rPr>
                <w:lang w:val="es-ES"/>
              </w:rPr>
              <w:t xml:space="preserve"> </w:t>
            </w:r>
          </w:p>
          <w:p w14:paraId="3D08FE6E" w14:textId="6A75FD32" w:rsidR="00542794" w:rsidRPr="00027916" w:rsidRDefault="00B756D6" w:rsidP="00542794">
            <w:pPr>
              <w:pStyle w:val="RefItem1"/>
              <w:rPr>
                <w:rStyle w:val="Hyperlink"/>
                <w:rFonts w:eastAsia="Times New Roman" w:cs="Arial"/>
                <w:szCs w:val="20"/>
                <w:lang w:val="es-ES"/>
              </w:rPr>
            </w:pPr>
            <w:r w:rsidRPr="00B756D6">
              <w:rPr>
                <w:lang w:val="es-ES"/>
              </w:rPr>
              <w:t xml:space="preserve">FRC (2007) ¿Cómo se hace un AVC? Guía práctica para personal y voluntarios de la Cruz Roja y de la Media Luna Roja. </w:t>
            </w:r>
            <w:r w:rsidRPr="00027916">
              <w:rPr>
                <w:rStyle w:val="Hyperlink"/>
                <w:rFonts w:eastAsia="Times New Roman" w:cs="Arial"/>
                <w:szCs w:val="20"/>
                <w:lang w:val="es-ES"/>
              </w:rPr>
              <w:t>http://www.ifrc.org/Global/Publications/disasters/vca/how-to-do-vca-sp.pdf</w:t>
            </w:r>
          </w:p>
          <w:p w14:paraId="5F12657F" w14:textId="68D2A1CF" w:rsidR="00542794" w:rsidRDefault="00542794" w:rsidP="00542794">
            <w:pPr>
              <w:pStyle w:val="RefItem1"/>
            </w:pPr>
            <w:proofErr w:type="spellStart"/>
            <w:r w:rsidRPr="00051D33">
              <w:rPr>
                <w:rFonts w:eastAsia="Times New Roman"/>
              </w:rPr>
              <w:t>CaLP</w:t>
            </w:r>
            <w:proofErr w:type="spellEnd"/>
            <w:r w:rsidRPr="00051D33">
              <w:rPr>
                <w:rFonts w:eastAsia="Times New Roman"/>
              </w:rPr>
              <w:t xml:space="preserve"> urban toolkit </w:t>
            </w:r>
            <w:hyperlink r:id="rId9" w:history="1">
              <w:r w:rsidR="001D5C1A">
                <w:rPr>
                  <w:rStyle w:val="Hyperlink"/>
                  <w:rFonts w:eastAsia="Times New Roman" w:cs="Arial"/>
                  <w:szCs w:val="20"/>
                </w:rPr>
                <w:t>http://www.cashlearning.org/downloads/resources/calp/CaLP_Urban_Toolkit_web.pdf</w:t>
              </w:r>
            </w:hyperlink>
          </w:p>
        </w:tc>
      </w:tr>
    </w:tbl>
    <w:p w14:paraId="2C33D717" w14:textId="0DE32747" w:rsidR="00542794" w:rsidRPr="00B756D6" w:rsidRDefault="00B756D6" w:rsidP="00542794">
      <w:pPr>
        <w:rPr>
          <w:lang w:val="en-GB"/>
        </w:rPr>
      </w:pPr>
      <w:r>
        <w:rPr>
          <w:lang w:val="en-GB"/>
        </w:rPr>
        <w:tab/>
      </w:r>
    </w:p>
    <w:sectPr w:rsidR="00542794" w:rsidRPr="00B756D6" w:rsidSect="0030717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091E" w14:textId="77777777" w:rsidR="00723CED" w:rsidRDefault="00723CED">
      <w:r>
        <w:separator/>
      </w:r>
    </w:p>
  </w:endnote>
  <w:endnote w:type="continuationSeparator" w:id="0">
    <w:p w14:paraId="47C574B8" w14:textId="77777777" w:rsidR="00723CED" w:rsidRDefault="007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A148" w14:textId="036D44B7" w:rsidR="00624427" w:rsidRPr="00B756D6" w:rsidRDefault="00B756D6">
    <w:pPr>
      <w:pStyle w:val="Footer"/>
      <w:rPr>
        <w:szCs w:val="16"/>
        <w:lang w:val="es-ES"/>
      </w:rPr>
    </w:pPr>
    <w:r w:rsidRPr="00B756D6">
      <w:rPr>
        <w:b/>
        <w:szCs w:val="16"/>
        <w:lang w:val="es-ES"/>
      </w:rPr>
      <w:t>Módulo</w:t>
    </w:r>
    <w:r w:rsidR="00624427" w:rsidRPr="00B756D6">
      <w:rPr>
        <w:b/>
        <w:szCs w:val="16"/>
        <w:lang w:val="es-ES"/>
      </w:rPr>
      <w:t xml:space="preserve"> 2</w:t>
    </w:r>
    <w:r w:rsidR="0030717A" w:rsidRPr="00B756D6">
      <w:rPr>
        <w:b/>
        <w:szCs w:val="16"/>
        <w:lang w:val="es-ES"/>
      </w:rPr>
      <w:t>.</w:t>
    </w:r>
    <w:r w:rsidR="0030717A" w:rsidRPr="00B756D6">
      <w:rPr>
        <w:szCs w:val="16"/>
        <w:lang w:val="es-ES"/>
      </w:rPr>
      <w:t xml:space="preserve"> </w:t>
    </w:r>
    <w:r w:rsidRPr="00B756D6">
      <w:rPr>
        <w:szCs w:val="16"/>
        <w:lang w:val="es-ES"/>
      </w:rPr>
      <w:t xml:space="preserve"> Hoja de ruta para la planificación y </w:t>
    </w:r>
    <w:r>
      <w:rPr>
        <w:szCs w:val="16"/>
        <w:lang w:val="es-ES"/>
      </w:rPr>
      <w:t xml:space="preserve">preparación de la evaluación de necesidades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7D6F" w14:textId="19B0EEF5" w:rsidR="0030717A" w:rsidRPr="00B45C74" w:rsidRDefault="0030717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E70BA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041FB45" w14:textId="33ED6CA0" w:rsidR="0030717A" w:rsidRPr="003A3500" w:rsidRDefault="0087616A" w:rsidP="00ED1B2B">
    <w:pPr>
      <w:pStyle w:val="Footer"/>
    </w:pPr>
    <w:proofErr w:type="spellStart"/>
    <w:r>
      <w:rPr>
        <w:b/>
      </w:rPr>
      <w:t>Módulo</w:t>
    </w:r>
    <w:proofErr w:type="spellEnd"/>
    <w:r w:rsidR="0030717A" w:rsidRPr="00107E15">
      <w:rPr>
        <w:b/>
      </w:rPr>
      <w:t xml:space="preserve"> </w:t>
    </w:r>
    <w:r w:rsidR="0030717A">
      <w:rPr>
        <w:b/>
      </w:rPr>
      <w:t>2</w:t>
    </w:r>
    <w:r w:rsidR="0030717A" w:rsidRPr="00107E15">
      <w:rPr>
        <w:b/>
      </w:rPr>
      <w:t>.</w:t>
    </w:r>
    <w:r w:rsidR="0030717A" w:rsidRPr="00107E15">
      <w:t xml:space="preserve"> </w:t>
    </w:r>
    <w:proofErr w:type="spellStart"/>
    <w:r>
      <w:t>Etapa</w:t>
    </w:r>
    <w:proofErr w:type="spellEnd"/>
    <w:r>
      <w:t xml:space="preserve"> </w:t>
    </w:r>
    <w:r w:rsidR="0012510B">
      <w:t xml:space="preserve">1. </w:t>
    </w:r>
    <w:fldSimple w:instr=" STYLEREF  H1 \t  \* MERGEFORMAT ">
      <w:r w:rsidR="002E70BA">
        <w:rPr>
          <w:noProof/>
        </w:rPr>
        <w:t>Hoja de ruta para la planificación y la preparación de evaluaciones de necesidades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A8C9" w14:textId="77777777" w:rsidR="00723CED" w:rsidRDefault="00723CED">
      <w:r>
        <w:separator/>
      </w:r>
    </w:p>
  </w:footnote>
  <w:footnote w:type="continuationSeparator" w:id="0">
    <w:p w14:paraId="1AE680F3" w14:textId="77777777" w:rsidR="00723CED" w:rsidRDefault="0072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9F7" w14:textId="77777777" w:rsidR="00027916" w:rsidRPr="00C746A5" w:rsidRDefault="00027916" w:rsidP="00027916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02C8" w14:textId="013ADFF4" w:rsidR="0030717A" w:rsidRPr="00027916" w:rsidRDefault="00027916" w:rsidP="00027916">
    <w:pPr>
      <w:pStyle w:val="Header1"/>
      <w:ind w:firstLine="567"/>
      <w:rPr>
        <w:lang w:val="es-ES"/>
      </w:rPr>
    </w:pPr>
    <w:r>
      <w:rPr>
        <w:noProof/>
        <w:lang w:val="es-ES_tradnl" w:eastAsia="es-ES_tradnl"/>
      </w:rPr>
      <w:drawing>
        <wp:inline distT="0" distB="0" distL="0" distR="0" wp14:anchorId="3CEE576A" wp14:editId="61D6A70E">
          <wp:extent cx="548640" cy="6400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27916">
      <w:rPr>
        <w:lang w:val="es-ES"/>
      </w:rPr>
      <w:t xml:space="preserve">                                         </w:t>
    </w:r>
    <w:r>
      <w:rPr>
        <w:noProof/>
        <w:lang w:val="es-ES_tradnl" w:eastAsia="es-ES_tradnl"/>
      </w:rPr>
      <w:drawing>
        <wp:inline distT="0" distB="0" distL="0" distR="0" wp14:anchorId="12EC5024" wp14:editId="20E1605F">
          <wp:extent cx="3072765" cy="298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972EBB" w14:textId="77777777" w:rsidR="0030717A" w:rsidRPr="00027916" w:rsidRDefault="0030717A" w:rsidP="00C16D71">
    <w:pPr>
      <w:pStyle w:val="Header"/>
      <w:spacing w:line="240" w:lineRule="auto"/>
      <w:rPr>
        <w:b/>
        <w:color w:val="DC281E"/>
        <w:sz w:val="24"/>
        <w:szCs w:val="24"/>
        <w:lang w:val="es-ES"/>
      </w:rPr>
    </w:pPr>
  </w:p>
  <w:p w14:paraId="49E8788D" w14:textId="77777777" w:rsidR="0030717A" w:rsidRPr="00027916" w:rsidRDefault="0030717A" w:rsidP="00C16D71">
    <w:pPr>
      <w:pStyle w:val="Header"/>
      <w:spacing w:line="240" w:lineRule="auto"/>
      <w:rPr>
        <w:b/>
        <w:color w:val="DC281E"/>
        <w:sz w:val="24"/>
        <w:szCs w:val="24"/>
        <w:lang w:val="es-ES"/>
      </w:rPr>
    </w:pPr>
  </w:p>
  <w:p w14:paraId="76659109" w14:textId="2E81BA9D" w:rsidR="0030717A" w:rsidRPr="00AF6D6B" w:rsidRDefault="00AF6D6B" w:rsidP="00050617">
    <w:pPr>
      <w:pStyle w:val="Header1"/>
      <w:rPr>
        <w:rFonts w:ascii="Arial Bold" w:hAnsi="Arial Bold"/>
        <w:color w:val="DC281E"/>
        <w:lang w:val="es-ES"/>
      </w:rPr>
    </w:pPr>
    <w:r w:rsidRPr="00AF6D6B">
      <w:rPr>
        <w:rFonts w:ascii="Arial Bold" w:hAnsi="Arial Bold"/>
        <w:color w:val="DC281E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2B"/>
    <w:multiLevelType w:val="hybridMultilevel"/>
    <w:tmpl w:val="0938F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0D4"/>
    <w:multiLevelType w:val="hybridMultilevel"/>
    <w:tmpl w:val="802A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70A5"/>
    <w:multiLevelType w:val="hybridMultilevel"/>
    <w:tmpl w:val="6FAED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065"/>
    <w:multiLevelType w:val="hybridMultilevel"/>
    <w:tmpl w:val="250CB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F6BEC"/>
    <w:multiLevelType w:val="hybridMultilevel"/>
    <w:tmpl w:val="3976C21E"/>
    <w:lvl w:ilvl="0" w:tplc="A7A01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32FE1"/>
    <w:multiLevelType w:val="hybridMultilevel"/>
    <w:tmpl w:val="714AB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6B97"/>
    <w:multiLevelType w:val="hybridMultilevel"/>
    <w:tmpl w:val="20106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76FF"/>
    <w:multiLevelType w:val="hybridMultilevel"/>
    <w:tmpl w:val="8C06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242CA"/>
    <w:multiLevelType w:val="hybridMultilevel"/>
    <w:tmpl w:val="7E2A8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F"/>
    <w:rsid w:val="00020970"/>
    <w:rsid w:val="00027916"/>
    <w:rsid w:val="00030813"/>
    <w:rsid w:val="00043133"/>
    <w:rsid w:val="00051D33"/>
    <w:rsid w:val="00077406"/>
    <w:rsid w:val="00092E4F"/>
    <w:rsid w:val="000C44AA"/>
    <w:rsid w:val="000F4B6F"/>
    <w:rsid w:val="001147BB"/>
    <w:rsid w:val="0012510B"/>
    <w:rsid w:val="00136C29"/>
    <w:rsid w:val="00153A50"/>
    <w:rsid w:val="001D5C1A"/>
    <w:rsid w:val="00220213"/>
    <w:rsid w:val="00233F6F"/>
    <w:rsid w:val="00234CB3"/>
    <w:rsid w:val="0025752B"/>
    <w:rsid w:val="00273676"/>
    <w:rsid w:val="002A76ED"/>
    <w:rsid w:val="002B1145"/>
    <w:rsid w:val="002B6139"/>
    <w:rsid w:val="002C223B"/>
    <w:rsid w:val="002D55C9"/>
    <w:rsid w:val="002E70BA"/>
    <w:rsid w:val="0030717A"/>
    <w:rsid w:val="00310F7F"/>
    <w:rsid w:val="003311EB"/>
    <w:rsid w:val="00385D8E"/>
    <w:rsid w:val="003A0055"/>
    <w:rsid w:val="003C21C1"/>
    <w:rsid w:val="003D3486"/>
    <w:rsid w:val="003E6E75"/>
    <w:rsid w:val="00436CCE"/>
    <w:rsid w:val="00440CD9"/>
    <w:rsid w:val="00454DAB"/>
    <w:rsid w:val="004B1EBE"/>
    <w:rsid w:val="004D0D62"/>
    <w:rsid w:val="004D55A0"/>
    <w:rsid w:val="004F2AC8"/>
    <w:rsid w:val="00542794"/>
    <w:rsid w:val="00551FBB"/>
    <w:rsid w:val="00571391"/>
    <w:rsid w:val="00585E1F"/>
    <w:rsid w:val="0059769B"/>
    <w:rsid w:val="005B3222"/>
    <w:rsid w:val="005C26EE"/>
    <w:rsid w:val="006167CF"/>
    <w:rsid w:val="00624427"/>
    <w:rsid w:val="006E099E"/>
    <w:rsid w:val="00705355"/>
    <w:rsid w:val="00723CED"/>
    <w:rsid w:val="00740A95"/>
    <w:rsid w:val="00754777"/>
    <w:rsid w:val="00793E71"/>
    <w:rsid w:val="007C242A"/>
    <w:rsid w:val="007E0454"/>
    <w:rsid w:val="008217CD"/>
    <w:rsid w:val="008256FD"/>
    <w:rsid w:val="00865F32"/>
    <w:rsid w:val="0087616A"/>
    <w:rsid w:val="008A009A"/>
    <w:rsid w:val="008A252B"/>
    <w:rsid w:val="008A6C61"/>
    <w:rsid w:val="008B2C14"/>
    <w:rsid w:val="008E6B0E"/>
    <w:rsid w:val="00901BDF"/>
    <w:rsid w:val="00917BCE"/>
    <w:rsid w:val="009A04E7"/>
    <w:rsid w:val="009A12E5"/>
    <w:rsid w:val="009C04EC"/>
    <w:rsid w:val="009D032A"/>
    <w:rsid w:val="009E4609"/>
    <w:rsid w:val="00A028C9"/>
    <w:rsid w:val="00A22FB8"/>
    <w:rsid w:val="00A942B0"/>
    <w:rsid w:val="00AA24BB"/>
    <w:rsid w:val="00AF6D6B"/>
    <w:rsid w:val="00B23B74"/>
    <w:rsid w:val="00B30398"/>
    <w:rsid w:val="00B4096D"/>
    <w:rsid w:val="00B43B9E"/>
    <w:rsid w:val="00B51989"/>
    <w:rsid w:val="00B756D6"/>
    <w:rsid w:val="00BB3842"/>
    <w:rsid w:val="00C3147A"/>
    <w:rsid w:val="00C57695"/>
    <w:rsid w:val="00C6084E"/>
    <w:rsid w:val="00C66C49"/>
    <w:rsid w:val="00D13FF3"/>
    <w:rsid w:val="00D44268"/>
    <w:rsid w:val="00D90668"/>
    <w:rsid w:val="00DA3863"/>
    <w:rsid w:val="00DA3FC4"/>
    <w:rsid w:val="00DD26C4"/>
    <w:rsid w:val="00E14DDB"/>
    <w:rsid w:val="00E216FE"/>
    <w:rsid w:val="00E66A9A"/>
    <w:rsid w:val="00ED0B5D"/>
    <w:rsid w:val="00F0055F"/>
    <w:rsid w:val="00F66194"/>
    <w:rsid w:val="00F7590D"/>
    <w:rsid w:val="00F75A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87E97"/>
  <w15:docId w15:val="{65839561-89F5-445D-9C96-128FBA75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0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1251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10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10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0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2510B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2510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10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2510B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510B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2510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10B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10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510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2510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510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1251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2510B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12510B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12510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2510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1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510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10B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12510B"/>
    <w:rPr>
      <w:b/>
    </w:rPr>
  </w:style>
  <w:style w:type="character" w:styleId="FollowedHyperlink">
    <w:name w:val="FollowedHyperlink"/>
    <w:basedOn w:val="DefaultParagraphFont"/>
    <w:uiPriority w:val="99"/>
    <w:unhideWhenUsed/>
    <w:rsid w:val="0012510B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12510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2510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2510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2510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2510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2510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2510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2510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2510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2510B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2510B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12510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2510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2510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2510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2510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2510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  <w:style w:type="table" w:customStyle="1" w:styleId="TableGrid1">
    <w:name w:val="Table Grid1"/>
    <w:basedOn w:val="TableNormal"/>
    <w:next w:val="TableGrid"/>
    <w:uiPriority w:val="59"/>
    <w:rsid w:val="002E70BA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E70BA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unocha.org/sites/dms/Documents/mira_final_version20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velihoodscentre.org/livelihoods/portal.portal?_nfpb=true&amp;_pageLabel=pages_documentDetail_page&amp;language=en&amp;nodeId=%2FLivelihoods%2F16011&amp;section=Publications&amp;l=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shlearning.org/downloads/resources/calp/CaLP_Urban_Toolkit_web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141</TotalTime>
  <Pages>3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Ines DALMAU i GUTSENS</cp:lastModifiedBy>
  <cp:revision>13</cp:revision>
  <cp:lastPrinted>2015-09-23T13:32:00Z</cp:lastPrinted>
  <dcterms:created xsi:type="dcterms:W3CDTF">2016-01-17T17:40:00Z</dcterms:created>
  <dcterms:modified xsi:type="dcterms:W3CDTF">2016-02-11T17:54:00Z</dcterms:modified>
</cp:coreProperties>
</file>