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media/image2.jpg" ContentType="image/jpeg"/>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A1E75" w14:textId="7AC9B849" w:rsidR="00675158" w:rsidRPr="00BF5AC3" w:rsidRDefault="00BA30D4" w:rsidP="00C358F0">
      <w:pPr>
        <w:pStyle w:val="H1"/>
        <w:rPr>
          <w:lang w:val="es-ES_tradnl"/>
        </w:rPr>
      </w:pPr>
      <w:r w:rsidRPr="00BF5AC3">
        <w:rPr>
          <w:lang w:val="es-ES_tradnl"/>
        </w:rPr>
        <w:t xml:space="preserve">Hoja de ruta para </w:t>
      </w:r>
      <w:r w:rsidR="002A4A6A" w:rsidRPr="00BF5AC3">
        <w:rPr>
          <w:lang w:val="es-ES_tradnl"/>
        </w:rPr>
        <w:t xml:space="preserve">la </w:t>
      </w:r>
      <w:r w:rsidRPr="00BF5AC3">
        <w:rPr>
          <w:lang w:val="es-ES_tradnl"/>
        </w:rPr>
        <w:t xml:space="preserve">preparación y </w:t>
      </w:r>
      <w:r w:rsidR="002A4A6A" w:rsidRPr="00BF5AC3">
        <w:rPr>
          <w:lang w:val="es-ES_tradnl"/>
        </w:rPr>
        <w:t xml:space="preserve">el </w:t>
      </w:r>
      <w:r w:rsidRPr="00BF5AC3">
        <w:rPr>
          <w:lang w:val="es-ES_tradnl"/>
        </w:rPr>
        <w:t xml:space="preserve">análisis </w:t>
      </w:r>
    </w:p>
    <w:tbl>
      <w:tblPr>
        <w:tblStyle w:val="TableGrid"/>
        <w:tblW w:w="0" w:type="auto"/>
        <w:tblLook w:val="04A0" w:firstRow="1" w:lastRow="0" w:firstColumn="1" w:lastColumn="0" w:noHBand="0" w:noVBand="1"/>
      </w:tblPr>
      <w:tblGrid>
        <w:gridCol w:w="3018"/>
        <w:gridCol w:w="3018"/>
        <w:gridCol w:w="3018"/>
      </w:tblGrid>
      <w:tr w:rsidR="00BA5564" w:rsidRPr="00BF5AC3" w14:paraId="30D0BA86" w14:textId="77777777" w:rsidTr="00FE5E80">
        <w:tc>
          <w:tcPr>
            <w:tcW w:w="9054" w:type="dxa"/>
            <w:gridSpan w:val="3"/>
          </w:tcPr>
          <w:p w14:paraId="179456C0" w14:textId="38D9911D" w:rsidR="00BA5564" w:rsidRPr="00BF5AC3" w:rsidRDefault="00BA30D4" w:rsidP="00BA30D4">
            <w:pPr>
              <w:jc w:val="center"/>
              <w:rPr>
                <w:b/>
                <w:sz w:val="14"/>
                <w:lang w:val="es-ES_tradnl"/>
              </w:rPr>
            </w:pPr>
            <w:r w:rsidRPr="00BF5AC3">
              <w:rPr>
                <w:b/>
                <w:sz w:val="14"/>
                <w:lang w:val="es-ES_tradnl"/>
              </w:rPr>
              <w:t xml:space="preserve">PREPARACIÓN </w:t>
            </w:r>
          </w:p>
        </w:tc>
      </w:tr>
      <w:tr w:rsidR="00BA5564" w:rsidRPr="00BF5AC3" w14:paraId="0C573F4A" w14:textId="77777777" w:rsidTr="00FE5E80">
        <w:tc>
          <w:tcPr>
            <w:tcW w:w="3018" w:type="dxa"/>
          </w:tcPr>
          <w:p w14:paraId="5290780D" w14:textId="09B6F72A" w:rsidR="00BA30D4" w:rsidRPr="00BF5AC3" w:rsidRDefault="00BA30D4" w:rsidP="00BA30D4">
            <w:pPr>
              <w:rPr>
                <w:b/>
                <w:sz w:val="14"/>
                <w:lang w:val="es-ES_tradnl"/>
              </w:rPr>
            </w:pPr>
            <w:r w:rsidRPr="00BF5AC3">
              <w:rPr>
                <w:b/>
                <w:sz w:val="14"/>
                <w:lang w:val="es-ES_tradnl"/>
              </w:rPr>
              <w:t>1. Preparación y análisis</w:t>
            </w:r>
          </w:p>
        </w:tc>
        <w:tc>
          <w:tcPr>
            <w:tcW w:w="3018" w:type="dxa"/>
          </w:tcPr>
          <w:p w14:paraId="0B5A6E9B" w14:textId="2CCFA37F" w:rsidR="00BA5564" w:rsidRPr="00BF5AC3" w:rsidRDefault="00BA5564" w:rsidP="00BA30D4">
            <w:pPr>
              <w:rPr>
                <w:b/>
                <w:sz w:val="14"/>
                <w:lang w:val="es-ES_tradnl"/>
              </w:rPr>
            </w:pPr>
            <w:r w:rsidRPr="00BF5AC3">
              <w:rPr>
                <w:b/>
                <w:sz w:val="14"/>
                <w:lang w:val="es-ES_tradnl"/>
              </w:rPr>
              <w:t xml:space="preserve">2. </w:t>
            </w:r>
            <w:r w:rsidR="00BA30D4" w:rsidRPr="00BF5AC3">
              <w:rPr>
                <w:b/>
                <w:sz w:val="14"/>
                <w:lang w:val="es-ES_tradnl"/>
              </w:rPr>
              <w:t xml:space="preserve">Elaboración y ejecución </w:t>
            </w:r>
            <w:r w:rsidRPr="00BF5AC3">
              <w:rPr>
                <w:b/>
                <w:sz w:val="14"/>
                <w:lang w:val="es-ES_tradnl"/>
              </w:rPr>
              <w:t xml:space="preserve"> </w:t>
            </w:r>
          </w:p>
        </w:tc>
        <w:tc>
          <w:tcPr>
            <w:tcW w:w="3018" w:type="dxa"/>
          </w:tcPr>
          <w:p w14:paraId="2751E8A8" w14:textId="2A219A40" w:rsidR="00BA5564" w:rsidRPr="00BF5AC3" w:rsidRDefault="00BA5564" w:rsidP="00BA30D4">
            <w:pPr>
              <w:rPr>
                <w:b/>
                <w:sz w:val="14"/>
                <w:lang w:val="es-ES_tradnl"/>
              </w:rPr>
            </w:pPr>
            <w:r w:rsidRPr="00BF5AC3">
              <w:rPr>
                <w:b/>
                <w:sz w:val="14"/>
                <w:lang w:val="es-ES_tradnl"/>
              </w:rPr>
              <w:t xml:space="preserve">3. </w:t>
            </w:r>
            <w:r w:rsidR="00BA30D4" w:rsidRPr="00BF5AC3">
              <w:rPr>
                <w:b/>
                <w:sz w:val="14"/>
                <w:lang w:val="es-ES_tradnl"/>
              </w:rPr>
              <w:t xml:space="preserve">Análisis, lecciones aprendidas y perfeccionamiento </w:t>
            </w:r>
            <w:r w:rsidRPr="00BF5AC3">
              <w:rPr>
                <w:b/>
                <w:sz w:val="14"/>
                <w:lang w:val="es-ES_tradnl"/>
              </w:rPr>
              <w:t xml:space="preserve"> </w:t>
            </w:r>
          </w:p>
        </w:tc>
      </w:tr>
      <w:tr w:rsidR="00BA5564" w:rsidRPr="00BF5AC3" w14:paraId="79570E59" w14:textId="77777777" w:rsidTr="00FE5E80">
        <w:tc>
          <w:tcPr>
            <w:tcW w:w="3018" w:type="dxa"/>
          </w:tcPr>
          <w:p w14:paraId="31008370" w14:textId="33FBE5FE" w:rsidR="00BA30D4" w:rsidRPr="00BF5AC3" w:rsidRDefault="001F2B3D" w:rsidP="00761CC0">
            <w:pPr>
              <w:pStyle w:val="ListParagraph"/>
              <w:numPr>
                <w:ilvl w:val="0"/>
                <w:numId w:val="46"/>
              </w:numPr>
              <w:shd w:val="clear" w:color="auto" w:fill="548DD4" w:themeFill="text2" w:themeFillTint="99"/>
              <w:spacing w:after="0"/>
              <w:jc w:val="left"/>
              <w:rPr>
                <w:b/>
                <w:sz w:val="14"/>
                <w:lang w:val="es-ES_tradnl"/>
              </w:rPr>
            </w:pPr>
            <w:r w:rsidRPr="00BF5AC3">
              <w:rPr>
                <w:b/>
                <w:sz w:val="14"/>
                <w:lang w:val="es-ES_tradnl"/>
              </w:rPr>
              <w:t>Examen y análisis de información secundaria</w:t>
            </w:r>
          </w:p>
          <w:p w14:paraId="431E1FFA" w14:textId="3E6E9636" w:rsidR="00BA30D4" w:rsidRPr="00BF5AC3" w:rsidRDefault="00BA30D4" w:rsidP="00761CC0">
            <w:pPr>
              <w:pStyle w:val="ListParagraph"/>
              <w:numPr>
                <w:ilvl w:val="0"/>
                <w:numId w:val="46"/>
              </w:numPr>
              <w:shd w:val="clear" w:color="auto" w:fill="548DD4" w:themeFill="text2" w:themeFillTint="99"/>
              <w:spacing w:after="0"/>
              <w:jc w:val="left"/>
              <w:rPr>
                <w:b/>
                <w:sz w:val="14"/>
                <w:lang w:val="es-ES_tradnl"/>
              </w:rPr>
            </w:pPr>
            <w:r w:rsidRPr="00BF5AC3">
              <w:rPr>
                <w:b/>
                <w:sz w:val="14"/>
                <w:lang w:val="es-ES_tradnl"/>
              </w:rPr>
              <w:t xml:space="preserve">Recopilación y análisis de </w:t>
            </w:r>
            <w:r w:rsidR="001F2B3D" w:rsidRPr="00BF5AC3">
              <w:rPr>
                <w:b/>
                <w:sz w:val="14"/>
                <w:lang w:val="es-ES_tradnl"/>
              </w:rPr>
              <w:t>información primaria</w:t>
            </w:r>
            <w:r w:rsidRPr="00BF5AC3">
              <w:rPr>
                <w:b/>
                <w:sz w:val="14"/>
                <w:lang w:val="es-ES_tradnl"/>
              </w:rPr>
              <w:t xml:space="preserve"> </w:t>
            </w:r>
          </w:p>
          <w:p w14:paraId="75BD8EC9" w14:textId="75FC46AB" w:rsidR="00BA30D4" w:rsidRPr="00BF5AC3" w:rsidRDefault="00BA30D4" w:rsidP="00761CC0">
            <w:pPr>
              <w:pStyle w:val="ListParagraph"/>
              <w:numPr>
                <w:ilvl w:val="0"/>
                <w:numId w:val="46"/>
              </w:numPr>
              <w:shd w:val="clear" w:color="auto" w:fill="548DD4" w:themeFill="text2" w:themeFillTint="99"/>
              <w:spacing w:after="0"/>
              <w:jc w:val="left"/>
              <w:rPr>
                <w:b/>
                <w:sz w:val="14"/>
                <w:lang w:val="es-ES_tradnl"/>
              </w:rPr>
            </w:pPr>
            <w:r w:rsidRPr="00BF5AC3">
              <w:rPr>
                <w:b/>
                <w:sz w:val="14"/>
                <w:lang w:val="es-ES_tradnl"/>
              </w:rPr>
              <w:t xml:space="preserve">Documentación de la línea de base </w:t>
            </w:r>
          </w:p>
          <w:p w14:paraId="041BB47A" w14:textId="112B3044" w:rsidR="00BA30D4" w:rsidRPr="00BF5AC3" w:rsidRDefault="00BA30D4" w:rsidP="00761CC0">
            <w:pPr>
              <w:pStyle w:val="ListParagraph"/>
              <w:numPr>
                <w:ilvl w:val="0"/>
                <w:numId w:val="46"/>
              </w:numPr>
              <w:shd w:val="clear" w:color="auto" w:fill="548DD4" w:themeFill="text2" w:themeFillTint="99"/>
              <w:spacing w:after="0"/>
              <w:jc w:val="left"/>
              <w:rPr>
                <w:b/>
                <w:sz w:val="14"/>
                <w:lang w:val="es-ES_tradnl"/>
              </w:rPr>
            </w:pPr>
            <w:r w:rsidRPr="00BF5AC3">
              <w:rPr>
                <w:b/>
                <w:sz w:val="14"/>
                <w:lang w:val="es-ES_tradnl"/>
              </w:rPr>
              <w:t xml:space="preserve">Elaboración y análisis de </w:t>
            </w:r>
            <w:r w:rsidR="00413B50" w:rsidRPr="00BF5AC3">
              <w:rPr>
                <w:b/>
                <w:sz w:val="14"/>
                <w:lang w:val="es-ES_tradnl"/>
              </w:rPr>
              <w:t xml:space="preserve">los escenarios </w:t>
            </w:r>
            <w:r w:rsidRPr="00BF5AC3">
              <w:rPr>
                <w:b/>
                <w:sz w:val="14"/>
                <w:lang w:val="es-ES_tradnl"/>
              </w:rPr>
              <w:t xml:space="preserve"> </w:t>
            </w:r>
          </w:p>
          <w:p w14:paraId="67929593" w14:textId="6F11E632" w:rsidR="00BA30D4" w:rsidRPr="00BF5AC3" w:rsidRDefault="00BA30D4" w:rsidP="00761CC0">
            <w:pPr>
              <w:pStyle w:val="ListParagraph"/>
              <w:numPr>
                <w:ilvl w:val="0"/>
                <w:numId w:val="46"/>
              </w:numPr>
              <w:shd w:val="clear" w:color="auto" w:fill="548DD4" w:themeFill="text2" w:themeFillTint="99"/>
              <w:spacing w:after="0"/>
              <w:jc w:val="left"/>
              <w:rPr>
                <w:b/>
                <w:sz w:val="14"/>
                <w:lang w:val="es-ES_tradnl"/>
              </w:rPr>
            </w:pPr>
            <w:r w:rsidRPr="00BF5AC3">
              <w:rPr>
                <w:b/>
                <w:sz w:val="14"/>
                <w:lang w:val="es-ES_tradnl"/>
              </w:rPr>
              <w:t>Fomento de la participación de los interesado</w:t>
            </w:r>
            <w:r w:rsidR="006A6E28" w:rsidRPr="00BF5AC3">
              <w:rPr>
                <w:b/>
                <w:sz w:val="14"/>
                <w:lang w:val="es-ES_tradnl"/>
              </w:rPr>
              <w:t>s en la preparación para ejecutar</w:t>
            </w:r>
            <w:r w:rsidRPr="00BF5AC3">
              <w:rPr>
                <w:b/>
                <w:sz w:val="14"/>
                <w:lang w:val="es-ES_tradnl"/>
              </w:rPr>
              <w:t xml:space="preserve"> programas </w:t>
            </w:r>
          </w:p>
          <w:p w14:paraId="7D8117BE" w14:textId="3C210FFD" w:rsidR="00BA30D4" w:rsidRPr="00BF5AC3" w:rsidRDefault="00BA30D4" w:rsidP="00761CC0">
            <w:pPr>
              <w:pStyle w:val="ListParagraph"/>
              <w:numPr>
                <w:ilvl w:val="0"/>
                <w:numId w:val="46"/>
              </w:numPr>
              <w:shd w:val="clear" w:color="auto" w:fill="548DD4" w:themeFill="text2" w:themeFillTint="99"/>
              <w:spacing w:after="0"/>
              <w:jc w:val="left"/>
              <w:rPr>
                <w:b/>
                <w:sz w:val="14"/>
                <w:lang w:val="es-ES_tradnl"/>
              </w:rPr>
            </w:pPr>
            <w:r w:rsidRPr="00BF5AC3">
              <w:rPr>
                <w:b/>
                <w:sz w:val="14"/>
                <w:lang w:val="es-ES_tradnl"/>
              </w:rPr>
              <w:t>Análisis y autoevaluación de las deficiencias en la preparaci</w:t>
            </w:r>
            <w:r w:rsidR="006A6E28" w:rsidRPr="00BF5AC3">
              <w:rPr>
                <w:b/>
                <w:sz w:val="14"/>
                <w:lang w:val="es-ES_tradnl"/>
              </w:rPr>
              <w:t>ón para ejecutar los programas</w:t>
            </w:r>
          </w:p>
          <w:p w14:paraId="0A23AD96" w14:textId="305877BC" w:rsidR="00BA5564" w:rsidRPr="00BF5AC3" w:rsidRDefault="00BA30D4" w:rsidP="00761CC0">
            <w:pPr>
              <w:pStyle w:val="ListParagraph"/>
              <w:numPr>
                <w:ilvl w:val="0"/>
                <w:numId w:val="46"/>
              </w:numPr>
              <w:shd w:val="clear" w:color="auto" w:fill="548DD4" w:themeFill="text2" w:themeFillTint="99"/>
              <w:spacing w:after="0"/>
              <w:jc w:val="left"/>
              <w:rPr>
                <w:b/>
                <w:sz w:val="14"/>
                <w:lang w:val="es-ES_tradnl"/>
              </w:rPr>
            </w:pPr>
            <w:r w:rsidRPr="00BF5AC3">
              <w:rPr>
                <w:b/>
                <w:sz w:val="14"/>
                <w:lang w:val="es-ES_tradnl"/>
              </w:rPr>
              <w:t>Elaboración y difusi</w:t>
            </w:r>
            <w:r w:rsidR="00DB2C3D" w:rsidRPr="00BF5AC3">
              <w:rPr>
                <w:b/>
                <w:sz w:val="14"/>
                <w:lang w:val="es-ES_tradnl"/>
              </w:rPr>
              <w:t>ón de los mensajes clave</w:t>
            </w:r>
          </w:p>
          <w:p w14:paraId="7D6DCBE4" w14:textId="7AD008FC" w:rsidR="00BA5564" w:rsidRPr="00BF5AC3" w:rsidRDefault="00BA5564" w:rsidP="006A6E28">
            <w:pPr>
              <w:pStyle w:val="ListParagraph"/>
              <w:spacing w:after="0"/>
              <w:ind w:left="360"/>
              <w:jc w:val="left"/>
              <w:rPr>
                <w:b/>
                <w:sz w:val="14"/>
                <w:lang w:val="es-ES_tradnl"/>
              </w:rPr>
            </w:pPr>
          </w:p>
        </w:tc>
        <w:tc>
          <w:tcPr>
            <w:tcW w:w="3018" w:type="dxa"/>
          </w:tcPr>
          <w:p w14:paraId="40F0A235" w14:textId="2C8262EB" w:rsidR="006A6E28" w:rsidRPr="00BF5AC3" w:rsidRDefault="006A6E28" w:rsidP="006A6E28">
            <w:pPr>
              <w:pStyle w:val="ListParagraph"/>
              <w:numPr>
                <w:ilvl w:val="0"/>
                <w:numId w:val="47"/>
              </w:numPr>
              <w:spacing w:after="0"/>
              <w:jc w:val="left"/>
              <w:rPr>
                <w:b/>
                <w:sz w:val="14"/>
                <w:lang w:val="es-ES_tradnl"/>
              </w:rPr>
            </w:pPr>
            <w:r w:rsidRPr="00BF5AC3">
              <w:rPr>
                <w:b/>
                <w:sz w:val="14"/>
                <w:lang w:val="es-ES_tradnl"/>
              </w:rPr>
              <w:t>Designación de un coordinador para PTE</w:t>
            </w:r>
          </w:p>
          <w:p w14:paraId="0B54AF5E" w14:textId="78D6092D" w:rsidR="006A6E28" w:rsidRPr="00BF5AC3" w:rsidRDefault="006A6E28" w:rsidP="00FE5E80">
            <w:pPr>
              <w:pStyle w:val="ListParagraph"/>
              <w:numPr>
                <w:ilvl w:val="0"/>
                <w:numId w:val="47"/>
              </w:numPr>
              <w:spacing w:after="0"/>
              <w:jc w:val="left"/>
              <w:rPr>
                <w:b/>
                <w:sz w:val="14"/>
                <w:lang w:val="es-ES_tradnl"/>
              </w:rPr>
            </w:pPr>
            <w:r w:rsidRPr="00BF5AC3">
              <w:rPr>
                <w:b/>
                <w:sz w:val="14"/>
                <w:lang w:val="es-ES_tradnl"/>
              </w:rPr>
              <w:t xml:space="preserve">Establecimiento de un grupo de trabajo técnico sobre programas de transferencias de efectivo </w:t>
            </w:r>
          </w:p>
          <w:p w14:paraId="696357ED" w14:textId="5B7D68F1" w:rsidR="006A6E28" w:rsidRPr="00BF5AC3" w:rsidRDefault="006A6E28" w:rsidP="00FE5E80">
            <w:pPr>
              <w:pStyle w:val="ListParagraph"/>
              <w:numPr>
                <w:ilvl w:val="0"/>
                <w:numId w:val="47"/>
              </w:numPr>
              <w:spacing w:after="0"/>
              <w:jc w:val="left"/>
              <w:rPr>
                <w:b/>
                <w:sz w:val="14"/>
                <w:lang w:val="es-ES_tradnl"/>
              </w:rPr>
            </w:pPr>
            <w:r w:rsidRPr="00BF5AC3">
              <w:rPr>
                <w:b/>
                <w:sz w:val="14"/>
                <w:lang w:val="es-ES_tradnl"/>
              </w:rPr>
              <w:t xml:space="preserve">Plan de acción de preparación para la elaboración de programas de transferencias de efectivo </w:t>
            </w:r>
          </w:p>
          <w:p w14:paraId="2330FC9C" w14:textId="384307B0" w:rsidR="006A6E28" w:rsidRPr="00BF5AC3" w:rsidRDefault="006A6E28" w:rsidP="006A6E28">
            <w:pPr>
              <w:pStyle w:val="ListParagraph"/>
              <w:numPr>
                <w:ilvl w:val="0"/>
                <w:numId w:val="47"/>
              </w:numPr>
              <w:spacing w:after="0"/>
              <w:jc w:val="left"/>
              <w:rPr>
                <w:b/>
                <w:sz w:val="14"/>
                <w:lang w:val="es-ES_tradnl"/>
              </w:rPr>
            </w:pPr>
            <w:r w:rsidRPr="00BF5AC3">
              <w:rPr>
                <w:b/>
                <w:sz w:val="14"/>
                <w:lang w:val="es-ES_tradnl"/>
              </w:rPr>
              <w:t>Elaboración de procedimientos operativos normalizados para programas de transferencias</w:t>
            </w:r>
          </w:p>
          <w:p w14:paraId="2957BA86" w14:textId="222225D9" w:rsidR="006A6E28" w:rsidRPr="00BF5AC3" w:rsidRDefault="006A6E28" w:rsidP="006A6E28">
            <w:pPr>
              <w:pStyle w:val="ListParagraph"/>
              <w:spacing w:after="0"/>
              <w:ind w:left="360"/>
              <w:jc w:val="left"/>
              <w:rPr>
                <w:b/>
                <w:sz w:val="14"/>
                <w:lang w:val="es-ES_tradnl"/>
              </w:rPr>
            </w:pPr>
            <w:r w:rsidRPr="00BF5AC3">
              <w:rPr>
                <w:b/>
                <w:sz w:val="14"/>
                <w:lang w:val="es-ES_tradnl"/>
              </w:rPr>
              <w:t xml:space="preserve">de efectivo </w:t>
            </w:r>
          </w:p>
          <w:p w14:paraId="6735799B" w14:textId="220BA663" w:rsidR="006A6E28" w:rsidRPr="00BF5AC3" w:rsidRDefault="006A6E28" w:rsidP="006A6E28">
            <w:pPr>
              <w:pStyle w:val="ListParagraph"/>
              <w:numPr>
                <w:ilvl w:val="0"/>
                <w:numId w:val="47"/>
              </w:numPr>
              <w:spacing w:after="0"/>
              <w:jc w:val="left"/>
              <w:rPr>
                <w:b/>
                <w:sz w:val="14"/>
                <w:lang w:val="es-ES_tradnl"/>
              </w:rPr>
            </w:pPr>
            <w:r w:rsidRPr="00BF5AC3">
              <w:rPr>
                <w:b/>
                <w:sz w:val="14"/>
                <w:lang w:val="es-ES_tradnl"/>
              </w:rPr>
              <w:t>Integración de los programas de transferencias de efectivo</w:t>
            </w:r>
          </w:p>
          <w:p w14:paraId="09871F41" w14:textId="307E22C6" w:rsidR="006A6E28" w:rsidRPr="00BF5AC3" w:rsidRDefault="006A6E28" w:rsidP="006A6E28">
            <w:pPr>
              <w:pStyle w:val="ListParagraph"/>
              <w:spacing w:after="0"/>
              <w:ind w:left="360"/>
              <w:jc w:val="left"/>
              <w:rPr>
                <w:b/>
                <w:sz w:val="14"/>
                <w:lang w:val="es-ES_tradnl"/>
              </w:rPr>
            </w:pPr>
            <w:r w:rsidRPr="00BF5AC3">
              <w:rPr>
                <w:b/>
                <w:sz w:val="14"/>
                <w:lang w:val="es-ES_tradnl"/>
              </w:rPr>
              <w:t xml:space="preserve">en los planes estratégicos, de intervención y de contingencia </w:t>
            </w:r>
          </w:p>
          <w:p w14:paraId="2749AB72" w14:textId="217544B4" w:rsidR="006A6E28" w:rsidRPr="00BF5AC3" w:rsidRDefault="006A6E28" w:rsidP="006A6E28">
            <w:pPr>
              <w:pStyle w:val="ListParagraph"/>
              <w:numPr>
                <w:ilvl w:val="0"/>
                <w:numId w:val="47"/>
              </w:numPr>
              <w:spacing w:after="0"/>
              <w:jc w:val="left"/>
              <w:rPr>
                <w:b/>
                <w:sz w:val="14"/>
                <w:lang w:val="es-ES_tradnl"/>
              </w:rPr>
            </w:pPr>
            <w:r w:rsidRPr="00BF5AC3">
              <w:rPr>
                <w:b/>
                <w:sz w:val="14"/>
                <w:lang w:val="es-ES_tradnl"/>
              </w:rPr>
              <w:t>Integración de los programas de transferencias de dinero en efectivo en el sistema de recursos humanos</w:t>
            </w:r>
          </w:p>
          <w:p w14:paraId="53DA900C" w14:textId="77777777" w:rsidR="006A6E28" w:rsidRPr="00BF5AC3" w:rsidRDefault="006A6E28" w:rsidP="006A6E28">
            <w:pPr>
              <w:pStyle w:val="ListParagraph"/>
              <w:numPr>
                <w:ilvl w:val="0"/>
                <w:numId w:val="47"/>
              </w:numPr>
              <w:spacing w:after="0"/>
              <w:jc w:val="left"/>
              <w:rPr>
                <w:b/>
                <w:sz w:val="14"/>
                <w:lang w:val="es-ES_tradnl"/>
              </w:rPr>
            </w:pPr>
            <w:r w:rsidRPr="00BF5AC3">
              <w:rPr>
                <w:b/>
                <w:sz w:val="14"/>
                <w:lang w:val="es-ES_tradnl"/>
              </w:rPr>
              <w:t>Integración de los programas de transferencias de dinero en efectivo</w:t>
            </w:r>
          </w:p>
          <w:p w14:paraId="02D50BA2" w14:textId="5B8DF2BB" w:rsidR="006A6E28" w:rsidRPr="00BF5AC3" w:rsidRDefault="006A6E28" w:rsidP="006A6E28">
            <w:pPr>
              <w:pStyle w:val="ListParagraph"/>
              <w:spacing w:after="0"/>
              <w:ind w:left="360"/>
              <w:jc w:val="left"/>
              <w:rPr>
                <w:b/>
                <w:sz w:val="14"/>
                <w:lang w:val="es-ES_tradnl"/>
              </w:rPr>
            </w:pPr>
            <w:r w:rsidRPr="00BF5AC3">
              <w:rPr>
                <w:b/>
                <w:sz w:val="14"/>
                <w:lang w:val="es-ES_tradnl"/>
              </w:rPr>
              <w:t xml:space="preserve">en los sistemas financieros </w:t>
            </w:r>
          </w:p>
          <w:p w14:paraId="422BEF36" w14:textId="2205F2B8" w:rsidR="006A6E28" w:rsidRPr="00BF5AC3" w:rsidRDefault="006A6E28" w:rsidP="006A6E28">
            <w:pPr>
              <w:pStyle w:val="ListParagraph"/>
              <w:numPr>
                <w:ilvl w:val="0"/>
                <w:numId w:val="47"/>
              </w:numPr>
              <w:spacing w:after="0"/>
              <w:jc w:val="left"/>
              <w:rPr>
                <w:b/>
                <w:sz w:val="14"/>
                <w:lang w:val="es-ES_tradnl"/>
              </w:rPr>
            </w:pPr>
            <w:r w:rsidRPr="00BF5AC3">
              <w:rPr>
                <w:b/>
                <w:sz w:val="14"/>
                <w:lang w:val="es-ES_tradnl"/>
              </w:rPr>
              <w:t>Integración de los programas de transferencias de dinero en efectivo</w:t>
            </w:r>
          </w:p>
          <w:p w14:paraId="2A84CEA7" w14:textId="378ED09E" w:rsidR="006A6E28" w:rsidRPr="00BF5AC3" w:rsidRDefault="006A6E28" w:rsidP="002A4A6A">
            <w:pPr>
              <w:pStyle w:val="ListParagraph"/>
              <w:spacing w:after="0"/>
              <w:ind w:left="360"/>
              <w:jc w:val="left"/>
              <w:rPr>
                <w:b/>
                <w:sz w:val="14"/>
                <w:lang w:val="es-ES_tradnl"/>
              </w:rPr>
            </w:pPr>
            <w:r w:rsidRPr="00BF5AC3">
              <w:rPr>
                <w:b/>
                <w:sz w:val="14"/>
                <w:lang w:val="es-ES_tradnl"/>
              </w:rPr>
              <w:t xml:space="preserve">en los sistemas de supervisión y evaluación </w:t>
            </w:r>
          </w:p>
          <w:p w14:paraId="43F89397" w14:textId="225AA71C" w:rsidR="006A6E28" w:rsidRPr="00BF5AC3" w:rsidRDefault="006A6E28" w:rsidP="006A6E28">
            <w:pPr>
              <w:pStyle w:val="ListParagraph"/>
              <w:numPr>
                <w:ilvl w:val="0"/>
                <w:numId w:val="47"/>
              </w:numPr>
              <w:spacing w:after="0"/>
              <w:jc w:val="left"/>
              <w:rPr>
                <w:b/>
                <w:sz w:val="14"/>
                <w:lang w:val="es-ES_tradnl"/>
              </w:rPr>
            </w:pPr>
            <w:r w:rsidRPr="00BF5AC3">
              <w:rPr>
                <w:b/>
                <w:sz w:val="14"/>
                <w:lang w:val="es-ES_tradnl"/>
              </w:rPr>
              <w:t>Integración de los programas de transferencias de dinero en efectivo</w:t>
            </w:r>
          </w:p>
          <w:p w14:paraId="3242E72A" w14:textId="48B3AEDE" w:rsidR="006A6E28" w:rsidRPr="00BF5AC3" w:rsidRDefault="006A6E28" w:rsidP="002A4A6A">
            <w:pPr>
              <w:pStyle w:val="ListParagraph"/>
              <w:spacing w:after="0"/>
              <w:ind w:left="360"/>
              <w:jc w:val="left"/>
              <w:rPr>
                <w:b/>
                <w:sz w:val="14"/>
                <w:lang w:val="es-ES_tradnl"/>
              </w:rPr>
            </w:pPr>
            <w:r w:rsidRPr="00BF5AC3">
              <w:rPr>
                <w:b/>
                <w:sz w:val="14"/>
                <w:lang w:val="es-ES_tradnl"/>
              </w:rPr>
              <w:t xml:space="preserve">en los sistemas de movilización de recursos </w:t>
            </w:r>
          </w:p>
          <w:p w14:paraId="604792E1" w14:textId="3F75A5B1" w:rsidR="006A6E28" w:rsidRPr="00BF5AC3" w:rsidRDefault="002A4A6A" w:rsidP="006A6E28">
            <w:pPr>
              <w:pStyle w:val="ListParagraph"/>
              <w:numPr>
                <w:ilvl w:val="0"/>
                <w:numId w:val="47"/>
              </w:numPr>
              <w:spacing w:after="0"/>
              <w:jc w:val="left"/>
              <w:rPr>
                <w:b/>
                <w:sz w:val="14"/>
                <w:lang w:val="es-ES_tradnl"/>
              </w:rPr>
            </w:pPr>
            <w:r w:rsidRPr="00BF5AC3">
              <w:rPr>
                <w:b/>
                <w:sz w:val="14"/>
                <w:lang w:val="es-ES_tradnl"/>
              </w:rPr>
              <w:t>Realizar un e</w:t>
            </w:r>
            <w:r w:rsidR="006A6E28" w:rsidRPr="00BF5AC3">
              <w:rPr>
                <w:b/>
                <w:sz w:val="14"/>
                <w:lang w:val="es-ES_tradnl"/>
              </w:rPr>
              <w:t xml:space="preserve">jercicio de simulación y/o proyecto piloto </w:t>
            </w:r>
          </w:p>
          <w:p w14:paraId="412D92D6" w14:textId="5F2EB8E5" w:rsidR="006A6E28" w:rsidRPr="00BF5AC3" w:rsidRDefault="006A6E28" w:rsidP="00FE5E80">
            <w:pPr>
              <w:pStyle w:val="ListParagraph"/>
              <w:numPr>
                <w:ilvl w:val="0"/>
                <w:numId w:val="47"/>
              </w:numPr>
              <w:spacing w:after="0"/>
              <w:jc w:val="left"/>
              <w:rPr>
                <w:b/>
                <w:sz w:val="14"/>
                <w:lang w:val="es-ES_tradnl"/>
              </w:rPr>
            </w:pPr>
            <w:r w:rsidRPr="00BF5AC3">
              <w:rPr>
                <w:b/>
                <w:sz w:val="14"/>
                <w:lang w:val="es-ES_tradnl"/>
              </w:rPr>
              <w:t>Coordinación de las actividades relacionadas con los programas de transferencias</w:t>
            </w:r>
            <w:r w:rsidR="002A4A6A" w:rsidRPr="00BF5AC3">
              <w:rPr>
                <w:b/>
                <w:sz w:val="14"/>
                <w:lang w:val="es-ES_tradnl"/>
              </w:rPr>
              <w:t xml:space="preserve"> de</w:t>
            </w:r>
            <w:r w:rsidRPr="00BF5AC3">
              <w:rPr>
                <w:b/>
                <w:sz w:val="14"/>
                <w:lang w:val="es-ES_tradnl"/>
              </w:rPr>
              <w:t xml:space="preserve"> efectivo a nivel interno y externo </w:t>
            </w:r>
          </w:p>
          <w:p w14:paraId="7C8BD0B8" w14:textId="0C97C94C" w:rsidR="00BA5564" w:rsidRPr="00BF5AC3" w:rsidRDefault="006A6E28" w:rsidP="006A6E28">
            <w:pPr>
              <w:pStyle w:val="ListParagraph"/>
              <w:numPr>
                <w:ilvl w:val="0"/>
                <w:numId w:val="47"/>
              </w:numPr>
              <w:spacing w:after="0"/>
              <w:jc w:val="left"/>
              <w:rPr>
                <w:b/>
                <w:sz w:val="14"/>
                <w:lang w:val="es-ES_tradnl"/>
              </w:rPr>
            </w:pPr>
            <w:r w:rsidRPr="00BF5AC3">
              <w:rPr>
                <w:b/>
                <w:sz w:val="14"/>
                <w:lang w:val="es-ES_tradnl"/>
              </w:rPr>
              <w:t>Elaboración y despliegue de la estrategia de comunicación y de material de sensibilización</w:t>
            </w:r>
          </w:p>
        </w:tc>
        <w:tc>
          <w:tcPr>
            <w:tcW w:w="3018" w:type="dxa"/>
          </w:tcPr>
          <w:p w14:paraId="527E4C3A" w14:textId="2DBBB981" w:rsidR="002A4A6A" w:rsidRPr="00BF5AC3" w:rsidRDefault="002A4A6A" w:rsidP="00FE5E80">
            <w:pPr>
              <w:pStyle w:val="ListParagraph"/>
              <w:numPr>
                <w:ilvl w:val="0"/>
                <w:numId w:val="48"/>
              </w:numPr>
              <w:spacing w:after="0"/>
              <w:jc w:val="left"/>
              <w:rPr>
                <w:b/>
                <w:sz w:val="14"/>
                <w:lang w:val="es-ES_tradnl"/>
              </w:rPr>
            </w:pPr>
            <w:r w:rsidRPr="00BF5AC3">
              <w:rPr>
                <w:b/>
                <w:sz w:val="14"/>
                <w:lang w:val="es-ES_tradnl"/>
              </w:rPr>
              <w:t xml:space="preserve">Crear un entorno de aprendizaje propicio </w:t>
            </w:r>
          </w:p>
          <w:p w14:paraId="523F1D0E" w14:textId="17A68D41" w:rsidR="002A4A6A" w:rsidRPr="00BF5AC3" w:rsidRDefault="002A4A6A" w:rsidP="002A4A6A">
            <w:pPr>
              <w:pStyle w:val="ListParagraph"/>
              <w:numPr>
                <w:ilvl w:val="0"/>
                <w:numId w:val="48"/>
              </w:numPr>
              <w:spacing w:after="0"/>
              <w:jc w:val="left"/>
              <w:rPr>
                <w:b/>
                <w:sz w:val="14"/>
                <w:lang w:val="es-ES_tradnl"/>
              </w:rPr>
            </w:pPr>
            <w:r w:rsidRPr="00BF5AC3">
              <w:rPr>
                <w:b/>
                <w:sz w:val="14"/>
                <w:lang w:val="es-ES_tradnl"/>
              </w:rPr>
              <w:t>Análisis interno de la preparación para la elaboración de programas</w:t>
            </w:r>
          </w:p>
          <w:p w14:paraId="5A4A8B49" w14:textId="2E2A1E95" w:rsidR="002A4A6A" w:rsidRPr="00BF5AC3" w:rsidRDefault="002A4A6A" w:rsidP="002A4A6A">
            <w:pPr>
              <w:pStyle w:val="ListParagraph"/>
              <w:spacing w:after="0"/>
              <w:ind w:left="360"/>
              <w:jc w:val="left"/>
              <w:rPr>
                <w:b/>
                <w:sz w:val="14"/>
                <w:lang w:val="es-ES_tradnl"/>
              </w:rPr>
            </w:pPr>
            <w:r w:rsidRPr="00BF5AC3">
              <w:rPr>
                <w:b/>
                <w:sz w:val="14"/>
                <w:lang w:val="es-ES_tradnl"/>
              </w:rPr>
              <w:t xml:space="preserve">de transferencias de efectivo </w:t>
            </w:r>
          </w:p>
          <w:p w14:paraId="2EE608F3" w14:textId="036B7D73" w:rsidR="002A4A6A" w:rsidRPr="00BF5AC3" w:rsidRDefault="002A4A6A" w:rsidP="002A4A6A">
            <w:pPr>
              <w:pStyle w:val="ListParagraph"/>
              <w:numPr>
                <w:ilvl w:val="0"/>
                <w:numId w:val="48"/>
              </w:numPr>
              <w:spacing w:after="0"/>
              <w:jc w:val="left"/>
              <w:rPr>
                <w:b/>
                <w:sz w:val="14"/>
                <w:lang w:val="es-ES_tradnl"/>
              </w:rPr>
            </w:pPr>
            <w:r w:rsidRPr="00BF5AC3">
              <w:rPr>
                <w:b/>
                <w:sz w:val="14"/>
                <w:lang w:val="es-ES_tradnl"/>
              </w:rPr>
              <w:t xml:space="preserve">Evaluación externa de las operaciones que abarcan transferencias de efectivo </w:t>
            </w:r>
          </w:p>
          <w:p w14:paraId="3002DFF9" w14:textId="1378942B" w:rsidR="00BA5564" w:rsidRPr="00BF5AC3" w:rsidRDefault="002A4A6A" w:rsidP="002A4A6A">
            <w:pPr>
              <w:pStyle w:val="ListParagraph"/>
              <w:numPr>
                <w:ilvl w:val="0"/>
                <w:numId w:val="48"/>
              </w:numPr>
              <w:spacing w:after="0"/>
              <w:jc w:val="left"/>
              <w:rPr>
                <w:b/>
                <w:sz w:val="14"/>
                <w:lang w:val="es-ES_tradnl"/>
              </w:rPr>
            </w:pPr>
            <w:r w:rsidRPr="00BF5AC3">
              <w:rPr>
                <w:b/>
                <w:sz w:val="14"/>
                <w:lang w:val="es-ES_tradnl"/>
              </w:rPr>
              <w:t>Documentación y difusión de le</w:t>
            </w:r>
            <w:bookmarkStart w:id="0" w:name="_GoBack"/>
            <w:bookmarkEnd w:id="0"/>
            <w:r w:rsidRPr="00BF5AC3">
              <w:rPr>
                <w:b/>
                <w:sz w:val="14"/>
                <w:lang w:val="es-ES_tradnl"/>
              </w:rPr>
              <w:t xml:space="preserve">cciones aprendidas </w:t>
            </w:r>
            <w:r w:rsidR="00BA5564" w:rsidRPr="00BF5AC3">
              <w:rPr>
                <w:b/>
                <w:sz w:val="14"/>
                <w:lang w:val="es-ES_tradnl"/>
              </w:rPr>
              <w:t xml:space="preserve"> </w:t>
            </w:r>
          </w:p>
        </w:tc>
      </w:tr>
    </w:tbl>
    <w:p w14:paraId="7E16B369" w14:textId="322BBD5A" w:rsidR="00DC11CA" w:rsidRPr="00BF5AC3" w:rsidRDefault="00DC11CA" w:rsidP="006B695E">
      <w:pPr>
        <w:pStyle w:val="Heading2"/>
        <w:rPr>
          <w:lang w:val="es-ES_tradnl"/>
        </w:rPr>
      </w:pPr>
      <w:r w:rsidRPr="00BF5AC3">
        <w:rPr>
          <w:lang w:val="es-ES_tradnl"/>
        </w:rPr>
        <w:t>INTRODUC</w:t>
      </w:r>
      <w:r w:rsidR="002A4A6A" w:rsidRPr="00BF5AC3">
        <w:rPr>
          <w:lang w:val="es-ES_tradnl"/>
        </w:rPr>
        <w:t>CIÓ</w:t>
      </w:r>
      <w:r w:rsidRPr="00BF5AC3">
        <w:rPr>
          <w:lang w:val="es-ES_tradnl"/>
        </w:rPr>
        <w:t>N</w:t>
      </w:r>
    </w:p>
    <w:p w14:paraId="7B8284BF" w14:textId="1BDD8D7E" w:rsidR="008167EB" w:rsidRPr="00BF5AC3" w:rsidRDefault="002A4A6A" w:rsidP="0083596A">
      <w:pPr>
        <w:rPr>
          <w:rFonts w:cs="O¯øœ!Ÿ"/>
          <w:lang w:val="es-ES_tradnl"/>
        </w:rPr>
      </w:pPr>
      <w:r w:rsidRPr="00BF5AC3">
        <w:rPr>
          <w:lang w:val="es-ES_tradnl"/>
        </w:rPr>
        <w:t xml:space="preserve">Para poder ejecutar </w:t>
      </w:r>
      <w:r w:rsidR="00BF5AC3">
        <w:rPr>
          <w:lang w:val="es-ES_tradnl"/>
        </w:rPr>
        <w:t xml:space="preserve">los </w:t>
      </w:r>
      <w:r w:rsidRPr="00BF5AC3">
        <w:rPr>
          <w:lang w:val="es-ES_tradnl"/>
        </w:rPr>
        <w:t xml:space="preserve">PTE a tiempo y en la escala adecuada después de una emergencia, los aspectos relativos a la entrega de dinero en efectivo </w:t>
      </w:r>
      <w:r w:rsidR="004D582F" w:rsidRPr="00BF5AC3">
        <w:rPr>
          <w:lang w:val="es-ES_tradnl"/>
        </w:rPr>
        <w:t>deben ser tomado</w:t>
      </w:r>
      <w:r w:rsidRPr="00BF5AC3">
        <w:rPr>
          <w:lang w:val="es-ES_tradnl"/>
        </w:rPr>
        <w:t xml:space="preserve">s en cuenta </w:t>
      </w:r>
      <w:r w:rsidR="004D582F" w:rsidRPr="00BF5AC3">
        <w:rPr>
          <w:lang w:val="es-ES_tradnl"/>
        </w:rPr>
        <w:t xml:space="preserve">a lo largo del proceso de preparación para desastres. </w:t>
      </w:r>
      <w:r w:rsidRPr="00BF5AC3">
        <w:rPr>
          <w:lang w:val="es-ES_tradnl"/>
        </w:rPr>
        <w:t xml:space="preserve">Esta hoja de ruta se centra </w:t>
      </w:r>
      <w:r w:rsidR="00080741" w:rsidRPr="00BF5AC3">
        <w:rPr>
          <w:lang w:val="es-ES_tradnl"/>
        </w:rPr>
        <w:t>en los procesos relativos a la elaboración de la línea de base, al desarrollo de hipótesis de trabajo</w:t>
      </w:r>
      <w:r w:rsidR="00BF5AC3">
        <w:rPr>
          <w:lang w:val="es-ES_tradnl"/>
        </w:rPr>
        <w:t xml:space="preserve"> (o escenarios)</w:t>
      </w:r>
      <w:r w:rsidR="00080741" w:rsidRPr="00BF5AC3">
        <w:rPr>
          <w:lang w:val="es-ES_tradnl"/>
        </w:rPr>
        <w:t xml:space="preserve">, y a la identificación de las deficiencias existentes en la preparación para poder ejecutar programas de PTE. </w:t>
      </w:r>
      <w:r w:rsidR="009740DA" w:rsidRPr="00BF5AC3">
        <w:rPr>
          <w:lang w:val="es-ES_tradnl"/>
        </w:rPr>
        <w:t xml:space="preserve"> </w:t>
      </w:r>
      <w:r w:rsidR="00080741" w:rsidRPr="00BF5AC3">
        <w:rPr>
          <w:lang w:val="es-ES_tradnl"/>
        </w:rPr>
        <w:t xml:space="preserve">La estructura de la hoja de ruta </w:t>
      </w:r>
      <w:r w:rsidR="0083596A" w:rsidRPr="00BF5AC3">
        <w:rPr>
          <w:lang w:val="es-ES_tradnl"/>
        </w:rPr>
        <w:t xml:space="preserve">refleja el paso </w:t>
      </w:r>
      <w:r w:rsidR="009740DA" w:rsidRPr="00BF5AC3">
        <w:rPr>
          <w:lang w:val="es-ES_tradnl"/>
        </w:rPr>
        <w:t>‘prepar</w:t>
      </w:r>
      <w:r w:rsidR="0083596A" w:rsidRPr="00BF5AC3">
        <w:rPr>
          <w:lang w:val="es-ES_tradnl"/>
        </w:rPr>
        <w:t xml:space="preserve">ación y </w:t>
      </w:r>
      <w:r w:rsidR="009740DA" w:rsidRPr="00BF5AC3">
        <w:rPr>
          <w:lang w:val="es-ES_tradnl"/>
        </w:rPr>
        <w:t>an</w:t>
      </w:r>
      <w:r w:rsidR="0083596A" w:rsidRPr="00BF5AC3">
        <w:rPr>
          <w:lang w:val="es-ES_tradnl"/>
        </w:rPr>
        <w:t>álisis</w:t>
      </w:r>
      <w:r w:rsidR="009740DA" w:rsidRPr="00BF5AC3">
        <w:rPr>
          <w:lang w:val="es-ES_tradnl"/>
        </w:rPr>
        <w:t xml:space="preserve">’ </w:t>
      </w:r>
      <w:r w:rsidR="0083596A" w:rsidRPr="00BF5AC3">
        <w:rPr>
          <w:lang w:val="es-ES_tradnl"/>
        </w:rPr>
        <w:t xml:space="preserve">del documento de la Federación Internacional de Cruz Roja </w:t>
      </w:r>
      <w:r w:rsidR="0083596A" w:rsidRPr="00BF5AC3">
        <w:rPr>
          <w:i/>
          <w:lang w:val="es-ES_tradnl"/>
        </w:rPr>
        <w:t>Directrices para la preparación y la integración institucional de Programas de transferencias de dinero en efectivo</w:t>
      </w:r>
      <w:r w:rsidR="0083596A" w:rsidRPr="00BF5AC3">
        <w:rPr>
          <w:lang w:val="es-ES_tradnl"/>
        </w:rPr>
        <w:t xml:space="preserve"> que incluye siete pasos</w:t>
      </w:r>
      <w:r w:rsidR="008167EB" w:rsidRPr="00BF5AC3">
        <w:rPr>
          <w:lang w:val="es-ES_tradnl"/>
        </w:rPr>
        <w:t xml:space="preserve">. </w:t>
      </w:r>
      <w:r w:rsidR="0083596A" w:rsidRPr="00BF5AC3">
        <w:rPr>
          <w:lang w:val="es-ES_tradnl"/>
        </w:rPr>
        <w:t>Cada paso está asociado con herramientas que pueden ser útiles a medida que se avanza en el proceso.</w:t>
      </w:r>
      <w:r w:rsidR="00BF5AC3">
        <w:rPr>
          <w:lang w:val="es-ES_tradnl"/>
        </w:rPr>
        <w:t xml:space="preserve"> Los productos que se desarrolla</w:t>
      </w:r>
      <w:r w:rsidR="0083596A" w:rsidRPr="00BF5AC3">
        <w:rPr>
          <w:lang w:val="es-ES_tradnl"/>
        </w:rPr>
        <w:t xml:space="preserve">n se retroalimentan los unos con los otros. </w:t>
      </w:r>
      <w:r w:rsidR="004D582F" w:rsidRPr="00BF5AC3">
        <w:rPr>
          <w:rFonts w:cs="O¯øœ!Ÿ"/>
          <w:lang w:val="es-ES_tradnl"/>
        </w:rPr>
        <w:t xml:space="preserve">Aunque es posible que no se puedan utilizar todas las herramientas que se sugieren, por lo menos hay que cumplir con los estándares mínimos establecidos para </w:t>
      </w:r>
      <w:r w:rsidR="00BF5AC3" w:rsidRPr="00BF5AC3">
        <w:rPr>
          <w:rFonts w:cs="O¯øœ!Ÿ"/>
          <w:lang w:val="es-ES_tradnl"/>
        </w:rPr>
        <w:t>este proceso</w:t>
      </w:r>
      <w:r w:rsidR="004D582F" w:rsidRPr="00BF5AC3">
        <w:rPr>
          <w:rFonts w:cs="O¯øœ!Ÿ"/>
          <w:lang w:val="es-ES_tradnl"/>
        </w:rPr>
        <w:t xml:space="preserve">.  </w:t>
      </w:r>
      <w:r w:rsidR="0083596A" w:rsidRPr="00BF5AC3">
        <w:rPr>
          <w:lang w:val="es-ES_tradnl"/>
        </w:rPr>
        <w:t xml:space="preserve">Puede que no sea necesario utilizar todas las herramientas propuestas, </w:t>
      </w:r>
      <w:r w:rsidR="00BF5AC3" w:rsidRPr="00BF5AC3">
        <w:rPr>
          <w:lang w:val="es-ES_tradnl"/>
        </w:rPr>
        <w:t>pero,</w:t>
      </w:r>
      <w:r w:rsidR="0083596A" w:rsidRPr="00BF5AC3">
        <w:rPr>
          <w:lang w:val="es-ES_tradnl"/>
        </w:rPr>
        <w:t xml:space="preserve"> en cualquier caso, por lo menos hay que cumplir con los estándares mínimos establecidos para el proceso. </w:t>
      </w:r>
      <w:r w:rsidR="00946108" w:rsidRPr="00BF5AC3">
        <w:rPr>
          <w:rFonts w:cs="O¯øœ!Ÿ"/>
          <w:lang w:val="es-ES_tradnl"/>
        </w:rPr>
        <w:t xml:space="preserve"> </w:t>
      </w:r>
    </w:p>
    <w:p w14:paraId="2AB5CD1C" w14:textId="048E4213" w:rsidR="00DC11CA" w:rsidRPr="00BF5AC3" w:rsidRDefault="004D582F" w:rsidP="006B695E">
      <w:pPr>
        <w:pStyle w:val="Heading2"/>
        <w:rPr>
          <w:lang w:val="es-ES_tradnl"/>
        </w:rPr>
      </w:pPr>
      <w:r w:rsidRPr="00BF5AC3">
        <w:rPr>
          <w:lang w:val="es-ES_tradnl"/>
        </w:rPr>
        <w:lastRenderedPageBreak/>
        <w:t>ESTÁNDARES MÍNIMOS</w:t>
      </w:r>
    </w:p>
    <w:p w14:paraId="1B8A65FE" w14:textId="69D3D07C" w:rsidR="0083036C" w:rsidRPr="00BF5AC3" w:rsidRDefault="004D582F" w:rsidP="00110012">
      <w:pPr>
        <w:pStyle w:val="Bullet1"/>
        <w:rPr>
          <w:lang w:val="es-ES_tradnl"/>
        </w:rPr>
      </w:pPr>
      <w:r w:rsidRPr="00BF5AC3">
        <w:rPr>
          <w:lang w:val="es-ES_tradnl"/>
        </w:rPr>
        <w:t>Lo primero que debe llevarse a cabo es la recopilación y el análisis de información secundaria. A partir de ese primer análisis, se deben identificar los datos e información necesaria restantes</w:t>
      </w:r>
      <w:r w:rsidR="00BF5AC3">
        <w:rPr>
          <w:lang w:val="es-ES_tradnl"/>
        </w:rPr>
        <w:t>,</w:t>
      </w:r>
      <w:r w:rsidRPr="00BF5AC3">
        <w:rPr>
          <w:lang w:val="es-ES_tradnl"/>
        </w:rPr>
        <w:t xml:space="preserve"> que   se </w:t>
      </w:r>
      <w:r w:rsidR="00BF5AC3">
        <w:rPr>
          <w:lang w:val="es-ES_tradnl"/>
        </w:rPr>
        <w:t xml:space="preserve">deberán </w:t>
      </w:r>
      <w:r w:rsidRPr="00BF5AC3">
        <w:rPr>
          <w:lang w:val="es-ES_tradnl"/>
        </w:rPr>
        <w:t xml:space="preserve">cubrir a partir de la recogida de información </w:t>
      </w:r>
      <w:r w:rsidR="001A63B6" w:rsidRPr="00BF5AC3">
        <w:rPr>
          <w:lang w:val="es-ES_tradnl"/>
        </w:rPr>
        <w:t xml:space="preserve">de fuentes </w:t>
      </w:r>
      <w:r w:rsidRPr="00BF5AC3">
        <w:rPr>
          <w:lang w:val="es-ES_tradnl"/>
        </w:rPr>
        <w:t>primaria</w:t>
      </w:r>
      <w:r w:rsidR="001A63B6" w:rsidRPr="00BF5AC3">
        <w:rPr>
          <w:lang w:val="es-ES_tradnl"/>
        </w:rPr>
        <w:t>s</w:t>
      </w:r>
      <w:r w:rsidRPr="00BF5AC3">
        <w:rPr>
          <w:lang w:val="es-ES_tradnl"/>
        </w:rPr>
        <w:t xml:space="preserve">. </w:t>
      </w:r>
    </w:p>
    <w:p w14:paraId="27778B4E" w14:textId="0CDE67E4" w:rsidR="002F350A" w:rsidRPr="00BF5AC3" w:rsidRDefault="004D582F" w:rsidP="00110012">
      <w:pPr>
        <w:pStyle w:val="Bullet1"/>
        <w:rPr>
          <w:lang w:val="es-ES_tradnl"/>
        </w:rPr>
      </w:pPr>
      <w:r w:rsidRPr="00BF5AC3">
        <w:rPr>
          <w:lang w:val="es-ES_tradnl"/>
        </w:rPr>
        <w:t xml:space="preserve">Las líneas de base deben estar integradas en los Planes estratégicos anuales y en los Planes de contingencia, y deben incluir el análisis de los </w:t>
      </w:r>
      <w:r w:rsidR="00751387" w:rsidRPr="00BF5AC3">
        <w:rPr>
          <w:lang w:val="es-ES_tradnl"/>
        </w:rPr>
        <w:t xml:space="preserve">principales </w:t>
      </w:r>
      <w:r w:rsidR="000747E2" w:rsidRPr="00BF5AC3">
        <w:rPr>
          <w:lang w:val="es-ES_tradnl"/>
        </w:rPr>
        <w:t>interesados</w:t>
      </w:r>
      <w:r w:rsidR="00751387" w:rsidRPr="00BF5AC3">
        <w:rPr>
          <w:lang w:val="es-ES_tradnl"/>
        </w:rPr>
        <w:t xml:space="preserve">, las condiciones del mercado, la capacidad de los proveedores de servicios, el acceso y las preferencias de los miembros de la comunidad, y los riesgos asociados a una posible intervención con PTE. </w:t>
      </w:r>
    </w:p>
    <w:p w14:paraId="3027F47F" w14:textId="6ABA9F39" w:rsidR="002F350A" w:rsidRPr="00BF5AC3" w:rsidRDefault="00751387" w:rsidP="00110012">
      <w:pPr>
        <w:pStyle w:val="Bullet1"/>
        <w:rPr>
          <w:lang w:val="es-ES_tradnl"/>
        </w:rPr>
      </w:pPr>
      <w:r w:rsidRPr="00BF5AC3">
        <w:rPr>
          <w:lang w:val="es-ES_tradnl"/>
        </w:rPr>
        <w:t xml:space="preserve">Toda la información recogida de fuentes secundarias y primarias debe ser consolidada y disponible en el informe de línea de base. </w:t>
      </w:r>
    </w:p>
    <w:p w14:paraId="07DB78B8" w14:textId="35584CE2" w:rsidR="002F350A" w:rsidRPr="00BF5AC3" w:rsidRDefault="00413B50" w:rsidP="00110012">
      <w:pPr>
        <w:pStyle w:val="Bullet1"/>
        <w:rPr>
          <w:lang w:val="es-ES_tradnl"/>
        </w:rPr>
      </w:pPr>
      <w:r w:rsidRPr="00BF5AC3">
        <w:rPr>
          <w:lang w:val="es-ES_tradnl"/>
        </w:rPr>
        <w:t>Los escenarios</w:t>
      </w:r>
      <w:r w:rsidR="00751387" w:rsidRPr="00BF5AC3">
        <w:rPr>
          <w:lang w:val="es-ES_tradnl"/>
        </w:rPr>
        <w:t xml:space="preserve"> se deben construir a partir del análisis del contexto y deben incluir una primera aproximación sobre las posibles opciones de intervención. </w:t>
      </w:r>
    </w:p>
    <w:p w14:paraId="09B2D063" w14:textId="057F2DC2" w:rsidR="0083036C" w:rsidRPr="00BF5AC3" w:rsidRDefault="00413B50" w:rsidP="00110012">
      <w:pPr>
        <w:pStyle w:val="Bullet1"/>
        <w:rPr>
          <w:lang w:val="es-ES_tradnl"/>
        </w:rPr>
      </w:pPr>
      <w:r w:rsidRPr="00BF5AC3">
        <w:rPr>
          <w:lang w:val="es-ES_tradnl"/>
        </w:rPr>
        <w:t>Entre lo</w:t>
      </w:r>
      <w:r w:rsidR="00751387" w:rsidRPr="00BF5AC3">
        <w:rPr>
          <w:lang w:val="es-ES_tradnl"/>
        </w:rPr>
        <w:t xml:space="preserve">s </w:t>
      </w:r>
      <w:r w:rsidRPr="00BF5AC3">
        <w:rPr>
          <w:lang w:val="es-ES_tradnl"/>
        </w:rPr>
        <w:t xml:space="preserve">posibles </w:t>
      </w:r>
      <w:r w:rsidR="00751387" w:rsidRPr="00BF5AC3">
        <w:rPr>
          <w:lang w:val="es-ES_tradnl"/>
        </w:rPr>
        <w:t xml:space="preserve">escenarios, por lo menos el “peor de los escenarios” debe ser desarrollado. </w:t>
      </w:r>
    </w:p>
    <w:p w14:paraId="2BF11984" w14:textId="11D37ED5" w:rsidR="00F950FD" w:rsidRPr="00BF5AC3" w:rsidRDefault="006720A1" w:rsidP="00110012">
      <w:pPr>
        <w:pStyle w:val="Bullet1"/>
        <w:rPr>
          <w:lang w:val="es-ES_tradnl"/>
        </w:rPr>
      </w:pPr>
      <w:r w:rsidRPr="00BF5AC3">
        <w:rPr>
          <w:lang w:val="es-ES_tradnl"/>
        </w:rPr>
        <w:t xml:space="preserve">La promoción de los PTE debe ser parte del proceso de preparación </w:t>
      </w:r>
      <w:r w:rsidR="00BF5AC3" w:rsidRPr="00BF5AC3">
        <w:rPr>
          <w:lang w:val="es-ES_tradnl"/>
        </w:rPr>
        <w:t>desde</w:t>
      </w:r>
      <w:r w:rsidRPr="00BF5AC3">
        <w:rPr>
          <w:lang w:val="es-ES_tradnl"/>
        </w:rPr>
        <w:t xml:space="preserve"> principio, y </w:t>
      </w:r>
      <w:r w:rsidR="00BF5AC3" w:rsidRPr="00BF5AC3">
        <w:rPr>
          <w:lang w:val="es-ES_tradnl"/>
        </w:rPr>
        <w:t>debe aclarar</w:t>
      </w:r>
      <w:r w:rsidRPr="00BF5AC3">
        <w:rPr>
          <w:lang w:val="es-ES_tradnl"/>
        </w:rPr>
        <w:t xml:space="preserve"> aquéllas preocupaciones o reticencias que pueden crear </w:t>
      </w:r>
      <w:r w:rsidR="00BF5AC3" w:rsidRPr="00BF5AC3">
        <w:rPr>
          <w:lang w:val="es-ES_tradnl"/>
        </w:rPr>
        <w:t>obstáculos</w:t>
      </w:r>
      <w:r w:rsidRPr="00BF5AC3">
        <w:rPr>
          <w:lang w:val="es-ES_tradnl"/>
        </w:rPr>
        <w:t xml:space="preserve"> cara a la ejecución de PTE, tanto en el ámbito interno de la organización como externo. </w:t>
      </w:r>
    </w:p>
    <w:p w14:paraId="5B6CB598" w14:textId="4ADE8D0F" w:rsidR="00F950FD" w:rsidRPr="00BF5AC3" w:rsidRDefault="006720A1" w:rsidP="00110012">
      <w:pPr>
        <w:pStyle w:val="Bullet1"/>
        <w:rPr>
          <w:lang w:val="es-ES_tradnl"/>
        </w:rPr>
      </w:pPr>
      <w:r w:rsidRPr="00BF5AC3">
        <w:rPr>
          <w:rFonts w:eastAsia="Arial"/>
          <w:w w:val="102"/>
          <w:lang w:val="es-ES_tradnl"/>
        </w:rPr>
        <w:t xml:space="preserve">Los principales tomadores de </w:t>
      </w:r>
      <w:r w:rsidR="00BF5AC3" w:rsidRPr="00BF5AC3">
        <w:rPr>
          <w:rFonts w:eastAsia="Arial"/>
          <w:w w:val="102"/>
          <w:lang w:val="es-ES_tradnl"/>
        </w:rPr>
        <w:t>decisiones</w:t>
      </w:r>
      <w:r w:rsidRPr="00BF5AC3">
        <w:rPr>
          <w:rFonts w:eastAsia="Arial"/>
          <w:w w:val="102"/>
          <w:lang w:val="es-ES_tradnl"/>
        </w:rPr>
        <w:t xml:space="preserve"> de los departamentos clave </w:t>
      </w:r>
      <w:r w:rsidR="00F950FD" w:rsidRPr="00BF5AC3">
        <w:rPr>
          <w:rFonts w:eastAsia="Arial"/>
          <w:w w:val="102"/>
          <w:lang w:val="es-ES_tradnl"/>
        </w:rPr>
        <w:t>(</w:t>
      </w:r>
      <w:r w:rsidRPr="00BF5AC3">
        <w:rPr>
          <w:rFonts w:eastAsia="Arial"/>
          <w:w w:val="102"/>
          <w:lang w:val="es-ES_tradnl"/>
        </w:rPr>
        <w:t xml:space="preserve">gestión de desastres, </w:t>
      </w:r>
      <w:r w:rsidR="00BF5AC3" w:rsidRPr="00BF5AC3">
        <w:rPr>
          <w:rFonts w:eastAsia="Arial"/>
          <w:w w:val="102"/>
          <w:lang w:val="es-ES_tradnl"/>
        </w:rPr>
        <w:t>salud, logística</w:t>
      </w:r>
      <w:r w:rsidR="00F950FD" w:rsidRPr="00BF5AC3">
        <w:rPr>
          <w:rFonts w:eastAsia="Arial"/>
          <w:w w:val="102"/>
          <w:lang w:val="es-ES_tradnl"/>
        </w:rPr>
        <w:t>, finan</w:t>
      </w:r>
      <w:r w:rsidRPr="00BF5AC3">
        <w:rPr>
          <w:rFonts w:eastAsia="Arial"/>
          <w:w w:val="102"/>
          <w:lang w:val="es-ES_tradnl"/>
        </w:rPr>
        <w:t>zas</w:t>
      </w:r>
      <w:r w:rsidR="00F950FD" w:rsidRPr="00BF5AC3">
        <w:rPr>
          <w:rFonts w:eastAsia="Arial"/>
          <w:w w:val="102"/>
          <w:lang w:val="es-ES_tradnl"/>
        </w:rPr>
        <w:t>,</w:t>
      </w:r>
      <w:r w:rsidRPr="00BF5AC3">
        <w:rPr>
          <w:rFonts w:eastAsia="Arial"/>
          <w:w w:val="102"/>
          <w:lang w:val="es-ES_tradnl"/>
        </w:rPr>
        <w:t xml:space="preserve"> desarrollo de sectoriales, etc…</w:t>
      </w:r>
      <w:r w:rsidR="00F950FD" w:rsidRPr="00BF5AC3">
        <w:rPr>
          <w:rFonts w:eastAsia="Arial"/>
          <w:w w:val="102"/>
          <w:lang w:val="es-ES_tradnl"/>
        </w:rPr>
        <w:t>)</w:t>
      </w:r>
      <w:r w:rsidR="00BF5AC3">
        <w:rPr>
          <w:rFonts w:eastAsia="Arial"/>
          <w:w w:val="102"/>
          <w:lang w:val="es-ES_tradnl"/>
        </w:rPr>
        <w:t xml:space="preserve"> deben estar</w:t>
      </w:r>
      <w:r w:rsidRPr="00BF5AC3">
        <w:rPr>
          <w:rFonts w:eastAsia="Arial"/>
          <w:w w:val="102"/>
          <w:lang w:val="es-ES_tradnl"/>
        </w:rPr>
        <w:t xml:space="preserve"> </w:t>
      </w:r>
      <w:r w:rsidR="00BF5AC3" w:rsidRPr="00BF5AC3">
        <w:rPr>
          <w:rFonts w:eastAsia="Arial"/>
          <w:w w:val="102"/>
          <w:lang w:val="es-ES_tradnl"/>
        </w:rPr>
        <w:t xml:space="preserve">activamente </w:t>
      </w:r>
      <w:r w:rsidRPr="00BF5AC3">
        <w:rPr>
          <w:rFonts w:eastAsia="Arial"/>
          <w:w w:val="102"/>
          <w:lang w:val="es-ES_tradnl"/>
        </w:rPr>
        <w:t xml:space="preserve">involucrados en el proceso de preparación de PTE. </w:t>
      </w:r>
      <w:r w:rsidR="00313542" w:rsidRPr="00BF5AC3">
        <w:rPr>
          <w:rFonts w:eastAsia="Arial"/>
          <w:w w:val="102"/>
          <w:lang w:val="es-ES_tradnl"/>
        </w:rPr>
        <w:t xml:space="preserve"> </w:t>
      </w:r>
    </w:p>
    <w:p w14:paraId="747F5D7C" w14:textId="760ADEFB" w:rsidR="009143C6" w:rsidRPr="00BF5AC3" w:rsidRDefault="006720A1" w:rsidP="00110012">
      <w:pPr>
        <w:pStyle w:val="Bullet1"/>
        <w:rPr>
          <w:lang w:val="es-ES_tradnl"/>
        </w:rPr>
      </w:pPr>
      <w:r w:rsidRPr="00BF5AC3">
        <w:rPr>
          <w:lang w:val="es-ES_tradnl"/>
        </w:rPr>
        <w:t xml:space="preserve">Se debe llevar a cabo una autoevaluación de la organización que permita identificar las deficiencias organizacionales cara a implementar PTE a tiempo y en la escala adecuada. </w:t>
      </w:r>
    </w:p>
    <w:p w14:paraId="55325302" w14:textId="6BAA76AE" w:rsidR="00DC11CA" w:rsidRPr="00BF5AC3" w:rsidRDefault="00DC11CA" w:rsidP="006B695E">
      <w:pPr>
        <w:pStyle w:val="Heading2"/>
        <w:rPr>
          <w:lang w:val="es-ES_tradnl"/>
        </w:rPr>
      </w:pPr>
      <w:r w:rsidRPr="00BF5AC3">
        <w:rPr>
          <w:lang w:val="es-ES_tradnl"/>
        </w:rPr>
        <w:t>S</w:t>
      </w:r>
      <w:r w:rsidR="00522360" w:rsidRPr="00BF5AC3">
        <w:rPr>
          <w:lang w:val="es-ES_tradnl"/>
        </w:rPr>
        <w:t xml:space="preserve">UB-ETAPAS Y HERRAMIENTAS </w:t>
      </w:r>
      <w:r w:rsidR="00AC217B" w:rsidRPr="00BF5AC3">
        <w:rPr>
          <w:lang w:val="es-ES_tradnl"/>
        </w:rPr>
        <w:t xml:space="preserve"> </w:t>
      </w:r>
    </w:p>
    <w:p w14:paraId="02D294AA" w14:textId="0D7B7FF0" w:rsidR="00B134A1" w:rsidRPr="00BF5AC3" w:rsidRDefault="001F2B3D" w:rsidP="009E7CE4">
      <w:pPr>
        <w:pStyle w:val="Heading3"/>
        <w:rPr>
          <w:lang w:val="es-ES_tradnl"/>
        </w:rPr>
      </w:pPr>
      <w:r w:rsidRPr="00BF5AC3">
        <w:rPr>
          <w:lang w:val="es-ES_tradnl"/>
        </w:rPr>
        <w:t xml:space="preserve">Examen y análisis de información secundaria </w:t>
      </w:r>
      <w:r w:rsidR="00522360" w:rsidRPr="00BF5AC3">
        <w:rPr>
          <w:lang w:val="es-ES_tradnl"/>
        </w:rPr>
        <w:t xml:space="preserve"> </w:t>
      </w:r>
    </w:p>
    <w:p w14:paraId="081A7E54" w14:textId="6672B461" w:rsidR="004F4945" w:rsidRPr="00BF5AC3" w:rsidRDefault="00522360" w:rsidP="009E7CE4">
      <w:pPr>
        <w:rPr>
          <w:lang w:val="es-ES_tradnl"/>
        </w:rPr>
      </w:pPr>
      <w:r w:rsidRPr="00BF5AC3">
        <w:rPr>
          <w:lang w:val="es-ES_tradnl"/>
        </w:rPr>
        <w:t xml:space="preserve">La </w:t>
      </w:r>
      <w:r w:rsidR="00BF5AC3" w:rsidRPr="00BF5AC3">
        <w:rPr>
          <w:lang w:val="es-ES_tradnl"/>
        </w:rPr>
        <w:t>revisión</w:t>
      </w:r>
      <w:r w:rsidRPr="00BF5AC3">
        <w:rPr>
          <w:lang w:val="es-ES_tradnl"/>
        </w:rPr>
        <w:t xml:space="preserve"> y el análisis</w:t>
      </w:r>
      <w:r w:rsidR="00BE3C0C" w:rsidRPr="00BF5AC3">
        <w:rPr>
          <w:lang w:val="es-ES_tradnl"/>
        </w:rPr>
        <w:t xml:space="preserve"> </w:t>
      </w:r>
      <w:r w:rsidRPr="00BF5AC3">
        <w:rPr>
          <w:lang w:val="es-ES_tradnl"/>
        </w:rPr>
        <w:t xml:space="preserve">de la información secundaria normalmente es el primer paso en la planificación de la preparación, ya que proporciona un punto de referencia a partir del cual se pueden entender el alcance y la magnitud de un futuro desastre. La información secundaria se puede conseguir a partir de un amplio abanico de fuentes, que incluyen el gobierno local, NNUU y otras organizaciones humanitarias o de desarrollo. El análisis de debe centrar en los siguientes datos: el historial de riesgos </w:t>
      </w:r>
      <w:r w:rsidR="001F2B3D" w:rsidRPr="00BF5AC3">
        <w:rPr>
          <w:lang w:val="es-ES_tradnl"/>
        </w:rPr>
        <w:t xml:space="preserve">desastres; las vulnerabilidades; </w:t>
      </w:r>
      <w:r w:rsidRPr="00BF5AC3">
        <w:rPr>
          <w:lang w:val="es-ES_tradnl"/>
        </w:rPr>
        <w:t>los programas y las pol</w:t>
      </w:r>
      <w:r w:rsidR="001F2B3D" w:rsidRPr="00BF5AC3">
        <w:rPr>
          <w:lang w:val="es-ES_tradnl"/>
        </w:rPr>
        <w:t xml:space="preserve">íticas gubernamentales; </w:t>
      </w:r>
      <w:r w:rsidRPr="00BF5AC3">
        <w:rPr>
          <w:lang w:val="es-ES_tradnl"/>
        </w:rPr>
        <w:t>el marco legal (inclusive los temas relativos a la privacidad y a la protecci</w:t>
      </w:r>
      <w:r w:rsidR="001F2B3D" w:rsidRPr="00BF5AC3">
        <w:rPr>
          <w:lang w:val="es-ES_tradnl"/>
        </w:rPr>
        <w:t>ón de datos)</w:t>
      </w:r>
      <w:r w:rsidR="00CA4B46" w:rsidRPr="00BF5AC3">
        <w:rPr>
          <w:lang w:val="es-ES_tradnl"/>
        </w:rPr>
        <w:t xml:space="preserve">; </w:t>
      </w:r>
      <w:r w:rsidR="001F2B3D" w:rsidRPr="00BF5AC3">
        <w:rPr>
          <w:lang w:val="es-ES_tradnl"/>
        </w:rPr>
        <w:t xml:space="preserve">los </w:t>
      </w:r>
      <w:r w:rsidR="00BF5AC3" w:rsidRPr="00BF5AC3">
        <w:rPr>
          <w:lang w:val="es-ES_tradnl"/>
        </w:rPr>
        <w:t>mecanismos</w:t>
      </w:r>
      <w:r w:rsidR="001F2B3D" w:rsidRPr="00BF5AC3">
        <w:rPr>
          <w:lang w:val="es-ES_tradnl"/>
        </w:rPr>
        <w:t xml:space="preserve"> de </w:t>
      </w:r>
      <w:r w:rsidR="00CA4B46" w:rsidRPr="00BF5AC3">
        <w:rPr>
          <w:lang w:val="es-ES_tradnl"/>
        </w:rPr>
        <w:t>coordina</w:t>
      </w:r>
      <w:r w:rsidR="001F2B3D" w:rsidRPr="00BF5AC3">
        <w:rPr>
          <w:lang w:val="es-ES_tradnl"/>
        </w:rPr>
        <w:t>c</w:t>
      </w:r>
      <w:r w:rsidR="00CA4B46" w:rsidRPr="00BF5AC3">
        <w:rPr>
          <w:lang w:val="es-ES_tradnl"/>
        </w:rPr>
        <w:t>i</w:t>
      </w:r>
      <w:r w:rsidR="001F2B3D" w:rsidRPr="00BF5AC3">
        <w:rPr>
          <w:lang w:val="es-ES_tradnl"/>
        </w:rPr>
        <w:t>ó</w:t>
      </w:r>
      <w:r w:rsidR="00CA4B46" w:rsidRPr="00BF5AC3">
        <w:rPr>
          <w:lang w:val="es-ES_tradnl"/>
        </w:rPr>
        <w:t xml:space="preserve">n; </w:t>
      </w:r>
      <w:r w:rsidR="001F2B3D" w:rsidRPr="00BF5AC3">
        <w:rPr>
          <w:lang w:val="es-ES_tradnl"/>
        </w:rPr>
        <w:t>capacidad y dinámica de los mercados</w:t>
      </w:r>
      <w:r w:rsidR="00CA4B46" w:rsidRPr="00BF5AC3">
        <w:rPr>
          <w:lang w:val="es-ES_tradnl"/>
        </w:rPr>
        <w:t xml:space="preserve">; </w:t>
      </w:r>
      <w:r w:rsidR="001F2B3D" w:rsidRPr="00BF5AC3">
        <w:rPr>
          <w:lang w:val="es-ES_tradnl"/>
        </w:rPr>
        <w:t>e infraestructura y servicios</w:t>
      </w:r>
      <w:r w:rsidR="00CA4B46" w:rsidRPr="00BF5AC3">
        <w:rPr>
          <w:lang w:val="es-ES_tradnl"/>
        </w:rPr>
        <w:t xml:space="preserve">. </w:t>
      </w:r>
      <w:r w:rsidR="001F2B3D" w:rsidRPr="00BF5AC3">
        <w:rPr>
          <w:lang w:val="es-ES_tradnl"/>
        </w:rPr>
        <w:t xml:space="preserve">En las herramientas de las sub-etapas se encuentran un listado de páginas web que pueden proporcionar información secundaria de utilidad. Al utilizar información secundaria es importante preguntarse si la fuente es fiable, la metodología utilizada sólida y los datos útiles. </w:t>
      </w:r>
    </w:p>
    <w:p w14:paraId="7B6D1FCC" w14:textId="4DB9841A" w:rsidR="00AD6DF0" w:rsidRPr="00BF5AC3" w:rsidRDefault="001F2B3D" w:rsidP="009E7CE4">
      <w:pPr>
        <w:pStyle w:val="Heading3"/>
        <w:rPr>
          <w:lang w:val="es-ES_tradnl"/>
        </w:rPr>
      </w:pPr>
      <w:r w:rsidRPr="00BF5AC3">
        <w:rPr>
          <w:lang w:val="es-ES_tradnl"/>
        </w:rPr>
        <w:t xml:space="preserve">Recopilación y análisis de información primaria  </w:t>
      </w:r>
    </w:p>
    <w:p w14:paraId="2469D9A9" w14:textId="0B2F0539" w:rsidR="009A7DE0" w:rsidRPr="00BF5AC3" w:rsidRDefault="00E16370" w:rsidP="009E7CE4">
      <w:pPr>
        <w:rPr>
          <w:w w:val="102"/>
          <w:lang w:val="es-ES_tradnl"/>
        </w:rPr>
      </w:pPr>
      <w:r w:rsidRPr="00BF5AC3">
        <w:rPr>
          <w:w w:val="102"/>
          <w:lang w:val="es-ES_tradnl"/>
        </w:rPr>
        <w:t xml:space="preserve">La información secundaria se utiliza para entender el contexto, pero, normalmente, no es suficiente para proporcionar </w:t>
      </w:r>
      <w:r w:rsidR="00BF5AC3">
        <w:rPr>
          <w:w w:val="102"/>
          <w:lang w:val="es-ES_tradnl"/>
        </w:rPr>
        <w:t xml:space="preserve">una </w:t>
      </w:r>
      <w:r w:rsidRPr="00BF5AC3">
        <w:rPr>
          <w:w w:val="102"/>
          <w:lang w:val="es-ES_tradnl"/>
        </w:rPr>
        <w:t xml:space="preserve">visión completa de la situación. Es probable que se tenga que recoger información de primera mano para cubrir las lagunas de información existentes y poder responder a cuestiones que quedaron pendientes de respuesta en el primer análisis a través de información secundaria. La información que se consigue de primera mano se llama información primaria y se puede llevar a cabo a través de una serie de métodos que incluyen las entrevistas y los grupos focales con informantes clave. Entre las herramientas de las sub-etapas se pueden encontrar herramientas útiles para identificar a los principales </w:t>
      </w:r>
      <w:r w:rsidR="000747E2" w:rsidRPr="00BF5AC3">
        <w:rPr>
          <w:w w:val="102"/>
          <w:lang w:val="es-ES_tradnl"/>
        </w:rPr>
        <w:t>interesados</w:t>
      </w:r>
      <w:r w:rsidRPr="00BF5AC3">
        <w:rPr>
          <w:w w:val="102"/>
          <w:lang w:val="es-ES_tradnl"/>
        </w:rPr>
        <w:t xml:space="preserve">: </w:t>
      </w:r>
      <w:r w:rsidR="004C2E03" w:rsidRPr="00BF5AC3">
        <w:rPr>
          <w:w w:val="102"/>
          <w:lang w:val="es-ES_tradnl"/>
        </w:rPr>
        <w:t xml:space="preserve"> </w:t>
      </w:r>
      <w:r w:rsidR="009A7DE0" w:rsidRPr="00BF5AC3">
        <w:rPr>
          <w:lang w:val="es-ES_tradnl"/>
        </w:rPr>
        <w:t xml:space="preserve"> </w:t>
      </w:r>
      <w:r w:rsidR="000747E2" w:rsidRPr="00BF5AC3">
        <w:rPr>
          <w:lang w:val="es-ES_tradnl"/>
        </w:rPr>
        <w:t xml:space="preserve">aquellos grupos que pueden tener una influencia significante, o bien que son importantes para el éxito de una posible intervención con uso de efectivo. </w:t>
      </w:r>
      <w:r w:rsidR="009A7DE0" w:rsidRPr="00BF5AC3">
        <w:rPr>
          <w:lang w:val="es-ES_tradnl"/>
        </w:rPr>
        <w:t xml:space="preserve"> </w:t>
      </w:r>
      <w:r w:rsidR="00630792" w:rsidRPr="00BF5AC3">
        <w:rPr>
          <w:lang w:val="es-ES_tradnl"/>
        </w:rPr>
        <w:t xml:space="preserve">También se pueden encontrar listas de verificación sobre la información específica para la entrega de efectivo que se debe conseguir a través de los informantes clave, y en particular de las organizaciones humanitarias, de las autoridades locales, las comunidades y de los proveedores de servicios financieros. Además, </w:t>
      </w:r>
      <w:r w:rsidR="008C773C" w:rsidRPr="00BF5AC3">
        <w:rPr>
          <w:lang w:val="es-ES_tradnl"/>
        </w:rPr>
        <w:t xml:space="preserve">se incluyen </w:t>
      </w:r>
      <w:r w:rsidR="00630792" w:rsidRPr="00BF5AC3">
        <w:rPr>
          <w:lang w:val="es-ES_tradnl"/>
        </w:rPr>
        <w:t xml:space="preserve">herramientas </w:t>
      </w:r>
      <w:r w:rsidR="008C773C" w:rsidRPr="00BF5AC3">
        <w:rPr>
          <w:lang w:val="es-ES_tradnl"/>
        </w:rPr>
        <w:t xml:space="preserve">que sirven para cuantificar las necesidades prioritarias de la población y calcular el valor de una posible transferencia de efectivo. Finalmente, se pueden encontrar herramientas útiles a la hora de realizar líneas de base de mercados y análisis de riesgos. </w:t>
      </w:r>
    </w:p>
    <w:p w14:paraId="0BCFE850" w14:textId="2B31E44B" w:rsidR="00AD6DF0" w:rsidRPr="00BF5AC3" w:rsidRDefault="008C773C" w:rsidP="009E7CE4">
      <w:pPr>
        <w:pStyle w:val="Heading3"/>
        <w:rPr>
          <w:lang w:val="es-ES_tradnl"/>
        </w:rPr>
      </w:pPr>
      <w:r w:rsidRPr="00BF5AC3">
        <w:rPr>
          <w:lang w:val="es-ES_tradnl"/>
        </w:rPr>
        <w:lastRenderedPageBreak/>
        <w:t xml:space="preserve">Documentación de la línea de base </w:t>
      </w:r>
    </w:p>
    <w:p w14:paraId="79657BD0" w14:textId="641AFFA3" w:rsidR="00AC217B" w:rsidRPr="00BF5AC3" w:rsidRDefault="008C773C" w:rsidP="009E7CE4">
      <w:pPr>
        <w:rPr>
          <w:lang w:val="es-ES_tradnl"/>
        </w:rPr>
      </w:pPr>
      <w:r w:rsidRPr="00BF5AC3">
        <w:rPr>
          <w:lang w:val="es-ES_tradnl"/>
        </w:rPr>
        <w:t xml:space="preserve">Al elaborar el informe de la línea de base, se garantiza que toda la información primaria y secundaria </w:t>
      </w:r>
      <w:r w:rsidR="00C732FA" w:rsidRPr="00BF5AC3">
        <w:rPr>
          <w:lang w:val="es-ES_tradnl"/>
        </w:rPr>
        <w:t>recopilada</w:t>
      </w:r>
      <w:r w:rsidRPr="00BF5AC3">
        <w:rPr>
          <w:lang w:val="es-ES_tradnl"/>
        </w:rPr>
        <w:t xml:space="preserve"> </w:t>
      </w:r>
      <w:r w:rsidR="00C732FA" w:rsidRPr="00BF5AC3">
        <w:rPr>
          <w:lang w:val="es-ES_tradnl"/>
        </w:rPr>
        <w:t xml:space="preserve">queda consolidada y está </w:t>
      </w:r>
      <w:r w:rsidR="00BF5AC3" w:rsidRPr="00BF5AC3">
        <w:rPr>
          <w:lang w:val="es-ES_tradnl"/>
        </w:rPr>
        <w:t>fácilmente</w:t>
      </w:r>
      <w:r w:rsidR="00C732FA" w:rsidRPr="00BF5AC3">
        <w:rPr>
          <w:lang w:val="es-ES_tradnl"/>
        </w:rPr>
        <w:t xml:space="preserve"> </w:t>
      </w:r>
      <w:r w:rsidR="00156DEF" w:rsidRPr="00BF5AC3">
        <w:rPr>
          <w:lang w:val="es-ES_tradnl"/>
        </w:rPr>
        <w:t xml:space="preserve">a disposición. </w:t>
      </w:r>
      <w:r w:rsidR="00C732FA" w:rsidRPr="00BF5AC3">
        <w:rPr>
          <w:lang w:val="es-ES_tradnl"/>
        </w:rPr>
        <w:t>El informe debe cubrir aspectos relativos al análisis de la situación, a la capacidad y nivel de preparación para PTE, a cuán favorable a los PTE es el context</w:t>
      </w:r>
      <w:r w:rsidR="00413B50" w:rsidRPr="00BF5AC3">
        <w:rPr>
          <w:lang w:val="es-ES_tradnl"/>
        </w:rPr>
        <w:t>o</w:t>
      </w:r>
      <w:r w:rsidR="00C732FA" w:rsidRPr="00BF5AC3">
        <w:rPr>
          <w:lang w:val="es-ES_tradnl"/>
        </w:rPr>
        <w:t xml:space="preserve">, y </w:t>
      </w:r>
      <w:r w:rsidR="00156DEF" w:rsidRPr="00BF5AC3">
        <w:rPr>
          <w:lang w:val="es-ES_tradnl"/>
        </w:rPr>
        <w:t xml:space="preserve">también </w:t>
      </w:r>
      <w:r w:rsidR="00C732FA" w:rsidRPr="00BF5AC3">
        <w:rPr>
          <w:lang w:val="es-ES_tradnl"/>
        </w:rPr>
        <w:t>debe incluir un análisis de riesgos. El informe de la línea de base proporci</w:t>
      </w:r>
      <w:r w:rsidR="00413B50" w:rsidRPr="00BF5AC3">
        <w:rPr>
          <w:lang w:val="es-ES_tradnl"/>
        </w:rPr>
        <w:t>o</w:t>
      </w:r>
      <w:r w:rsidR="00C732FA" w:rsidRPr="00BF5AC3">
        <w:rPr>
          <w:lang w:val="es-ES_tradnl"/>
        </w:rPr>
        <w:t>na un punto de partida para la elaboración d</w:t>
      </w:r>
      <w:r w:rsidR="00156DEF" w:rsidRPr="00BF5AC3">
        <w:rPr>
          <w:lang w:val="es-ES_tradnl"/>
        </w:rPr>
        <w:t>e lo</w:t>
      </w:r>
      <w:r w:rsidR="00C732FA" w:rsidRPr="00BF5AC3">
        <w:rPr>
          <w:lang w:val="es-ES_tradnl"/>
        </w:rPr>
        <w:t xml:space="preserve">s escenarios. </w:t>
      </w:r>
      <w:r w:rsidR="0074526F" w:rsidRPr="00BF5AC3">
        <w:rPr>
          <w:lang w:val="es-ES_tradnl"/>
        </w:rPr>
        <w:t xml:space="preserve"> </w:t>
      </w:r>
    </w:p>
    <w:p w14:paraId="454BC09D" w14:textId="2B347B70" w:rsidR="00AC217B" w:rsidRPr="00BF5AC3" w:rsidRDefault="008C773C" w:rsidP="009E7CE4">
      <w:pPr>
        <w:pStyle w:val="Heading3"/>
        <w:rPr>
          <w:lang w:val="es-ES_tradnl"/>
        </w:rPr>
      </w:pPr>
      <w:r w:rsidRPr="00BF5AC3">
        <w:rPr>
          <w:lang w:val="es-ES_tradnl"/>
        </w:rPr>
        <w:t>Elaboración y a</w:t>
      </w:r>
      <w:r w:rsidR="00413B50" w:rsidRPr="00BF5AC3">
        <w:rPr>
          <w:lang w:val="es-ES_tradnl"/>
        </w:rPr>
        <w:t>nálisis de los escenarios</w:t>
      </w:r>
    </w:p>
    <w:p w14:paraId="4D124520" w14:textId="3F90E9CE" w:rsidR="00523E1E" w:rsidRPr="00BF5AC3" w:rsidRDefault="00413B50" w:rsidP="009E7CE4">
      <w:pPr>
        <w:rPr>
          <w:lang w:val="es-ES_tradnl"/>
        </w:rPr>
      </w:pPr>
      <w:r w:rsidRPr="00BF5AC3">
        <w:rPr>
          <w:lang w:val="es-ES_tradnl"/>
        </w:rPr>
        <w:t>Un escenario o hipótesis de trabajo es un conjunto de supuestos, formulados a partir de una línea de base, sobre cu</w:t>
      </w:r>
      <w:r w:rsidR="002C2F55" w:rsidRPr="00BF5AC3">
        <w:rPr>
          <w:lang w:val="es-ES_tradnl"/>
        </w:rPr>
        <w:t>á</w:t>
      </w:r>
      <w:r w:rsidRPr="00BF5AC3">
        <w:rPr>
          <w:lang w:val="es-ES_tradnl"/>
        </w:rPr>
        <w:t xml:space="preserve">ndo </w:t>
      </w:r>
      <w:r w:rsidR="00156DEF" w:rsidRPr="00BF5AC3">
        <w:rPr>
          <w:lang w:val="es-ES_tradnl"/>
        </w:rPr>
        <w:t xml:space="preserve">puede tener lugar una emergencia </w:t>
      </w:r>
      <w:r w:rsidR="002C2F55" w:rsidRPr="00BF5AC3">
        <w:rPr>
          <w:lang w:val="es-ES_tradnl"/>
        </w:rPr>
        <w:t xml:space="preserve">y cómo puede evolucionar a partir de situaciones y factores desencadenantes como conflictos, desastres, etc. En la elaboración de los escenarios, se puede </w:t>
      </w:r>
      <w:r w:rsidR="00BF5AC3" w:rsidRPr="00BF5AC3">
        <w:rPr>
          <w:lang w:val="es-ES_tradnl"/>
        </w:rPr>
        <w:t>aprovechar</w:t>
      </w:r>
      <w:r w:rsidR="002C2F55" w:rsidRPr="00BF5AC3">
        <w:rPr>
          <w:lang w:val="es-ES_tradnl"/>
        </w:rPr>
        <w:t xml:space="preserve"> la información generada en otras sub-etapas, y en particular las deficiencias identificadas cara a una buena preparación. </w:t>
      </w:r>
    </w:p>
    <w:p w14:paraId="5384BAC2" w14:textId="43628D3D" w:rsidR="00A65C60" w:rsidRPr="00BF5AC3" w:rsidRDefault="002C2F55" w:rsidP="009E7CE4">
      <w:pPr>
        <w:rPr>
          <w:lang w:val="es-ES_tradnl"/>
        </w:rPr>
      </w:pPr>
      <w:r w:rsidRPr="00BF5AC3">
        <w:rPr>
          <w:lang w:val="es-ES_tradnl"/>
        </w:rPr>
        <w:t xml:space="preserve">El </w:t>
      </w:r>
      <w:r w:rsidRPr="00BF5AC3">
        <w:rPr>
          <w:u w:val="single"/>
          <w:lang w:val="es-ES_tradnl"/>
        </w:rPr>
        <w:t>Plan de contingencia</w:t>
      </w:r>
      <w:r w:rsidRPr="00BF5AC3">
        <w:rPr>
          <w:lang w:val="es-ES_tradnl"/>
        </w:rPr>
        <w:t xml:space="preserve"> de la Sociedad Nacional es el primer documento que debe consultarse a la hora de empezar con el desarrollo de los escenarios. En caso de que éste no exista, la mejor manera para empezar con el desarrollo de los</w:t>
      </w:r>
      <w:r w:rsidR="00526842" w:rsidRPr="00BF5AC3">
        <w:rPr>
          <w:lang w:val="es-ES_tradnl"/>
        </w:rPr>
        <w:t xml:space="preserve"> </w:t>
      </w:r>
      <w:r w:rsidRPr="00BF5AC3">
        <w:rPr>
          <w:lang w:val="es-ES_tradnl"/>
        </w:rPr>
        <w:t>escenarios</w:t>
      </w:r>
      <w:r w:rsidR="00526842" w:rsidRPr="00BF5AC3">
        <w:rPr>
          <w:lang w:val="es-ES_tradnl"/>
        </w:rPr>
        <w:t xml:space="preserve"> es a través de una lluvia de ideas sobre posibles escenarios de emergencia que podrían requerir asistencia humanitaria. Entre los posibles escenarios de emergencia, sólo unos pocos </w:t>
      </w:r>
      <w:r w:rsidR="00FB3CCE" w:rsidRPr="00BF5AC3">
        <w:rPr>
          <w:lang w:val="es-ES_tradnl"/>
        </w:rPr>
        <w:t>(general</w:t>
      </w:r>
      <w:r w:rsidR="00526842" w:rsidRPr="00BF5AC3">
        <w:rPr>
          <w:lang w:val="es-ES_tradnl"/>
        </w:rPr>
        <w:t xml:space="preserve">mente dos o tres) </w:t>
      </w:r>
      <w:r w:rsidR="00252705" w:rsidRPr="00BF5AC3">
        <w:rPr>
          <w:lang w:val="es-ES_tradnl"/>
        </w:rPr>
        <w:t>mer</w:t>
      </w:r>
      <w:r w:rsidR="00526842" w:rsidRPr="00BF5AC3">
        <w:rPr>
          <w:lang w:val="es-ES_tradnl"/>
        </w:rPr>
        <w:t xml:space="preserve">ecen ser desarrollados. Entre las herramientas de las sub-etapas se incluye una matriz de análisis de escenarios que puede ser de utilidad a la hora de seleccionar los escenarios a desarrollar. </w:t>
      </w:r>
    </w:p>
    <w:p w14:paraId="23C24905" w14:textId="02C7D8E8" w:rsidR="00A65C60" w:rsidRPr="00BF5AC3" w:rsidRDefault="00526842" w:rsidP="009E7CE4">
      <w:pPr>
        <w:rPr>
          <w:lang w:val="es-ES_tradnl"/>
        </w:rPr>
      </w:pPr>
      <w:r w:rsidRPr="00BF5AC3">
        <w:rPr>
          <w:rFonts w:cs="Calibri"/>
          <w:lang w:val="es-ES_tradnl"/>
        </w:rPr>
        <w:t>Un</w:t>
      </w:r>
      <w:r w:rsidR="00A65C60" w:rsidRPr="00BF5AC3">
        <w:rPr>
          <w:rFonts w:cs="Calibri"/>
          <w:lang w:val="es-ES_tradnl"/>
        </w:rPr>
        <w:t xml:space="preserve"> </w:t>
      </w:r>
      <w:r w:rsidRPr="00BF5AC3">
        <w:rPr>
          <w:rFonts w:cs="Calibri"/>
          <w:lang w:val="es-ES_tradnl"/>
        </w:rPr>
        <w:t>e</w:t>
      </w:r>
      <w:r w:rsidR="00A65C60" w:rsidRPr="00BF5AC3">
        <w:rPr>
          <w:rFonts w:cs="Calibri"/>
          <w:lang w:val="es-ES_tradnl"/>
        </w:rPr>
        <w:t>s</w:t>
      </w:r>
      <w:r w:rsidR="00252705" w:rsidRPr="00BF5AC3">
        <w:rPr>
          <w:lang w:val="es-ES_tradnl"/>
        </w:rPr>
        <w:t xml:space="preserve">cenario </w:t>
      </w:r>
      <w:r w:rsidRPr="00BF5AC3">
        <w:rPr>
          <w:lang w:val="es-ES_tradnl"/>
        </w:rPr>
        <w:t>debe</w:t>
      </w:r>
      <w:r w:rsidR="009725EA" w:rsidRPr="00BF5AC3">
        <w:rPr>
          <w:lang w:val="es-ES_tradnl"/>
        </w:rPr>
        <w:t xml:space="preserve"> inclu</w:t>
      </w:r>
      <w:r w:rsidRPr="00BF5AC3">
        <w:rPr>
          <w:lang w:val="es-ES_tradnl"/>
        </w:rPr>
        <w:t>ir</w:t>
      </w:r>
      <w:r w:rsidR="00A65C60" w:rsidRPr="00BF5AC3">
        <w:rPr>
          <w:lang w:val="es-ES_tradnl"/>
        </w:rPr>
        <w:t>:</w:t>
      </w:r>
      <w:r w:rsidR="009725EA" w:rsidRPr="00BF5AC3">
        <w:rPr>
          <w:lang w:val="es-ES_tradnl"/>
        </w:rPr>
        <w:t xml:space="preserve"> </w:t>
      </w:r>
      <w:r w:rsidRPr="00BF5AC3">
        <w:rPr>
          <w:lang w:val="es-ES_tradnl"/>
        </w:rPr>
        <w:t xml:space="preserve">la probabilidad de que </w:t>
      </w:r>
      <w:r w:rsidR="00BF5AC3" w:rsidRPr="00BF5AC3">
        <w:rPr>
          <w:lang w:val="es-ES_tradnl"/>
        </w:rPr>
        <w:t>ocurra</w:t>
      </w:r>
      <w:r w:rsidRPr="00BF5AC3">
        <w:rPr>
          <w:lang w:val="es-ES_tradnl"/>
        </w:rPr>
        <w:t xml:space="preserve"> y su posible gravedad</w:t>
      </w:r>
      <w:r w:rsidR="00A65C60" w:rsidRPr="00BF5AC3">
        <w:rPr>
          <w:lang w:val="es-ES_tradnl"/>
        </w:rPr>
        <w:t xml:space="preserve">; </w:t>
      </w:r>
      <w:r w:rsidRPr="00BF5AC3">
        <w:rPr>
          <w:lang w:val="es-ES_tradnl"/>
        </w:rPr>
        <w:t>sus detonantes y supuestos</w:t>
      </w:r>
      <w:r w:rsidR="00A65C60" w:rsidRPr="00BF5AC3">
        <w:rPr>
          <w:lang w:val="es-ES_tradnl"/>
        </w:rPr>
        <w:t xml:space="preserve">; </w:t>
      </w:r>
      <w:r w:rsidRPr="00BF5AC3">
        <w:rPr>
          <w:lang w:val="es-ES_tradnl"/>
        </w:rPr>
        <w:t>su contexto y posible impacto</w:t>
      </w:r>
      <w:r w:rsidR="00A65C60" w:rsidRPr="00BF5AC3">
        <w:rPr>
          <w:lang w:val="es-ES_tradnl"/>
        </w:rPr>
        <w:t>;</w:t>
      </w:r>
      <w:r w:rsidR="00FB3CCE" w:rsidRPr="00BF5AC3">
        <w:rPr>
          <w:lang w:val="es-ES_tradnl"/>
        </w:rPr>
        <w:t xml:space="preserve"> </w:t>
      </w:r>
      <w:r w:rsidR="00CF3B0B" w:rsidRPr="00BF5AC3">
        <w:rPr>
          <w:lang w:val="es-ES_tradnl"/>
        </w:rPr>
        <w:t xml:space="preserve">y las necesidades de asistencia </w:t>
      </w:r>
      <w:r w:rsidR="00BF5AC3" w:rsidRPr="00BF5AC3">
        <w:rPr>
          <w:lang w:val="es-ES_tradnl"/>
        </w:rPr>
        <w:t>humanitaria,</w:t>
      </w:r>
      <w:r w:rsidR="00CF3B0B" w:rsidRPr="00BF5AC3">
        <w:rPr>
          <w:lang w:val="es-ES_tradnl"/>
        </w:rPr>
        <w:t xml:space="preserve"> así como las posibles limitaciones operativas asociadas con él. También debe proporcionar indicios sobre las posibles opciones de intervención (modalidades y mecanismos) y su escala. </w:t>
      </w:r>
      <w:r w:rsidR="00A65C60" w:rsidRPr="00BF5AC3">
        <w:rPr>
          <w:lang w:val="es-ES_tradnl"/>
        </w:rPr>
        <w:t xml:space="preserve"> </w:t>
      </w:r>
      <w:r w:rsidR="00CF3B0B" w:rsidRPr="00BF5AC3">
        <w:rPr>
          <w:lang w:val="es-ES_tradnl"/>
        </w:rPr>
        <w:t xml:space="preserve">Este análisis debe basarse en las conclusiones de la línea de base, y en particular las preferencias de los beneficiarios, y la capacidad de los mercados y de los proveedores de servicios financieros. Entre las herramientas de la sub-etapa se encuentra una lista de verificación sobre la viabilidad de entrega de efectivo y una plantilla para el desarrollo de escenarios, dónde toda esta información se puede consolidar. </w:t>
      </w:r>
    </w:p>
    <w:p w14:paraId="41F2D2F7" w14:textId="034DBB39" w:rsidR="00AD6DF0" w:rsidRPr="00BF5AC3" w:rsidRDefault="008C773C" w:rsidP="009E7CE4">
      <w:pPr>
        <w:pStyle w:val="Heading3"/>
        <w:rPr>
          <w:lang w:val="es-ES_tradnl"/>
        </w:rPr>
      </w:pPr>
      <w:r w:rsidRPr="00BF5AC3">
        <w:rPr>
          <w:lang w:val="es-ES_tradnl"/>
        </w:rPr>
        <w:t xml:space="preserve">Fomento de la participación de los interesados en la preparación para ejecutar programas </w:t>
      </w:r>
    </w:p>
    <w:p w14:paraId="1B941331" w14:textId="7FEC5EE5" w:rsidR="0031761A" w:rsidRPr="00BF5AC3" w:rsidRDefault="00CF3B0B" w:rsidP="00E22697">
      <w:pPr>
        <w:rPr>
          <w:w w:val="102"/>
          <w:lang w:val="es-ES_tradnl"/>
        </w:rPr>
      </w:pPr>
      <w:r w:rsidRPr="00BF5AC3">
        <w:rPr>
          <w:w w:val="102"/>
          <w:lang w:val="es-ES_tradnl"/>
        </w:rPr>
        <w:t xml:space="preserve">Es importante que los principales tomadores de decisiones de los departamentos clave </w:t>
      </w:r>
      <w:r w:rsidR="001550A8" w:rsidRPr="00BF5AC3">
        <w:rPr>
          <w:w w:val="102"/>
          <w:lang w:val="es-ES_tradnl"/>
        </w:rPr>
        <w:t>(</w:t>
      </w:r>
      <w:r w:rsidRPr="00BF5AC3">
        <w:rPr>
          <w:w w:val="102"/>
          <w:lang w:val="es-ES_tradnl"/>
        </w:rPr>
        <w:t xml:space="preserve">gestión de desastres, salud, </w:t>
      </w:r>
      <w:r w:rsidR="00BF5AC3" w:rsidRPr="00BF5AC3">
        <w:rPr>
          <w:w w:val="102"/>
          <w:lang w:val="es-ES_tradnl"/>
        </w:rPr>
        <w:t>logística</w:t>
      </w:r>
      <w:r w:rsidR="001550A8" w:rsidRPr="00BF5AC3">
        <w:rPr>
          <w:w w:val="102"/>
          <w:lang w:val="es-ES_tradnl"/>
        </w:rPr>
        <w:t>, finan</w:t>
      </w:r>
      <w:r w:rsidRPr="00BF5AC3">
        <w:rPr>
          <w:w w:val="102"/>
          <w:lang w:val="es-ES_tradnl"/>
        </w:rPr>
        <w:t>zas</w:t>
      </w:r>
      <w:r w:rsidR="001550A8" w:rsidRPr="00BF5AC3">
        <w:rPr>
          <w:w w:val="102"/>
          <w:lang w:val="es-ES_tradnl"/>
        </w:rPr>
        <w:t>, de</w:t>
      </w:r>
      <w:r w:rsidRPr="00BF5AC3">
        <w:rPr>
          <w:w w:val="102"/>
          <w:lang w:val="es-ES_tradnl"/>
        </w:rPr>
        <w:t xml:space="preserve">sarrollo de seccionales </w:t>
      </w:r>
      <w:r w:rsidR="001550A8" w:rsidRPr="00BF5AC3">
        <w:rPr>
          <w:w w:val="102"/>
          <w:lang w:val="es-ES_tradnl"/>
        </w:rPr>
        <w:t>etc.</w:t>
      </w:r>
      <w:r w:rsidR="00816531" w:rsidRPr="00BF5AC3">
        <w:rPr>
          <w:w w:val="102"/>
          <w:lang w:val="es-ES_tradnl"/>
        </w:rPr>
        <w:t xml:space="preserve">) </w:t>
      </w:r>
      <w:r w:rsidRPr="00BF5AC3">
        <w:rPr>
          <w:w w:val="102"/>
          <w:lang w:val="es-ES_tradnl"/>
        </w:rPr>
        <w:t xml:space="preserve">estén representados e involucrados en el proceso de preparación de PTE. Para introducir las bases de los PTE se puede organizar un taller, y examinar los resultados de la línea de base y de los escenarios </w:t>
      </w:r>
      <w:r w:rsidR="00BF5AC3" w:rsidRPr="00BF5AC3">
        <w:rPr>
          <w:w w:val="102"/>
          <w:lang w:val="es-ES_tradnl"/>
        </w:rPr>
        <w:t>desarrollados</w:t>
      </w:r>
      <w:r w:rsidRPr="00BF5AC3">
        <w:rPr>
          <w:w w:val="102"/>
          <w:lang w:val="es-ES_tradnl"/>
        </w:rPr>
        <w:t xml:space="preserve">.  </w:t>
      </w:r>
      <w:r w:rsidR="00847F0E" w:rsidRPr="00BF5AC3">
        <w:rPr>
          <w:w w:val="102"/>
          <w:lang w:val="es-ES_tradnl"/>
        </w:rPr>
        <w:t xml:space="preserve">Durante el taller, se pueden </w:t>
      </w:r>
      <w:r w:rsidR="00BF5AC3" w:rsidRPr="00BF5AC3">
        <w:rPr>
          <w:w w:val="102"/>
          <w:lang w:val="es-ES_tradnl"/>
        </w:rPr>
        <w:t>realizar</w:t>
      </w:r>
      <w:r w:rsidR="00847F0E" w:rsidRPr="00BF5AC3">
        <w:rPr>
          <w:w w:val="102"/>
          <w:lang w:val="es-ES_tradnl"/>
        </w:rPr>
        <w:t xml:space="preserve"> actividades participativas como por ejemplo un DAFO para involucrar a los participantes en el análisis de las oportunidades y bloqueos que cada departamento </w:t>
      </w:r>
      <w:r w:rsidR="00BF5AC3" w:rsidRPr="00BF5AC3">
        <w:rPr>
          <w:w w:val="102"/>
          <w:lang w:val="es-ES_tradnl"/>
        </w:rPr>
        <w:t>prevé</w:t>
      </w:r>
      <w:r w:rsidR="00847F0E" w:rsidRPr="00BF5AC3">
        <w:rPr>
          <w:w w:val="102"/>
          <w:lang w:val="es-ES_tradnl"/>
        </w:rPr>
        <w:t xml:space="preserve"> a la hora de </w:t>
      </w:r>
      <w:r w:rsidR="00BF5AC3" w:rsidRPr="00BF5AC3">
        <w:rPr>
          <w:w w:val="102"/>
          <w:lang w:val="es-ES_tradnl"/>
        </w:rPr>
        <w:t>ejecutar</w:t>
      </w:r>
      <w:r w:rsidR="00847F0E" w:rsidRPr="00BF5AC3">
        <w:rPr>
          <w:w w:val="102"/>
          <w:lang w:val="es-ES_tradnl"/>
        </w:rPr>
        <w:t xml:space="preserve"> un PTE. Entre las herramientas de las sub-etapas se encuentran algunos consejos para organizar talleres de preparación, una </w:t>
      </w:r>
      <w:r w:rsidR="00BF5AC3" w:rsidRPr="00BF5AC3">
        <w:rPr>
          <w:w w:val="102"/>
          <w:lang w:val="es-ES_tradnl"/>
        </w:rPr>
        <w:t>presentación</w:t>
      </w:r>
      <w:r w:rsidR="00847F0E" w:rsidRPr="00BF5AC3">
        <w:rPr>
          <w:w w:val="102"/>
          <w:lang w:val="es-ES_tradnl"/>
        </w:rPr>
        <w:t xml:space="preserve"> informativa en </w:t>
      </w:r>
      <w:proofErr w:type="spellStart"/>
      <w:r w:rsidR="00847F0E" w:rsidRPr="00BF5AC3">
        <w:rPr>
          <w:w w:val="102"/>
          <w:lang w:val="es-ES_tradnl"/>
        </w:rPr>
        <w:t>Power</w:t>
      </w:r>
      <w:proofErr w:type="spellEnd"/>
      <w:r w:rsidR="00847F0E" w:rsidRPr="00BF5AC3">
        <w:rPr>
          <w:w w:val="102"/>
          <w:lang w:val="es-ES_tradnl"/>
        </w:rPr>
        <w:t xml:space="preserve"> Point para la promoción de los PTE, y un ejemplo de análisis DAFO de preparación. </w:t>
      </w:r>
    </w:p>
    <w:p w14:paraId="1AB100E4" w14:textId="6A1C9D41" w:rsidR="00AD6DF0" w:rsidRPr="00BF5AC3" w:rsidRDefault="008C773C" w:rsidP="0006051E">
      <w:pPr>
        <w:pStyle w:val="Heading3"/>
        <w:rPr>
          <w:lang w:val="es-ES_tradnl"/>
        </w:rPr>
      </w:pPr>
      <w:r w:rsidRPr="00BF5AC3">
        <w:rPr>
          <w:lang w:val="es-ES_tradnl"/>
        </w:rPr>
        <w:t xml:space="preserve">Análisis y autoevaluación de las deficiencias en la preparación para ejecutar los programas </w:t>
      </w:r>
    </w:p>
    <w:p w14:paraId="137BE640" w14:textId="51E9D8A9" w:rsidR="00613753" w:rsidRPr="00BF5AC3" w:rsidRDefault="00847F0E" w:rsidP="009E7CE4">
      <w:pPr>
        <w:rPr>
          <w:w w:val="102"/>
          <w:lang w:val="es-ES_tradnl"/>
        </w:rPr>
      </w:pPr>
      <w:r w:rsidRPr="00BF5AC3">
        <w:rPr>
          <w:w w:val="102"/>
          <w:lang w:val="es-ES_tradnl"/>
        </w:rPr>
        <w:t xml:space="preserve">Un </w:t>
      </w:r>
      <w:r w:rsidR="00522360" w:rsidRPr="00BF5AC3">
        <w:rPr>
          <w:w w:val="102"/>
          <w:lang w:val="es-ES_tradnl"/>
        </w:rPr>
        <w:t>análisis</w:t>
      </w:r>
      <w:r w:rsidR="00A1283F" w:rsidRPr="00BF5AC3">
        <w:rPr>
          <w:w w:val="102"/>
          <w:lang w:val="es-ES_tradnl"/>
        </w:rPr>
        <w:t xml:space="preserve"> </w:t>
      </w:r>
      <w:r w:rsidRPr="00BF5AC3">
        <w:rPr>
          <w:w w:val="102"/>
          <w:lang w:val="es-ES_tradnl"/>
        </w:rPr>
        <w:t xml:space="preserve">de </w:t>
      </w:r>
      <w:r w:rsidR="00BF5AC3" w:rsidRPr="00BF5AC3">
        <w:rPr>
          <w:w w:val="102"/>
          <w:lang w:val="es-ES_tradnl"/>
        </w:rPr>
        <w:t>las deficiencias</w:t>
      </w:r>
      <w:r w:rsidRPr="00BF5AC3">
        <w:rPr>
          <w:w w:val="102"/>
          <w:lang w:val="es-ES_tradnl"/>
        </w:rPr>
        <w:t xml:space="preserve"> en la preparación permite revisar la actual capacidad operacional para PTE e identificar las </w:t>
      </w:r>
      <w:r w:rsidR="00BF5AC3" w:rsidRPr="00BF5AC3">
        <w:rPr>
          <w:w w:val="102"/>
          <w:lang w:val="es-ES_tradnl"/>
        </w:rPr>
        <w:t>áreas</w:t>
      </w:r>
      <w:r w:rsidRPr="00BF5AC3">
        <w:rPr>
          <w:w w:val="102"/>
          <w:lang w:val="es-ES_tradnl"/>
        </w:rPr>
        <w:t xml:space="preserve"> prioritarias que deben desarrollarse. El análisis de las deficiencias </w:t>
      </w:r>
      <w:r w:rsidR="006F5EBE" w:rsidRPr="00BF5AC3">
        <w:rPr>
          <w:w w:val="102"/>
          <w:lang w:val="es-ES_tradnl"/>
        </w:rPr>
        <w:t xml:space="preserve">puede llevarse a cabo durante un taller en el que participe personal clave de todos los departamentos </w:t>
      </w:r>
      <w:r w:rsidR="00BF5AC3" w:rsidRPr="00BF5AC3">
        <w:rPr>
          <w:w w:val="102"/>
          <w:lang w:val="es-ES_tradnl"/>
        </w:rPr>
        <w:t xml:space="preserve">pertinentes </w:t>
      </w:r>
      <w:r w:rsidR="00BF5AC3" w:rsidRPr="00BF5AC3">
        <w:rPr>
          <w:rFonts w:eastAsia="+mn-ea"/>
          <w:iCs/>
          <w:kern w:val="24"/>
          <w:lang w:val="es-ES_tradnl" w:eastAsia="en-GB"/>
        </w:rPr>
        <w:t>(</w:t>
      </w:r>
      <w:r w:rsidR="006F5EBE" w:rsidRPr="00BF5AC3">
        <w:rPr>
          <w:rFonts w:eastAsia="+mn-ea"/>
          <w:iCs/>
          <w:kern w:val="24"/>
          <w:lang w:val="es-ES_tradnl" w:eastAsia="en-GB"/>
        </w:rPr>
        <w:t>programas</w:t>
      </w:r>
      <w:r w:rsidR="007F2B1F" w:rsidRPr="00BF5AC3">
        <w:rPr>
          <w:rFonts w:eastAsia="+mn-ea"/>
          <w:iCs/>
          <w:kern w:val="24"/>
          <w:lang w:val="es-ES_tradnl" w:eastAsia="en-GB"/>
        </w:rPr>
        <w:t xml:space="preserve">/ </w:t>
      </w:r>
      <w:r w:rsidR="006F5EBE" w:rsidRPr="00BF5AC3">
        <w:rPr>
          <w:rFonts w:eastAsia="+mn-ea"/>
          <w:iCs/>
          <w:kern w:val="24"/>
          <w:lang w:val="es-ES_tradnl" w:eastAsia="en-GB"/>
        </w:rPr>
        <w:t>servicios</w:t>
      </w:r>
      <w:r w:rsidR="007F2B1F" w:rsidRPr="00BF5AC3">
        <w:rPr>
          <w:rFonts w:eastAsia="+mn-ea"/>
          <w:iCs/>
          <w:kern w:val="24"/>
          <w:lang w:val="es-ES_tradnl" w:eastAsia="en-GB"/>
        </w:rPr>
        <w:t>).</w:t>
      </w:r>
      <w:r w:rsidR="007F2B1F" w:rsidRPr="00BF5AC3">
        <w:rPr>
          <w:w w:val="102"/>
          <w:lang w:val="es-ES_tradnl"/>
        </w:rPr>
        <w:t xml:space="preserve"> </w:t>
      </w:r>
      <w:r w:rsidR="006F5EBE" w:rsidRPr="00BF5AC3">
        <w:rPr>
          <w:w w:val="102"/>
          <w:lang w:val="es-ES_tradnl"/>
        </w:rPr>
        <w:t xml:space="preserve">Las herramientas de las sub-etapas incluyen una lista de verificación para que las organizaciones puedan identificar su preparación a nivel de organización, capacidades y deficiencias a la hora de ejecutar intervenciones con PTE, y una plantilla de EXCEL para poder puntuar las distintas áreas cuando se realiza una autoevaluación. Los resultados del ejercicio se deben incorporar en el Plan de acción. </w:t>
      </w:r>
      <w:r w:rsidR="006818BB" w:rsidRPr="00BF5AC3">
        <w:rPr>
          <w:w w:val="102"/>
          <w:lang w:val="es-ES_tradnl"/>
        </w:rPr>
        <w:t xml:space="preserve"> </w:t>
      </w:r>
    </w:p>
    <w:p w14:paraId="38ED866A" w14:textId="7734B240" w:rsidR="00946108" w:rsidRPr="00BF5AC3" w:rsidRDefault="008C773C" w:rsidP="009E7CE4">
      <w:pPr>
        <w:pStyle w:val="Heading3"/>
        <w:rPr>
          <w:lang w:val="es-ES_tradnl"/>
        </w:rPr>
      </w:pPr>
      <w:r w:rsidRPr="00BF5AC3">
        <w:rPr>
          <w:lang w:val="es-ES_tradnl"/>
        </w:rPr>
        <w:t>7.</w:t>
      </w:r>
      <w:r w:rsidRPr="00BF5AC3">
        <w:rPr>
          <w:lang w:val="es-ES_tradnl"/>
        </w:rPr>
        <w:tab/>
        <w:t>Elaboración y difusi</w:t>
      </w:r>
      <w:r w:rsidR="004D37FB" w:rsidRPr="00BF5AC3">
        <w:rPr>
          <w:lang w:val="es-ES_tradnl"/>
        </w:rPr>
        <w:t>ón de los mensajes clave</w:t>
      </w:r>
    </w:p>
    <w:p w14:paraId="0B4A6388" w14:textId="34C5CAFF" w:rsidR="00946108" w:rsidRPr="00BF5AC3" w:rsidRDefault="006F5EBE" w:rsidP="009E7CE4">
      <w:pPr>
        <w:rPr>
          <w:lang w:val="es-ES_tradnl"/>
        </w:rPr>
      </w:pPr>
      <w:r w:rsidRPr="00BF5AC3">
        <w:rPr>
          <w:lang w:val="es-ES_tradnl"/>
        </w:rPr>
        <w:t xml:space="preserve">La promoción es especialmente importante cuando se trata de PTE. Todavía existen muchas reticencias relacionadas con el riesgo para la reputación de la organización, uso inadecuado del dinero, corrupción y la necesidad de unos sistemas complejos de </w:t>
      </w:r>
      <w:r w:rsidR="004D37FB" w:rsidRPr="00BF5AC3">
        <w:rPr>
          <w:lang w:val="es-ES_tradnl"/>
        </w:rPr>
        <w:t>supervisión y controles financieros. Estas reticencias puede</w:t>
      </w:r>
      <w:r w:rsidR="00BF5AC3">
        <w:rPr>
          <w:lang w:val="es-ES_tradnl"/>
        </w:rPr>
        <w:t>n</w:t>
      </w:r>
      <w:r w:rsidR="004D37FB" w:rsidRPr="00BF5AC3">
        <w:rPr>
          <w:lang w:val="es-ES_tradnl"/>
        </w:rPr>
        <w:t xml:space="preserve"> ser un obstáculo a la hora de aumentar los PTE en las emergencias y deben resolverse a través de la promoción al inicio de la fase de preparación. Cada organización debe identificar los asuntos más críticos relacionados con su propio contexto y desarrollar mensajes clave para poder minimizar las reticencias. Entre las sub-et</w:t>
      </w:r>
      <w:r w:rsidR="00BF5AC3">
        <w:rPr>
          <w:lang w:val="es-ES_tradnl"/>
        </w:rPr>
        <w:t>apas se encuentra un resumen de</w:t>
      </w:r>
      <w:r w:rsidR="004D37FB" w:rsidRPr="00BF5AC3">
        <w:rPr>
          <w:lang w:val="es-ES_tradnl"/>
        </w:rPr>
        <w:t xml:space="preserve"> un proceso de promoción interna de PTE para fomentar un mayor nivel de involucración con programas de PTE. </w:t>
      </w:r>
    </w:p>
    <w:tbl>
      <w:tblPr>
        <w:tblStyle w:val="TableGray"/>
        <w:tblW w:w="5000" w:type="pct"/>
        <w:tblLayout w:type="fixed"/>
        <w:tblLook w:val="04A0" w:firstRow="1" w:lastRow="0" w:firstColumn="1" w:lastColumn="0" w:noHBand="0" w:noVBand="1"/>
      </w:tblPr>
      <w:tblGrid>
        <w:gridCol w:w="9632"/>
      </w:tblGrid>
      <w:tr w:rsidR="00613753" w:rsidRPr="00BF5AC3" w14:paraId="69513FE5" w14:textId="77777777" w:rsidTr="00F43999">
        <w:tc>
          <w:tcPr>
            <w:tcW w:w="8423" w:type="dxa"/>
            <w:hideMark/>
          </w:tcPr>
          <w:p w14:paraId="208F8687" w14:textId="6754C4E8" w:rsidR="00613753" w:rsidRPr="00BF5AC3" w:rsidRDefault="004D37FB" w:rsidP="00BC5A96">
            <w:pPr>
              <w:pStyle w:val="RefTitre"/>
              <w:rPr>
                <w:lang w:val="es-ES_tradnl"/>
              </w:rPr>
            </w:pPr>
            <w:r w:rsidRPr="00BF5AC3">
              <w:rPr>
                <w:lang w:val="es-ES_tradnl"/>
              </w:rPr>
              <w:lastRenderedPageBreak/>
              <w:t>DOCUMENTOS DE REFERENCIA</w:t>
            </w:r>
            <w:r w:rsidR="00613753" w:rsidRPr="00BF5AC3">
              <w:rPr>
                <w:lang w:val="es-ES_tradnl"/>
              </w:rPr>
              <w:t xml:space="preserve"> </w:t>
            </w:r>
          </w:p>
          <w:p w14:paraId="3C41C524" w14:textId="740085A3" w:rsidR="00FB3CCE" w:rsidRPr="00BF5AC3" w:rsidRDefault="00FB3CCE" w:rsidP="00BC5A96">
            <w:pPr>
              <w:pStyle w:val="RefItem1"/>
              <w:rPr>
                <w:lang w:val="es-ES_tradnl"/>
              </w:rPr>
            </w:pPr>
            <w:r w:rsidRPr="00BF5AC3">
              <w:rPr>
                <w:lang w:val="es-ES_tradnl"/>
              </w:rPr>
              <w:t xml:space="preserve">IFRC (2014) </w:t>
            </w:r>
            <w:proofErr w:type="spellStart"/>
            <w:r w:rsidRPr="00BF5AC3">
              <w:rPr>
                <w:lang w:val="es-ES_tradnl"/>
              </w:rPr>
              <w:t>Operational</w:t>
            </w:r>
            <w:proofErr w:type="spellEnd"/>
            <w:r w:rsidRPr="00BF5AC3">
              <w:rPr>
                <w:lang w:val="es-ES_tradnl"/>
              </w:rPr>
              <w:t xml:space="preserve"> </w:t>
            </w:r>
            <w:proofErr w:type="spellStart"/>
            <w:r w:rsidRPr="00BF5AC3">
              <w:rPr>
                <w:lang w:val="es-ES_tradnl"/>
              </w:rPr>
              <w:t>guidance</w:t>
            </w:r>
            <w:proofErr w:type="spellEnd"/>
            <w:r w:rsidRPr="00BF5AC3">
              <w:rPr>
                <w:lang w:val="es-ES_tradnl"/>
              </w:rPr>
              <w:t xml:space="preserve">: </w:t>
            </w:r>
            <w:proofErr w:type="spellStart"/>
            <w:r w:rsidRPr="00BF5AC3">
              <w:rPr>
                <w:lang w:val="es-ES_tradnl"/>
              </w:rPr>
              <w:t>Initial</w:t>
            </w:r>
            <w:proofErr w:type="spellEnd"/>
            <w:r w:rsidRPr="00BF5AC3">
              <w:rPr>
                <w:lang w:val="es-ES_tradnl"/>
              </w:rPr>
              <w:t xml:space="preserve"> </w:t>
            </w:r>
            <w:proofErr w:type="spellStart"/>
            <w:r w:rsidRPr="00BF5AC3">
              <w:rPr>
                <w:lang w:val="es-ES_tradnl"/>
              </w:rPr>
              <w:t>multi</w:t>
            </w:r>
            <w:proofErr w:type="spellEnd"/>
            <w:r w:rsidRPr="00BF5AC3">
              <w:rPr>
                <w:lang w:val="es-ES_tradnl"/>
              </w:rPr>
              <w:t>-</w:t>
            </w:r>
            <w:r w:rsidR="006E7C50" w:rsidRPr="00BF5AC3">
              <w:rPr>
                <w:lang w:val="es-ES_tradnl"/>
              </w:rPr>
              <w:t>sectorial</w:t>
            </w:r>
            <w:r w:rsidRPr="00BF5AC3">
              <w:rPr>
                <w:lang w:val="es-ES_tradnl"/>
              </w:rPr>
              <w:t xml:space="preserve"> </w:t>
            </w:r>
            <w:proofErr w:type="spellStart"/>
            <w:r w:rsidRPr="00BF5AC3">
              <w:rPr>
                <w:lang w:val="es-ES_tradnl"/>
              </w:rPr>
              <w:t>assessment</w:t>
            </w:r>
            <w:proofErr w:type="spellEnd"/>
            <w:r w:rsidRPr="00BF5AC3">
              <w:rPr>
                <w:lang w:val="es-ES_tradnl"/>
              </w:rPr>
              <w:t xml:space="preserve"> – </w:t>
            </w:r>
            <w:proofErr w:type="spellStart"/>
            <w:r w:rsidRPr="00BF5AC3">
              <w:rPr>
                <w:lang w:val="es-ES_tradnl"/>
              </w:rPr>
              <w:t>scenario</w:t>
            </w:r>
            <w:proofErr w:type="spellEnd"/>
            <w:r w:rsidRPr="00BF5AC3">
              <w:rPr>
                <w:lang w:val="es-ES_tradnl"/>
              </w:rPr>
              <w:t xml:space="preserve"> </w:t>
            </w:r>
            <w:proofErr w:type="spellStart"/>
            <w:r w:rsidRPr="00BF5AC3">
              <w:rPr>
                <w:lang w:val="es-ES_tradnl"/>
              </w:rPr>
              <w:t>development</w:t>
            </w:r>
            <w:proofErr w:type="spellEnd"/>
            <w:r w:rsidRPr="00BF5AC3">
              <w:rPr>
                <w:lang w:val="es-ES_tradnl"/>
              </w:rPr>
              <w:t xml:space="preserve">. Page 54. </w:t>
            </w:r>
          </w:p>
          <w:p w14:paraId="4234DA7B" w14:textId="5D516926" w:rsidR="00FB3CCE" w:rsidRPr="00BF5AC3" w:rsidRDefault="00FB3CCE" w:rsidP="004D37FB">
            <w:pPr>
              <w:pStyle w:val="RefItem1"/>
              <w:rPr>
                <w:lang w:val="es-ES_tradnl"/>
              </w:rPr>
            </w:pPr>
            <w:r w:rsidRPr="00BF5AC3">
              <w:rPr>
                <w:lang w:val="es-ES_tradnl"/>
              </w:rPr>
              <w:t xml:space="preserve">IFRC (2013) </w:t>
            </w:r>
            <w:r w:rsidR="004D37FB" w:rsidRPr="00BF5AC3">
              <w:rPr>
                <w:lang w:val="es-ES_tradnl"/>
              </w:rPr>
              <w:t>Programas de transferencias de efectivo - haciendo partícipe al liderazgo de la Sociedad Nacional. Directrices y materiales para facilitar la promoción interna</w:t>
            </w:r>
            <w:r w:rsidRPr="00BF5AC3">
              <w:rPr>
                <w:lang w:val="es-ES_tradnl"/>
              </w:rPr>
              <w:t xml:space="preserve"> </w:t>
            </w:r>
          </w:p>
          <w:p w14:paraId="00AE89D0" w14:textId="77777777" w:rsidR="00FB3CCE" w:rsidRPr="00BF5AC3" w:rsidRDefault="00FB3CCE" w:rsidP="00BC5A96">
            <w:pPr>
              <w:pStyle w:val="RefItem1"/>
              <w:rPr>
                <w:lang w:val="es-ES_tradnl"/>
              </w:rPr>
            </w:pPr>
            <w:r w:rsidRPr="00BF5AC3">
              <w:rPr>
                <w:lang w:val="es-ES_tradnl"/>
              </w:rPr>
              <w:t xml:space="preserve">IFRC </w:t>
            </w:r>
            <w:proofErr w:type="spellStart"/>
            <w:r w:rsidRPr="00BF5AC3">
              <w:rPr>
                <w:lang w:val="es-ES_tradnl"/>
              </w:rPr>
              <w:t>Facilitation</w:t>
            </w:r>
            <w:proofErr w:type="spellEnd"/>
            <w:r w:rsidRPr="00BF5AC3">
              <w:rPr>
                <w:lang w:val="es-ES_tradnl"/>
              </w:rPr>
              <w:t xml:space="preserve"> </w:t>
            </w:r>
            <w:proofErr w:type="spellStart"/>
            <w:r w:rsidRPr="00BF5AC3">
              <w:rPr>
                <w:lang w:val="es-ES_tradnl"/>
              </w:rPr>
              <w:t>guide</w:t>
            </w:r>
            <w:proofErr w:type="spellEnd"/>
            <w:r w:rsidRPr="00BF5AC3">
              <w:rPr>
                <w:lang w:val="es-ES_tradnl"/>
              </w:rPr>
              <w:t xml:space="preserve"> </w:t>
            </w:r>
            <w:proofErr w:type="spellStart"/>
            <w:r w:rsidRPr="00BF5AC3">
              <w:rPr>
                <w:lang w:val="es-ES_tradnl"/>
              </w:rPr>
              <w:t>for</w:t>
            </w:r>
            <w:proofErr w:type="spellEnd"/>
            <w:r w:rsidRPr="00BF5AC3">
              <w:rPr>
                <w:lang w:val="es-ES_tradnl"/>
              </w:rPr>
              <w:t xml:space="preserve"> </w:t>
            </w:r>
            <w:proofErr w:type="spellStart"/>
            <w:r w:rsidRPr="00BF5AC3">
              <w:rPr>
                <w:lang w:val="es-ES_tradnl"/>
              </w:rPr>
              <w:t>contingency</w:t>
            </w:r>
            <w:proofErr w:type="spellEnd"/>
            <w:r w:rsidRPr="00BF5AC3">
              <w:rPr>
                <w:lang w:val="es-ES_tradnl"/>
              </w:rPr>
              <w:t xml:space="preserve"> </w:t>
            </w:r>
            <w:proofErr w:type="spellStart"/>
            <w:r w:rsidRPr="00BF5AC3">
              <w:rPr>
                <w:lang w:val="es-ES_tradnl"/>
              </w:rPr>
              <w:t>planning</w:t>
            </w:r>
            <w:proofErr w:type="spellEnd"/>
            <w:r w:rsidRPr="00BF5AC3">
              <w:rPr>
                <w:lang w:val="es-ES_tradnl"/>
              </w:rPr>
              <w:t xml:space="preserve"> </w:t>
            </w:r>
            <w:proofErr w:type="spellStart"/>
            <w:r w:rsidRPr="00BF5AC3">
              <w:rPr>
                <w:lang w:val="es-ES_tradnl"/>
              </w:rPr>
              <w:t>working</w:t>
            </w:r>
            <w:proofErr w:type="spellEnd"/>
            <w:r w:rsidRPr="00BF5AC3">
              <w:rPr>
                <w:lang w:val="es-ES_tradnl"/>
              </w:rPr>
              <w:t xml:space="preserve"> </w:t>
            </w:r>
            <w:proofErr w:type="spellStart"/>
            <w:r w:rsidRPr="00BF5AC3">
              <w:rPr>
                <w:lang w:val="es-ES_tradnl"/>
              </w:rPr>
              <w:t>groups</w:t>
            </w:r>
            <w:proofErr w:type="spellEnd"/>
            <w:r w:rsidRPr="00BF5AC3">
              <w:rPr>
                <w:lang w:val="es-ES_tradnl"/>
              </w:rPr>
              <w:t xml:space="preserve"> </w:t>
            </w:r>
          </w:p>
          <w:p w14:paraId="5DF70A41" w14:textId="1F5F3A2B" w:rsidR="00613753" w:rsidRPr="00BF5AC3" w:rsidRDefault="00FB3CCE" w:rsidP="00F43999">
            <w:pPr>
              <w:pStyle w:val="RefItem1"/>
              <w:rPr>
                <w:rFonts w:ascii="Calibri" w:eastAsia="Times New Roman" w:hAnsi="Calibri"/>
                <w:szCs w:val="20"/>
                <w:lang w:val="es-ES_tradnl"/>
              </w:rPr>
            </w:pPr>
            <w:r w:rsidRPr="00BF5AC3">
              <w:rPr>
                <w:lang w:val="es-ES_tradnl"/>
              </w:rPr>
              <w:t xml:space="preserve">International Red Cross and Red </w:t>
            </w:r>
            <w:proofErr w:type="spellStart"/>
            <w:r w:rsidRPr="00BF5AC3">
              <w:rPr>
                <w:lang w:val="es-ES_tradnl"/>
              </w:rPr>
              <w:t>Crescent</w:t>
            </w:r>
            <w:proofErr w:type="spellEnd"/>
            <w:r w:rsidRPr="00BF5AC3">
              <w:rPr>
                <w:lang w:val="es-ES_tradnl"/>
              </w:rPr>
              <w:t xml:space="preserve"> </w:t>
            </w:r>
            <w:proofErr w:type="spellStart"/>
            <w:r w:rsidRPr="00BF5AC3">
              <w:rPr>
                <w:lang w:val="es-ES_tradnl"/>
              </w:rPr>
              <w:t>Movement</w:t>
            </w:r>
            <w:proofErr w:type="spellEnd"/>
            <w:r w:rsidRPr="00BF5AC3">
              <w:rPr>
                <w:lang w:val="es-ES_tradnl"/>
              </w:rPr>
              <w:t xml:space="preserve"> </w:t>
            </w:r>
            <w:proofErr w:type="spellStart"/>
            <w:r w:rsidRPr="00BF5AC3">
              <w:rPr>
                <w:lang w:val="es-ES_tradnl"/>
              </w:rPr>
              <w:t>Market</w:t>
            </w:r>
            <w:proofErr w:type="spellEnd"/>
            <w:r w:rsidRPr="00BF5AC3">
              <w:rPr>
                <w:lang w:val="es-ES_tradnl"/>
              </w:rPr>
              <w:t xml:space="preserve"> </w:t>
            </w:r>
            <w:r w:rsidR="00522360" w:rsidRPr="00BF5AC3">
              <w:rPr>
                <w:lang w:val="es-ES_tradnl"/>
              </w:rPr>
              <w:t>análisis</w:t>
            </w:r>
            <w:r w:rsidRPr="00BF5AC3">
              <w:rPr>
                <w:lang w:val="es-ES_tradnl"/>
              </w:rPr>
              <w:t xml:space="preserve"> </w:t>
            </w:r>
            <w:proofErr w:type="spellStart"/>
            <w:r w:rsidRPr="00BF5AC3">
              <w:rPr>
                <w:lang w:val="es-ES_tradnl"/>
              </w:rPr>
              <w:t>guidance</w:t>
            </w:r>
            <w:proofErr w:type="spellEnd"/>
            <w:r w:rsidRPr="00BF5AC3">
              <w:rPr>
                <w:lang w:val="es-ES_tradnl"/>
              </w:rPr>
              <w:t xml:space="preserve"> (MAG): </w:t>
            </w:r>
            <w:hyperlink r:id="rId7" w:history="1">
              <w:r w:rsidR="00F43999" w:rsidRPr="00BF5AC3">
                <w:rPr>
                  <w:rStyle w:val="Hyperlink"/>
                  <w:lang w:val="es-ES_tradnl"/>
                </w:rPr>
                <w:t>http://www.icrc.org/eng/assets/files/publications/icrc-002-4200.pdf</w:t>
              </w:r>
            </w:hyperlink>
          </w:p>
        </w:tc>
      </w:tr>
    </w:tbl>
    <w:p w14:paraId="6D0D1DB0" w14:textId="77777777" w:rsidR="00613753" w:rsidRPr="00BF5AC3" w:rsidRDefault="00613753" w:rsidP="009E7CE4">
      <w:pPr>
        <w:rPr>
          <w:w w:val="102"/>
          <w:lang w:val="es-ES_tradnl"/>
        </w:rPr>
      </w:pPr>
    </w:p>
    <w:sectPr w:rsidR="00613753" w:rsidRPr="00BF5AC3" w:rsidSect="00F26575">
      <w:headerReference w:type="default" r:id="rId8"/>
      <w:footerReference w:type="even" r:id="rId9"/>
      <w:footerReference w:type="default" r:id="rId10"/>
      <w:headerReference w:type="first" r:id="rId11"/>
      <w:footerReference w:type="first" r:id="rId12"/>
      <w:pgSz w:w="11900"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111F" w14:textId="77777777" w:rsidR="002948B4" w:rsidRDefault="002948B4" w:rsidP="002D7B20">
      <w:r>
        <w:separator/>
      </w:r>
    </w:p>
  </w:endnote>
  <w:endnote w:type="continuationSeparator" w:id="0">
    <w:p w14:paraId="4E205007" w14:textId="77777777" w:rsidR="002948B4" w:rsidRDefault="002948B4" w:rsidP="002D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øœ!Ÿ">
    <w:altName w:val="Calibri"/>
    <w:panose1 w:val="00000000000000000000"/>
    <w:charset w:val="4D"/>
    <w:family w:val="auto"/>
    <w:notTrueType/>
    <w:pitch w:val="default"/>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BC4C9" w14:textId="77777777" w:rsidR="00A65C60" w:rsidRDefault="00A65C60" w:rsidP="000468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69473C" w14:textId="77777777" w:rsidR="00A65C60" w:rsidRDefault="00A65C60" w:rsidP="006137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82E62" w14:textId="4A0980B6" w:rsidR="00D330EB" w:rsidRPr="00B45C74" w:rsidRDefault="00D330EB" w:rsidP="00FE5E80">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761CC0">
      <w:rPr>
        <w:b/>
        <w:noProof/>
        <w:color w:val="808080" w:themeColor="background1" w:themeShade="80"/>
        <w:sz w:val="18"/>
        <w:szCs w:val="18"/>
      </w:rPr>
      <w:t>2</w:t>
    </w:r>
    <w:r w:rsidRPr="00B45C74">
      <w:rPr>
        <w:b/>
        <w:color w:val="808080" w:themeColor="background1" w:themeShade="80"/>
        <w:sz w:val="18"/>
        <w:szCs w:val="18"/>
      </w:rPr>
      <w:fldChar w:fldCharType="end"/>
    </w:r>
  </w:p>
  <w:p w14:paraId="04F83481" w14:textId="119F33D4" w:rsidR="00D330EB" w:rsidRPr="00874613" w:rsidRDefault="00526842" w:rsidP="00FE5E80">
    <w:pPr>
      <w:pStyle w:val="Footer"/>
    </w:pPr>
    <w:proofErr w:type="spellStart"/>
    <w:r>
      <w:rPr>
        <w:b/>
      </w:rPr>
      <w:t>Módulo</w:t>
    </w:r>
    <w:proofErr w:type="spellEnd"/>
    <w:r w:rsidR="00C1331C">
      <w:rPr>
        <w:b/>
      </w:rPr>
      <w:t xml:space="preserve"> 1</w:t>
    </w:r>
    <w:r w:rsidR="00D330EB" w:rsidRPr="00107E15">
      <w:rPr>
        <w:b/>
      </w:rPr>
      <w:t>.</w:t>
    </w:r>
    <w:r w:rsidR="007939F8">
      <w:rPr>
        <w:b/>
      </w:rPr>
      <w:t xml:space="preserve"> </w:t>
    </w:r>
    <w:r w:rsidR="002948B4">
      <w:fldChar w:fldCharType="begin"/>
    </w:r>
    <w:r w:rsidR="002948B4">
      <w:instrText xml:space="preserve"> STYLEREF  H1 \t  \* MERGEFORMAT </w:instrText>
    </w:r>
    <w:r w:rsidR="002948B4">
      <w:fldChar w:fldCharType="separate"/>
    </w:r>
    <w:r w:rsidR="00761CC0">
      <w:rPr>
        <w:noProof/>
      </w:rPr>
      <w:t>Hoja de ruta para la preparación y el análisis</w:t>
    </w:r>
    <w:r w:rsidR="002948B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04360" w14:textId="18269558" w:rsidR="00066EDC" w:rsidRPr="00B45C74" w:rsidRDefault="00066EDC" w:rsidP="00FE5E80">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761CC0">
      <w:rPr>
        <w:b/>
        <w:noProof/>
        <w:color w:val="808080" w:themeColor="background1" w:themeShade="80"/>
        <w:sz w:val="18"/>
        <w:szCs w:val="18"/>
      </w:rPr>
      <w:t>1</w:t>
    </w:r>
    <w:r w:rsidRPr="00B45C74">
      <w:rPr>
        <w:b/>
        <w:color w:val="808080" w:themeColor="background1" w:themeShade="80"/>
        <w:sz w:val="18"/>
        <w:szCs w:val="18"/>
      </w:rPr>
      <w:fldChar w:fldCharType="end"/>
    </w:r>
  </w:p>
  <w:p w14:paraId="2C55907E" w14:textId="67586889" w:rsidR="00066EDC" w:rsidRPr="003A3500" w:rsidRDefault="00BF5AC3" w:rsidP="00FE5E80">
    <w:pPr>
      <w:pStyle w:val="Footer"/>
    </w:pPr>
    <w:proofErr w:type="spellStart"/>
    <w:r>
      <w:rPr>
        <w:b/>
      </w:rPr>
      <w:t>Módulo</w:t>
    </w:r>
    <w:proofErr w:type="spellEnd"/>
    <w:r w:rsidR="00066EDC" w:rsidRPr="00107E15">
      <w:rPr>
        <w:b/>
      </w:rPr>
      <w:t xml:space="preserve"> </w:t>
    </w:r>
    <w:r w:rsidR="00066EDC">
      <w:rPr>
        <w:b/>
      </w:rPr>
      <w:t>1</w:t>
    </w:r>
    <w:r w:rsidR="00066EDC" w:rsidRPr="00107E15">
      <w:rPr>
        <w:b/>
      </w:rPr>
      <w:t>.</w:t>
    </w:r>
    <w:r w:rsidR="00066EDC" w:rsidRPr="00107E15">
      <w:t xml:space="preserve"> </w:t>
    </w:r>
    <w:r w:rsidR="00066EDC" w:rsidRPr="00107E15">
      <w:rPr>
        <w:i/>
      </w:rPr>
      <w:fldChar w:fldCharType="begin"/>
    </w:r>
    <w:r w:rsidR="00066EDC" w:rsidRPr="00107E15">
      <w:rPr>
        <w:i/>
      </w:rPr>
      <w:instrText xml:space="preserve"> STYLEREF  H1 \t  \* MERGEFORMAT </w:instrText>
    </w:r>
    <w:r w:rsidR="00066EDC" w:rsidRPr="00107E15">
      <w:rPr>
        <w:i/>
      </w:rPr>
      <w:fldChar w:fldCharType="separate"/>
    </w:r>
    <w:r w:rsidR="00761CC0" w:rsidRPr="00761CC0">
      <w:rPr>
        <w:noProof/>
      </w:rPr>
      <w:t>Hoja de ruta para la</w:t>
    </w:r>
    <w:r w:rsidR="00761CC0">
      <w:rPr>
        <w:i/>
        <w:noProof/>
      </w:rPr>
      <w:t xml:space="preserve"> preparación y el análisis</w:t>
    </w:r>
    <w:r w:rsidR="00066EDC" w:rsidRPr="00107E15">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18851" w14:textId="77777777" w:rsidR="002948B4" w:rsidRDefault="002948B4" w:rsidP="002D7B20">
      <w:r>
        <w:separator/>
      </w:r>
    </w:p>
  </w:footnote>
  <w:footnote w:type="continuationSeparator" w:id="0">
    <w:p w14:paraId="4B68F7D4" w14:textId="77777777" w:rsidR="002948B4" w:rsidRDefault="002948B4" w:rsidP="002D7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00173" w14:textId="3035308C" w:rsidR="00D330EB" w:rsidRPr="00074036" w:rsidRDefault="002A4A6A" w:rsidP="00FE5E80">
    <w:pPr>
      <w:pStyle w:val="Header"/>
      <w:rPr>
        <w:szCs w:val="16"/>
      </w:rPr>
    </w:pPr>
    <w:proofErr w:type="spellStart"/>
    <w:r w:rsidRPr="002A4A6A">
      <w:rPr>
        <w:rStyle w:val="Pantone485"/>
      </w:rPr>
      <w:t>Movimiento</w:t>
    </w:r>
    <w:proofErr w:type="spellEnd"/>
    <w:r w:rsidRPr="002A4A6A">
      <w:rPr>
        <w:rStyle w:val="Pantone485"/>
      </w:rPr>
      <w:t xml:space="preserve"> International de la Cruz Roja y </w:t>
    </w:r>
    <w:r w:rsidR="00A10FB7">
      <w:rPr>
        <w:rStyle w:val="Pantone485"/>
      </w:rPr>
      <w:t xml:space="preserve">de </w:t>
    </w:r>
    <w:r w:rsidRPr="002A4A6A">
      <w:rPr>
        <w:rStyle w:val="Pantone485"/>
      </w:rPr>
      <w:t xml:space="preserve">la Media Luna Roja I </w:t>
    </w:r>
    <w:proofErr w:type="spellStart"/>
    <w:r w:rsidRPr="002A4A6A">
      <w:rPr>
        <w:rStyle w:val="Pantone485"/>
        <w:color w:val="auto"/>
      </w:rPr>
      <w:t>Caja</w:t>
    </w:r>
    <w:proofErr w:type="spellEnd"/>
    <w:r w:rsidRPr="002A4A6A">
      <w:rPr>
        <w:rStyle w:val="Pantone485"/>
        <w:color w:val="auto"/>
      </w:rPr>
      <w:t xml:space="preserve"> de </w:t>
    </w:r>
    <w:proofErr w:type="spellStart"/>
    <w:r w:rsidRPr="002A4A6A">
      <w:rPr>
        <w:rStyle w:val="Pantone485"/>
        <w:color w:val="auto"/>
      </w:rPr>
      <w:t>herramientas</w:t>
    </w:r>
    <w:proofErr w:type="spellEnd"/>
    <w:r w:rsidRPr="002A4A6A">
      <w:rPr>
        <w:rStyle w:val="Pantone485"/>
        <w:color w:val="auto"/>
      </w:rPr>
      <w:t xml:space="preserve"> para PTE </w:t>
    </w:r>
    <w:proofErr w:type="spellStart"/>
    <w:r w:rsidRPr="002A4A6A">
      <w:rPr>
        <w:rStyle w:val="Pantone485"/>
        <w:color w:val="auto"/>
      </w:rPr>
      <w:t>en</w:t>
    </w:r>
    <w:proofErr w:type="spellEnd"/>
    <w:r w:rsidRPr="002A4A6A">
      <w:rPr>
        <w:rStyle w:val="Pantone485"/>
        <w:color w:val="auto"/>
      </w:rPr>
      <w:t xml:space="preserve"> </w:t>
    </w:r>
    <w:proofErr w:type="spellStart"/>
    <w:r w:rsidRPr="002A4A6A">
      <w:rPr>
        <w:rStyle w:val="Pantone485"/>
        <w:color w:val="auto"/>
      </w:rPr>
      <w:t>emergencias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01A77" w14:textId="30A4E46E" w:rsidR="00D330EB" w:rsidRDefault="00BA5564" w:rsidP="00FE5E80">
    <w:pPr>
      <w:pStyle w:val="Header1"/>
    </w:pPr>
    <w:r>
      <w:rPr>
        <w:noProof/>
        <w:lang w:val="es-ES_tradnl" w:eastAsia="es-ES_tradnl"/>
      </w:rPr>
      <w:drawing>
        <wp:anchor distT="0" distB="0" distL="114300" distR="114300" simplePos="0" relativeHeight="251665408" behindDoc="0" locked="0" layoutInCell="1" allowOverlap="1" wp14:anchorId="60EF8A08" wp14:editId="6E86EDF5">
          <wp:simplePos x="0" y="0"/>
          <wp:positionH relativeFrom="column">
            <wp:posOffset>371475</wp:posOffset>
          </wp:positionH>
          <wp:positionV relativeFrom="paragraph">
            <wp:posOffset>-55880</wp:posOffset>
          </wp:positionV>
          <wp:extent cx="596900" cy="6851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CR ESPAÑOL.jpg"/>
                  <pic:cNvPicPr/>
                </pic:nvPicPr>
                <pic:blipFill>
                  <a:blip r:embed="rId1">
                    <a:extLst>
                      <a:ext uri="{28A0092B-C50C-407E-A947-70E740481C1C}">
                        <a14:useLocalDpi xmlns:a14="http://schemas.microsoft.com/office/drawing/2010/main" val="0"/>
                      </a:ext>
                    </a:extLst>
                  </a:blip>
                  <a:stretch>
                    <a:fillRect/>
                  </a:stretch>
                </pic:blipFill>
                <pic:spPr>
                  <a:xfrm>
                    <a:off x="0" y="0"/>
                    <a:ext cx="596900" cy="685165"/>
                  </a:xfrm>
                  <a:prstGeom prst="rect">
                    <a:avLst/>
                  </a:prstGeom>
                </pic:spPr>
              </pic:pic>
            </a:graphicData>
          </a:graphic>
          <wp14:sizeRelH relativeFrom="page">
            <wp14:pctWidth>0</wp14:pctWidth>
          </wp14:sizeRelH>
          <wp14:sizeRelV relativeFrom="page">
            <wp14:pctHeight>0</wp14:pctHeight>
          </wp14:sizeRelV>
        </wp:anchor>
      </w:drawing>
    </w:r>
  </w:p>
  <w:p w14:paraId="034410F7" w14:textId="249C8B8C" w:rsidR="00D330EB" w:rsidRDefault="00BA5564" w:rsidP="00FE5E80">
    <w:pPr>
      <w:pStyle w:val="Header1"/>
    </w:pPr>
    <w:r>
      <w:rPr>
        <w:noProof/>
        <w:lang w:val="es-ES_tradnl" w:eastAsia="es-ES_tradnl"/>
      </w:rPr>
      <w:drawing>
        <wp:anchor distT="0" distB="0" distL="114300" distR="114300" simplePos="0" relativeHeight="251667456" behindDoc="0" locked="0" layoutInCell="1" allowOverlap="1" wp14:anchorId="74FF2F8D" wp14:editId="6FA552AB">
          <wp:simplePos x="0" y="0"/>
          <wp:positionH relativeFrom="column">
            <wp:posOffset>2600325</wp:posOffset>
          </wp:positionH>
          <wp:positionV relativeFrom="paragraph">
            <wp:posOffset>134620</wp:posOffset>
          </wp:positionV>
          <wp:extent cx="3302000" cy="3244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FRC.jpg"/>
                  <pic:cNvPicPr/>
                </pic:nvPicPr>
                <pic:blipFill>
                  <a:blip r:embed="rId2">
                    <a:extLst>
                      <a:ext uri="{28A0092B-C50C-407E-A947-70E740481C1C}">
                        <a14:useLocalDpi xmlns:a14="http://schemas.microsoft.com/office/drawing/2010/main" val="0"/>
                      </a:ext>
                    </a:extLst>
                  </a:blip>
                  <a:stretch>
                    <a:fillRect/>
                  </a:stretch>
                </pic:blipFill>
                <pic:spPr>
                  <a:xfrm>
                    <a:off x="0" y="0"/>
                    <a:ext cx="3302000" cy="324485"/>
                  </a:xfrm>
                  <a:prstGeom prst="rect">
                    <a:avLst/>
                  </a:prstGeom>
                </pic:spPr>
              </pic:pic>
            </a:graphicData>
          </a:graphic>
          <wp14:sizeRelH relativeFrom="page">
            <wp14:pctWidth>0</wp14:pctWidth>
          </wp14:sizeRelH>
          <wp14:sizeRelV relativeFrom="page">
            <wp14:pctHeight>0</wp14:pctHeight>
          </wp14:sizeRelV>
        </wp:anchor>
      </w:drawing>
    </w:r>
  </w:p>
  <w:p w14:paraId="654B7D04" w14:textId="3BB9C244" w:rsidR="00D330EB" w:rsidRDefault="00D330EB" w:rsidP="00FE5E80">
    <w:pPr>
      <w:pStyle w:val="Header"/>
      <w:rPr>
        <w:color w:val="DC281E"/>
        <w:sz w:val="24"/>
        <w:szCs w:val="24"/>
      </w:rPr>
    </w:pPr>
  </w:p>
  <w:p w14:paraId="1C07DF85" w14:textId="024E3085" w:rsidR="00D330EB" w:rsidRDefault="00D330EB" w:rsidP="00FE5E80">
    <w:pPr>
      <w:pStyle w:val="Header"/>
      <w:spacing w:line="240" w:lineRule="auto"/>
      <w:rPr>
        <w:b/>
        <w:color w:val="DC281E"/>
        <w:sz w:val="24"/>
        <w:szCs w:val="24"/>
      </w:rPr>
    </w:pPr>
  </w:p>
  <w:p w14:paraId="7516AC5B" w14:textId="21FEDC45" w:rsidR="00D330EB" w:rsidRDefault="00D330EB" w:rsidP="00FE5E80">
    <w:pPr>
      <w:pStyle w:val="Header"/>
      <w:spacing w:line="240" w:lineRule="auto"/>
      <w:rPr>
        <w:b/>
        <w:color w:val="DC281E"/>
        <w:sz w:val="24"/>
        <w:szCs w:val="24"/>
      </w:rPr>
    </w:pPr>
  </w:p>
  <w:p w14:paraId="01DF245C" w14:textId="62897285" w:rsidR="00D330EB" w:rsidRPr="00292D5B" w:rsidRDefault="00BA5564" w:rsidP="00FE5E80">
    <w:pPr>
      <w:pStyle w:val="Header1"/>
      <w:rPr>
        <w:rStyle w:val="Pantone485"/>
      </w:rPr>
    </w:pPr>
    <w:proofErr w:type="spellStart"/>
    <w:r w:rsidRPr="00BA5564">
      <w:rPr>
        <w:rStyle w:val="Pantone485"/>
      </w:rPr>
      <w:t>Caja</w:t>
    </w:r>
    <w:proofErr w:type="spellEnd"/>
    <w:r w:rsidRPr="00BA5564">
      <w:rPr>
        <w:rStyle w:val="Pantone485"/>
      </w:rPr>
      <w:t xml:space="preserve"> de </w:t>
    </w:r>
    <w:proofErr w:type="spellStart"/>
    <w:r w:rsidRPr="00BA5564">
      <w:rPr>
        <w:rStyle w:val="Pantone485"/>
      </w:rPr>
      <w:t>herramientas</w:t>
    </w:r>
    <w:proofErr w:type="spellEnd"/>
    <w:r w:rsidRPr="00BA5564">
      <w:rPr>
        <w:rStyle w:val="Pantone485"/>
      </w:rPr>
      <w:t xml:space="preserve"> para PTE </w:t>
    </w:r>
    <w:proofErr w:type="spellStart"/>
    <w:r w:rsidRPr="00BA5564">
      <w:rPr>
        <w:rStyle w:val="Pantone485"/>
      </w:rPr>
      <w:t>en</w:t>
    </w:r>
    <w:proofErr w:type="spellEnd"/>
    <w:r w:rsidRPr="00BA5564">
      <w:rPr>
        <w:rStyle w:val="Pantone485"/>
      </w:rPr>
      <w:t xml:space="preserve"> </w:t>
    </w:r>
    <w:proofErr w:type="spellStart"/>
    <w:r w:rsidRPr="00BA5564">
      <w:rPr>
        <w:rStyle w:val="Pantone485"/>
      </w:rPr>
      <w:t>emergencias</w:t>
    </w:r>
    <w:proofErr w:type="spellEnd"/>
    <w:r w:rsidRPr="00BA5564">
      <w:rPr>
        <w:rStyle w:val="Pantone485"/>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0A9C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E0EA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BCBE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A2AD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8C8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1411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B642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BE8E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50DE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8E15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E4BB3"/>
    <w:multiLevelType w:val="hybridMultilevel"/>
    <w:tmpl w:val="2D0A575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505C4F"/>
    <w:multiLevelType w:val="hybridMultilevel"/>
    <w:tmpl w:val="3822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B837E4"/>
    <w:multiLevelType w:val="hybridMultilevel"/>
    <w:tmpl w:val="B5B091F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302652"/>
    <w:multiLevelType w:val="hybridMultilevel"/>
    <w:tmpl w:val="9CF4AF48"/>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233090"/>
    <w:multiLevelType w:val="hybridMultilevel"/>
    <w:tmpl w:val="62DA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7143CF"/>
    <w:multiLevelType w:val="hybridMultilevel"/>
    <w:tmpl w:val="2A8A54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ED0E5C"/>
    <w:multiLevelType w:val="hybridMultilevel"/>
    <w:tmpl w:val="156AD5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6B26F5B"/>
    <w:multiLevelType w:val="hybridMultilevel"/>
    <w:tmpl w:val="69BCD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78E508B"/>
    <w:multiLevelType w:val="hybridMultilevel"/>
    <w:tmpl w:val="45A2CE5E"/>
    <w:lvl w:ilvl="0" w:tplc="A3E28D94">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477B14"/>
    <w:multiLevelType w:val="hybridMultilevel"/>
    <w:tmpl w:val="F06CEA2E"/>
    <w:lvl w:ilvl="0" w:tplc="5A4C774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DA6745"/>
    <w:multiLevelType w:val="hybridMultilevel"/>
    <w:tmpl w:val="1AE2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5A1BEB"/>
    <w:multiLevelType w:val="hybridMultilevel"/>
    <w:tmpl w:val="5BE6E0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1530CB"/>
    <w:multiLevelType w:val="hybridMultilevel"/>
    <w:tmpl w:val="4EEC01E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102ED9"/>
    <w:multiLevelType w:val="hybridMultilevel"/>
    <w:tmpl w:val="07DCF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CC6641"/>
    <w:multiLevelType w:val="hybridMultilevel"/>
    <w:tmpl w:val="1BB6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7658E9"/>
    <w:multiLevelType w:val="hybridMultilevel"/>
    <w:tmpl w:val="ADFA0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3FC7C1F"/>
    <w:multiLevelType w:val="hybridMultilevel"/>
    <w:tmpl w:val="0414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C0427F"/>
    <w:multiLevelType w:val="hybridMultilevel"/>
    <w:tmpl w:val="9878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EB4B7B"/>
    <w:multiLevelType w:val="hybridMultilevel"/>
    <w:tmpl w:val="07CECD9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F7627B"/>
    <w:multiLevelType w:val="hybridMultilevel"/>
    <w:tmpl w:val="E95E3F2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486B6D97"/>
    <w:multiLevelType w:val="hybridMultilevel"/>
    <w:tmpl w:val="28B2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A017A4"/>
    <w:multiLevelType w:val="hybridMultilevel"/>
    <w:tmpl w:val="5D34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62F0082"/>
    <w:multiLevelType w:val="hybridMultilevel"/>
    <w:tmpl w:val="36F0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3D32"/>
    <w:multiLevelType w:val="hybridMultilevel"/>
    <w:tmpl w:val="BF78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715D68"/>
    <w:multiLevelType w:val="hybridMultilevel"/>
    <w:tmpl w:val="3B021BC8"/>
    <w:lvl w:ilvl="0" w:tplc="1AE6450C">
      <w:start w:val="1"/>
      <w:numFmt w:val="bullet"/>
      <w:lvlText w:val="•"/>
      <w:lvlJc w:val="left"/>
      <w:pPr>
        <w:tabs>
          <w:tab w:val="num" w:pos="720"/>
        </w:tabs>
        <w:ind w:left="720" w:hanging="360"/>
      </w:pPr>
      <w:rPr>
        <w:rFonts w:ascii="Times" w:hAnsi="Times" w:hint="default"/>
      </w:rPr>
    </w:lvl>
    <w:lvl w:ilvl="1" w:tplc="64B62080" w:tentative="1">
      <w:start w:val="1"/>
      <w:numFmt w:val="bullet"/>
      <w:lvlText w:val="•"/>
      <w:lvlJc w:val="left"/>
      <w:pPr>
        <w:tabs>
          <w:tab w:val="num" w:pos="1440"/>
        </w:tabs>
        <w:ind w:left="1440" w:hanging="360"/>
      </w:pPr>
      <w:rPr>
        <w:rFonts w:ascii="Times" w:hAnsi="Times" w:hint="default"/>
      </w:rPr>
    </w:lvl>
    <w:lvl w:ilvl="2" w:tplc="278CB22C" w:tentative="1">
      <w:start w:val="1"/>
      <w:numFmt w:val="bullet"/>
      <w:lvlText w:val="•"/>
      <w:lvlJc w:val="left"/>
      <w:pPr>
        <w:tabs>
          <w:tab w:val="num" w:pos="2160"/>
        </w:tabs>
        <w:ind w:left="2160" w:hanging="360"/>
      </w:pPr>
      <w:rPr>
        <w:rFonts w:ascii="Times" w:hAnsi="Times" w:hint="default"/>
      </w:rPr>
    </w:lvl>
    <w:lvl w:ilvl="3" w:tplc="C85CE6B6" w:tentative="1">
      <w:start w:val="1"/>
      <w:numFmt w:val="bullet"/>
      <w:lvlText w:val="•"/>
      <w:lvlJc w:val="left"/>
      <w:pPr>
        <w:tabs>
          <w:tab w:val="num" w:pos="2880"/>
        </w:tabs>
        <w:ind w:left="2880" w:hanging="360"/>
      </w:pPr>
      <w:rPr>
        <w:rFonts w:ascii="Times" w:hAnsi="Times" w:hint="default"/>
      </w:rPr>
    </w:lvl>
    <w:lvl w:ilvl="4" w:tplc="5DCCDE80" w:tentative="1">
      <w:start w:val="1"/>
      <w:numFmt w:val="bullet"/>
      <w:lvlText w:val="•"/>
      <w:lvlJc w:val="left"/>
      <w:pPr>
        <w:tabs>
          <w:tab w:val="num" w:pos="3600"/>
        </w:tabs>
        <w:ind w:left="3600" w:hanging="360"/>
      </w:pPr>
      <w:rPr>
        <w:rFonts w:ascii="Times" w:hAnsi="Times" w:hint="default"/>
      </w:rPr>
    </w:lvl>
    <w:lvl w:ilvl="5" w:tplc="780A7E02" w:tentative="1">
      <w:start w:val="1"/>
      <w:numFmt w:val="bullet"/>
      <w:lvlText w:val="•"/>
      <w:lvlJc w:val="left"/>
      <w:pPr>
        <w:tabs>
          <w:tab w:val="num" w:pos="4320"/>
        </w:tabs>
        <w:ind w:left="4320" w:hanging="360"/>
      </w:pPr>
      <w:rPr>
        <w:rFonts w:ascii="Times" w:hAnsi="Times" w:hint="default"/>
      </w:rPr>
    </w:lvl>
    <w:lvl w:ilvl="6" w:tplc="A1C6BA14" w:tentative="1">
      <w:start w:val="1"/>
      <w:numFmt w:val="bullet"/>
      <w:lvlText w:val="•"/>
      <w:lvlJc w:val="left"/>
      <w:pPr>
        <w:tabs>
          <w:tab w:val="num" w:pos="5040"/>
        </w:tabs>
        <w:ind w:left="5040" w:hanging="360"/>
      </w:pPr>
      <w:rPr>
        <w:rFonts w:ascii="Times" w:hAnsi="Times" w:hint="default"/>
      </w:rPr>
    </w:lvl>
    <w:lvl w:ilvl="7" w:tplc="25F4835A" w:tentative="1">
      <w:start w:val="1"/>
      <w:numFmt w:val="bullet"/>
      <w:lvlText w:val="•"/>
      <w:lvlJc w:val="left"/>
      <w:pPr>
        <w:tabs>
          <w:tab w:val="num" w:pos="5760"/>
        </w:tabs>
        <w:ind w:left="5760" w:hanging="360"/>
      </w:pPr>
      <w:rPr>
        <w:rFonts w:ascii="Times" w:hAnsi="Times" w:hint="default"/>
      </w:rPr>
    </w:lvl>
    <w:lvl w:ilvl="8" w:tplc="A2E841BE" w:tentative="1">
      <w:start w:val="1"/>
      <w:numFmt w:val="bullet"/>
      <w:lvlText w:val="•"/>
      <w:lvlJc w:val="left"/>
      <w:pPr>
        <w:tabs>
          <w:tab w:val="num" w:pos="6480"/>
        </w:tabs>
        <w:ind w:left="6480" w:hanging="360"/>
      </w:pPr>
      <w:rPr>
        <w:rFonts w:ascii="Times" w:hAnsi="Times" w:hint="default"/>
      </w:rPr>
    </w:lvl>
  </w:abstractNum>
  <w:abstractNum w:abstractNumId="37"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AF0C6D"/>
    <w:multiLevelType w:val="hybridMultilevel"/>
    <w:tmpl w:val="A74A58C6"/>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683092"/>
    <w:multiLevelType w:val="hybridMultilevel"/>
    <w:tmpl w:val="29645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BB65D5"/>
    <w:multiLevelType w:val="hybridMultilevel"/>
    <w:tmpl w:val="F1D89208"/>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DB7CBF"/>
    <w:multiLevelType w:val="hybridMultilevel"/>
    <w:tmpl w:val="1714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114D40"/>
    <w:multiLevelType w:val="hybridMultilevel"/>
    <w:tmpl w:val="9DCAC83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E206DD"/>
    <w:multiLevelType w:val="hybridMultilevel"/>
    <w:tmpl w:val="EBFA7E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A630977"/>
    <w:multiLevelType w:val="hybridMultilevel"/>
    <w:tmpl w:val="7B12D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541AA7"/>
    <w:multiLevelType w:val="hybridMultilevel"/>
    <w:tmpl w:val="6942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34"/>
  </w:num>
  <w:num w:numId="4">
    <w:abstractNumId w:val="15"/>
  </w:num>
  <w:num w:numId="5">
    <w:abstractNumId w:val="28"/>
  </w:num>
  <w:num w:numId="6">
    <w:abstractNumId w:val="43"/>
  </w:num>
  <w:num w:numId="7">
    <w:abstractNumId w:val="27"/>
  </w:num>
  <w:num w:numId="8">
    <w:abstractNumId w:val="32"/>
  </w:num>
  <w:num w:numId="9">
    <w:abstractNumId w:val="21"/>
  </w:num>
  <w:num w:numId="10">
    <w:abstractNumId w:val="46"/>
  </w:num>
  <w:num w:numId="11">
    <w:abstractNumId w:val="35"/>
  </w:num>
  <w:num w:numId="12">
    <w:abstractNumId w:val="36"/>
  </w:num>
  <w:num w:numId="13">
    <w:abstractNumId w:val="40"/>
  </w:num>
  <w:num w:numId="14">
    <w:abstractNumId w:val="42"/>
  </w:num>
  <w:num w:numId="15">
    <w:abstractNumId w:val="41"/>
  </w:num>
  <w:num w:numId="16">
    <w:abstractNumId w:val="14"/>
  </w:num>
  <w:num w:numId="17">
    <w:abstractNumId w:val="13"/>
  </w:num>
  <w:num w:numId="18">
    <w:abstractNumId w:val="44"/>
  </w:num>
  <w:num w:numId="19">
    <w:abstractNumId w:val="31"/>
  </w:num>
  <w:num w:numId="20">
    <w:abstractNumId w:val="22"/>
  </w:num>
  <w:num w:numId="21">
    <w:abstractNumId w:val="16"/>
  </w:num>
  <w:num w:numId="22">
    <w:abstractNumId w:val="23"/>
  </w:num>
  <w:num w:numId="23">
    <w:abstractNumId w:val="29"/>
  </w:num>
  <w:num w:numId="24">
    <w:abstractNumId w:val="20"/>
  </w:num>
  <w:num w:numId="25">
    <w:abstractNumId w:val="18"/>
  </w:num>
  <w:num w:numId="26">
    <w:abstractNumId w:val="24"/>
  </w:num>
  <w:num w:numId="27">
    <w:abstractNumId w:val="47"/>
  </w:num>
  <w:num w:numId="28">
    <w:abstractNumId w:val="10"/>
  </w:num>
  <w:num w:numId="29">
    <w:abstractNumId w:val="30"/>
  </w:num>
  <w:num w:numId="30">
    <w:abstractNumId w:val="12"/>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7"/>
  </w:num>
  <w:num w:numId="42">
    <w:abstractNumId w:val="11"/>
  </w:num>
  <w:num w:numId="43">
    <w:abstractNumId w:val="33"/>
  </w:num>
  <w:num w:numId="44">
    <w:abstractNumId w:val="39"/>
  </w:num>
  <w:num w:numId="45">
    <w:abstractNumId w:val="38"/>
  </w:num>
  <w:num w:numId="46">
    <w:abstractNumId w:val="17"/>
  </w:num>
  <w:num w:numId="47">
    <w:abstractNumId w:val="26"/>
  </w:num>
  <w:num w:numId="48">
    <w:abstractNumId w:val="4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158"/>
    <w:rsid w:val="000238E7"/>
    <w:rsid w:val="0003763D"/>
    <w:rsid w:val="0004680C"/>
    <w:rsid w:val="0006051E"/>
    <w:rsid w:val="00060D7D"/>
    <w:rsid w:val="00066EDC"/>
    <w:rsid w:val="000747E2"/>
    <w:rsid w:val="00080741"/>
    <w:rsid w:val="0008124D"/>
    <w:rsid w:val="00081E1D"/>
    <w:rsid w:val="000B7685"/>
    <w:rsid w:val="000C1558"/>
    <w:rsid w:val="00110012"/>
    <w:rsid w:val="0011020B"/>
    <w:rsid w:val="00110567"/>
    <w:rsid w:val="0011165A"/>
    <w:rsid w:val="001312B1"/>
    <w:rsid w:val="00133604"/>
    <w:rsid w:val="001550A8"/>
    <w:rsid w:val="00156DEF"/>
    <w:rsid w:val="001922DF"/>
    <w:rsid w:val="001A50FA"/>
    <w:rsid w:val="001A63B6"/>
    <w:rsid w:val="001C74C9"/>
    <w:rsid w:val="001D0B6B"/>
    <w:rsid w:val="001D70A7"/>
    <w:rsid w:val="001E0E0F"/>
    <w:rsid w:val="001F2B3D"/>
    <w:rsid w:val="002056F9"/>
    <w:rsid w:val="00242688"/>
    <w:rsid w:val="00252705"/>
    <w:rsid w:val="00255C38"/>
    <w:rsid w:val="00263642"/>
    <w:rsid w:val="00285614"/>
    <w:rsid w:val="00287981"/>
    <w:rsid w:val="00292D5B"/>
    <w:rsid w:val="002948B4"/>
    <w:rsid w:val="002A4A6A"/>
    <w:rsid w:val="002B1F8A"/>
    <w:rsid w:val="002C2F55"/>
    <w:rsid w:val="002D7B20"/>
    <w:rsid w:val="002F350A"/>
    <w:rsid w:val="002F4CDC"/>
    <w:rsid w:val="002F6DA2"/>
    <w:rsid w:val="00313542"/>
    <w:rsid w:val="0031761A"/>
    <w:rsid w:val="00373D66"/>
    <w:rsid w:val="003741A5"/>
    <w:rsid w:val="00395492"/>
    <w:rsid w:val="003A3FA3"/>
    <w:rsid w:val="003A4E19"/>
    <w:rsid w:val="003B45A0"/>
    <w:rsid w:val="003E6B6E"/>
    <w:rsid w:val="00413B50"/>
    <w:rsid w:val="004265FC"/>
    <w:rsid w:val="00465B72"/>
    <w:rsid w:val="00486168"/>
    <w:rsid w:val="004A6CC1"/>
    <w:rsid w:val="004C2E03"/>
    <w:rsid w:val="004D37FB"/>
    <w:rsid w:val="004D582F"/>
    <w:rsid w:val="004E3A2D"/>
    <w:rsid w:val="004E54FB"/>
    <w:rsid w:val="004E5D7A"/>
    <w:rsid w:val="004E7437"/>
    <w:rsid w:val="004F4945"/>
    <w:rsid w:val="005167C6"/>
    <w:rsid w:val="00522360"/>
    <w:rsid w:val="00523E1E"/>
    <w:rsid w:val="00526842"/>
    <w:rsid w:val="00544907"/>
    <w:rsid w:val="0054604E"/>
    <w:rsid w:val="00571809"/>
    <w:rsid w:val="005774AB"/>
    <w:rsid w:val="00590BA3"/>
    <w:rsid w:val="005A56D7"/>
    <w:rsid w:val="005B403A"/>
    <w:rsid w:val="005C36B4"/>
    <w:rsid w:val="005C6618"/>
    <w:rsid w:val="005D78E3"/>
    <w:rsid w:val="00613753"/>
    <w:rsid w:val="00630792"/>
    <w:rsid w:val="0066233D"/>
    <w:rsid w:val="006720A1"/>
    <w:rsid w:val="00675158"/>
    <w:rsid w:val="00680111"/>
    <w:rsid w:val="00680776"/>
    <w:rsid w:val="006818BB"/>
    <w:rsid w:val="00694B31"/>
    <w:rsid w:val="006A6E28"/>
    <w:rsid w:val="006B695E"/>
    <w:rsid w:val="006E450D"/>
    <w:rsid w:val="006E7C50"/>
    <w:rsid w:val="006F26A6"/>
    <w:rsid w:val="006F5EBE"/>
    <w:rsid w:val="0070363A"/>
    <w:rsid w:val="0071576B"/>
    <w:rsid w:val="0072531A"/>
    <w:rsid w:val="0074526F"/>
    <w:rsid w:val="00751387"/>
    <w:rsid w:val="00761CC0"/>
    <w:rsid w:val="00791921"/>
    <w:rsid w:val="00791C68"/>
    <w:rsid w:val="007939F8"/>
    <w:rsid w:val="007D7325"/>
    <w:rsid w:val="007F2B1F"/>
    <w:rsid w:val="00816531"/>
    <w:rsid w:val="008167EB"/>
    <w:rsid w:val="00816CC1"/>
    <w:rsid w:val="008247FA"/>
    <w:rsid w:val="0083036C"/>
    <w:rsid w:val="00834B41"/>
    <w:rsid w:val="0083596A"/>
    <w:rsid w:val="00845B3D"/>
    <w:rsid w:val="00847F0E"/>
    <w:rsid w:val="00850E89"/>
    <w:rsid w:val="00855489"/>
    <w:rsid w:val="00874613"/>
    <w:rsid w:val="008A5FE1"/>
    <w:rsid w:val="008B5AA3"/>
    <w:rsid w:val="008C773C"/>
    <w:rsid w:val="009138CF"/>
    <w:rsid w:val="009143C6"/>
    <w:rsid w:val="00930ECE"/>
    <w:rsid w:val="00946108"/>
    <w:rsid w:val="00951E34"/>
    <w:rsid w:val="009538C9"/>
    <w:rsid w:val="00957BAF"/>
    <w:rsid w:val="009725EA"/>
    <w:rsid w:val="009740DA"/>
    <w:rsid w:val="009A0440"/>
    <w:rsid w:val="009A7DE0"/>
    <w:rsid w:val="009B1B16"/>
    <w:rsid w:val="009E7CE4"/>
    <w:rsid w:val="00A10F24"/>
    <w:rsid w:val="00A10FB7"/>
    <w:rsid w:val="00A1283F"/>
    <w:rsid w:val="00A61134"/>
    <w:rsid w:val="00A65C60"/>
    <w:rsid w:val="00A66049"/>
    <w:rsid w:val="00A74BD4"/>
    <w:rsid w:val="00A95239"/>
    <w:rsid w:val="00AA6D1E"/>
    <w:rsid w:val="00AC217B"/>
    <w:rsid w:val="00AC3E74"/>
    <w:rsid w:val="00AD6DF0"/>
    <w:rsid w:val="00AF720B"/>
    <w:rsid w:val="00B134A1"/>
    <w:rsid w:val="00B13EC6"/>
    <w:rsid w:val="00B253DA"/>
    <w:rsid w:val="00B44B10"/>
    <w:rsid w:val="00BA30D4"/>
    <w:rsid w:val="00BA5564"/>
    <w:rsid w:val="00BC5A96"/>
    <w:rsid w:val="00BE34B4"/>
    <w:rsid w:val="00BE3C0C"/>
    <w:rsid w:val="00BE6DFB"/>
    <w:rsid w:val="00BF5AC3"/>
    <w:rsid w:val="00C05BB4"/>
    <w:rsid w:val="00C06DC5"/>
    <w:rsid w:val="00C1331C"/>
    <w:rsid w:val="00C25639"/>
    <w:rsid w:val="00C3286A"/>
    <w:rsid w:val="00C358F0"/>
    <w:rsid w:val="00C552CE"/>
    <w:rsid w:val="00C71C50"/>
    <w:rsid w:val="00C732FA"/>
    <w:rsid w:val="00C73C14"/>
    <w:rsid w:val="00CA4B46"/>
    <w:rsid w:val="00CC64CE"/>
    <w:rsid w:val="00CF325F"/>
    <w:rsid w:val="00CF3B0B"/>
    <w:rsid w:val="00CF3CF1"/>
    <w:rsid w:val="00D06AAC"/>
    <w:rsid w:val="00D330EB"/>
    <w:rsid w:val="00D770A9"/>
    <w:rsid w:val="00D911AB"/>
    <w:rsid w:val="00D918FD"/>
    <w:rsid w:val="00D92D7F"/>
    <w:rsid w:val="00DA0A18"/>
    <w:rsid w:val="00DB2C3D"/>
    <w:rsid w:val="00DC11CA"/>
    <w:rsid w:val="00DF5039"/>
    <w:rsid w:val="00E16370"/>
    <w:rsid w:val="00E22697"/>
    <w:rsid w:val="00E31B5D"/>
    <w:rsid w:val="00E55E4E"/>
    <w:rsid w:val="00E64AD5"/>
    <w:rsid w:val="00E703C1"/>
    <w:rsid w:val="00E738FA"/>
    <w:rsid w:val="00E847AE"/>
    <w:rsid w:val="00E85C88"/>
    <w:rsid w:val="00E969A6"/>
    <w:rsid w:val="00EA487E"/>
    <w:rsid w:val="00EB07A6"/>
    <w:rsid w:val="00EB2D62"/>
    <w:rsid w:val="00EB5808"/>
    <w:rsid w:val="00ED5DAF"/>
    <w:rsid w:val="00EE3E81"/>
    <w:rsid w:val="00F20D7F"/>
    <w:rsid w:val="00F245B6"/>
    <w:rsid w:val="00F26575"/>
    <w:rsid w:val="00F418A4"/>
    <w:rsid w:val="00F43999"/>
    <w:rsid w:val="00F65964"/>
    <w:rsid w:val="00F772BE"/>
    <w:rsid w:val="00F9081F"/>
    <w:rsid w:val="00F950FD"/>
    <w:rsid w:val="00F953A9"/>
    <w:rsid w:val="00FB3CCE"/>
    <w:rsid w:val="00FC6D2E"/>
    <w:rsid w:val="00FD7F73"/>
    <w:rsid w:val="00FE5E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E972FB"/>
  <w14:defaultImageDpi w14:val="300"/>
  <w15:docId w15:val="{9633618C-0EA5-41CB-B66C-121FCCBB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imes New Roman"/>
        <w:color w:val="000000"/>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10012"/>
    <w:pPr>
      <w:spacing w:after="120"/>
      <w:jc w:val="both"/>
    </w:pPr>
    <w:rPr>
      <w:rFonts w:ascii="Arial" w:hAnsi="Arial"/>
      <w:color w:val="auto"/>
      <w:sz w:val="20"/>
      <w:szCs w:val="20"/>
    </w:rPr>
  </w:style>
  <w:style w:type="paragraph" w:styleId="Heading1">
    <w:name w:val="heading 1"/>
    <w:basedOn w:val="H1"/>
    <w:next w:val="Normal"/>
    <w:link w:val="Heading1Char"/>
    <w:uiPriority w:val="9"/>
    <w:rsid w:val="00110012"/>
  </w:style>
  <w:style w:type="paragraph" w:styleId="Heading2">
    <w:name w:val="heading 2"/>
    <w:basedOn w:val="Normal"/>
    <w:next w:val="Normal"/>
    <w:link w:val="Heading2Char"/>
    <w:autoRedefine/>
    <w:uiPriority w:val="9"/>
    <w:unhideWhenUsed/>
    <w:qFormat/>
    <w:rsid w:val="00110012"/>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110012"/>
    <w:pPr>
      <w:keepNext/>
      <w:spacing w:before="240"/>
      <w:jc w:val="left"/>
      <w:outlineLvl w:val="2"/>
    </w:pPr>
    <w:rPr>
      <w:b/>
      <w:sz w:val="22"/>
      <w:szCs w:val="24"/>
    </w:rPr>
  </w:style>
  <w:style w:type="paragraph" w:styleId="Heading4">
    <w:name w:val="heading 4"/>
    <w:basedOn w:val="Normal"/>
    <w:next w:val="Normal"/>
    <w:link w:val="Heading4Char"/>
    <w:uiPriority w:val="9"/>
    <w:unhideWhenUsed/>
    <w:qFormat/>
    <w:rsid w:val="005774A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774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75158"/>
    <w:pPr>
      <w:spacing w:line="480" w:lineRule="auto"/>
    </w:pPr>
    <w:rPr>
      <w:rFonts w:ascii="Times New Roman" w:eastAsia="Times New Roman" w:hAnsi="Times New Roman"/>
      <w:lang w:val="x-none"/>
    </w:rPr>
  </w:style>
  <w:style w:type="character" w:customStyle="1" w:styleId="BodyText2Char">
    <w:name w:val="Body Text 2 Char"/>
    <w:basedOn w:val="DefaultParagraphFont"/>
    <w:link w:val="BodyText2"/>
    <w:rsid w:val="00675158"/>
    <w:rPr>
      <w:rFonts w:ascii="Times New Roman" w:eastAsia="Times New Roman" w:hAnsi="Times New Roman"/>
      <w:color w:val="auto"/>
      <w:sz w:val="20"/>
      <w:szCs w:val="20"/>
      <w:lang w:val="x-none"/>
    </w:rPr>
  </w:style>
  <w:style w:type="paragraph" w:styleId="ListParagraph">
    <w:name w:val="List Paragraph"/>
    <w:basedOn w:val="Normal"/>
    <w:link w:val="ListParagraphChar"/>
    <w:uiPriority w:val="34"/>
    <w:qFormat/>
    <w:rsid w:val="00110012"/>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110012"/>
    <w:rPr>
      <w:rFonts w:ascii="Arial" w:eastAsiaTheme="minorHAnsi" w:hAnsi="Arial" w:cstheme="minorBidi"/>
      <w:color w:val="auto"/>
      <w:sz w:val="20"/>
    </w:rPr>
  </w:style>
  <w:style w:type="table" w:styleId="TableGrid">
    <w:name w:val="Table Grid"/>
    <w:basedOn w:val="TableNormal"/>
    <w:uiPriority w:val="59"/>
    <w:rsid w:val="00110012"/>
    <w:rPr>
      <w:rFonts w:ascii="Cambria" w:hAnsi="Cambria"/>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50A8"/>
    <w:pPr>
      <w:spacing w:before="120"/>
    </w:pPr>
    <w:rPr>
      <w:rFonts w:asciiTheme="minorHAnsi" w:eastAsiaTheme="minorHAnsi" w:hAnsiTheme="minorHAnsi" w:cstheme="minorBidi"/>
      <w:b/>
      <w:bCs/>
      <w:color w:val="943634" w:themeColor="accent2" w:themeShade="BF"/>
      <w:sz w:val="18"/>
      <w:szCs w:val="18"/>
    </w:rPr>
  </w:style>
  <w:style w:type="paragraph" w:styleId="FootnoteText">
    <w:name w:val="footnote text"/>
    <w:basedOn w:val="Normal"/>
    <w:link w:val="FootnoteTextChar"/>
    <w:uiPriority w:val="99"/>
    <w:unhideWhenUsed/>
    <w:rsid w:val="00110012"/>
    <w:pPr>
      <w:spacing w:after="0"/>
    </w:pPr>
    <w:rPr>
      <w:sz w:val="16"/>
      <w:szCs w:val="22"/>
    </w:rPr>
  </w:style>
  <w:style w:type="character" w:customStyle="1" w:styleId="FootnoteTextChar">
    <w:name w:val="Footnote Text Char"/>
    <w:basedOn w:val="DefaultParagraphFont"/>
    <w:link w:val="FootnoteText"/>
    <w:uiPriority w:val="99"/>
    <w:rsid w:val="00110012"/>
    <w:rPr>
      <w:rFonts w:ascii="Arial" w:hAnsi="Arial"/>
      <w:color w:val="auto"/>
      <w:sz w:val="16"/>
    </w:rPr>
  </w:style>
  <w:style w:type="character" w:styleId="FootnoteReference">
    <w:name w:val="footnote reference"/>
    <w:basedOn w:val="DefaultParagraphFont"/>
    <w:uiPriority w:val="99"/>
    <w:unhideWhenUsed/>
    <w:rsid w:val="00110012"/>
    <w:rPr>
      <w:vertAlign w:val="superscript"/>
    </w:rPr>
  </w:style>
  <w:style w:type="paragraph" w:styleId="BalloonText">
    <w:name w:val="Balloon Text"/>
    <w:basedOn w:val="Normal"/>
    <w:link w:val="BalloonTextChar"/>
    <w:uiPriority w:val="99"/>
    <w:semiHidden/>
    <w:unhideWhenUsed/>
    <w:rsid w:val="0011001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0012"/>
    <w:rPr>
      <w:rFonts w:ascii="Lucida Grande" w:hAnsi="Lucida Grande" w:cs="Lucida Grande"/>
      <w:color w:val="auto"/>
      <w:sz w:val="18"/>
      <w:szCs w:val="18"/>
    </w:rPr>
  </w:style>
  <w:style w:type="paragraph" w:styleId="CommentText">
    <w:name w:val="annotation text"/>
    <w:basedOn w:val="Normal"/>
    <w:link w:val="CommentTextChar"/>
    <w:uiPriority w:val="99"/>
    <w:unhideWhenUsed/>
    <w:rsid w:val="00791C68"/>
    <w:rPr>
      <w:sz w:val="24"/>
      <w:szCs w:val="24"/>
    </w:rPr>
  </w:style>
  <w:style w:type="character" w:customStyle="1" w:styleId="CommentTextChar">
    <w:name w:val="Comment Text Char"/>
    <w:basedOn w:val="DefaultParagraphFont"/>
    <w:link w:val="CommentText"/>
    <w:uiPriority w:val="99"/>
    <w:rsid w:val="00791C68"/>
    <w:rPr>
      <w:rFonts w:ascii="Arial" w:hAnsi="Arial" w:cs="Arial"/>
      <w:color w:val="auto"/>
      <w:sz w:val="24"/>
      <w:szCs w:val="24"/>
      <w:lang w:val="en-GB"/>
    </w:rPr>
  </w:style>
  <w:style w:type="paragraph" w:styleId="Revision">
    <w:name w:val="Revision"/>
    <w:hidden/>
    <w:uiPriority w:val="99"/>
    <w:semiHidden/>
    <w:rsid w:val="00110012"/>
    <w:rPr>
      <w:rFonts w:ascii="Arial" w:hAnsi="Arial" w:cs="Arial"/>
      <w:color w:val="auto"/>
      <w:sz w:val="21"/>
      <w:szCs w:val="21"/>
    </w:rPr>
  </w:style>
  <w:style w:type="paragraph" w:styleId="Header">
    <w:name w:val="header"/>
    <w:basedOn w:val="Normal"/>
    <w:link w:val="HeaderChar"/>
    <w:uiPriority w:val="99"/>
    <w:unhideWhenUsed/>
    <w:rsid w:val="00110012"/>
    <w:pPr>
      <w:spacing w:after="0" w:line="288" w:lineRule="auto"/>
      <w:jc w:val="left"/>
    </w:pPr>
    <w:rPr>
      <w:sz w:val="16"/>
    </w:rPr>
  </w:style>
  <w:style w:type="character" w:customStyle="1" w:styleId="HeaderChar">
    <w:name w:val="Header Char"/>
    <w:basedOn w:val="DefaultParagraphFont"/>
    <w:link w:val="Header"/>
    <w:uiPriority w:val="99"/>
    <w:rsid w:val="00110012"/>
    <w:rPr>
      <w:rFonts w:ascii="Arial" w:hAnsi="Arial"/>
      <w:color w:val="auto"/>
      <w:sz w:val="16"/>
      <w:szCs w:val="20"/>
    </w:rPr>
  </w:style>
  <w:style w:type="paragraph" w:styleId="Footer">
    <w:name w:val="footer"/>
    <w:basedOn w:val="Normal"/>
    <w:link w:val="FooterChar"/>
    <w:uiPriority w:val="99"/>
    <w:unhideWhenUsed/>
    <w:rsid w:val="00110012"/>
    <w:pPr>
      <w:spacing w:after="0"/>
      <w:jc w:val="left"/>
    </w:pPr>
    <w:rPr>
      <w:sz w:val="16"/>
      <w:szCs w:val="18"/>
    </w:rPr>
  </w:style>
  <w:style w:type="character" w:customStyle="1" w:styleId="FooterChar">
    <w:name w:val="Footer Char"/>
    <w:basedOn w:val="DefaultParagraphFont"/>
    <w:link w:val="Footer"/>
    <w:uiPriority w:val="99"/>
    <w:rsid w:val="00110012"/>
    <w:rPr>
      <w:rFonts w:ascii="Arial" w:hAnsi="Arial"/>
      <w:color w:val="auto"/>
      <w:sz w:val="16"/>
      <w:szCs w:val="18"/>
    </w:rPr>
  </w:style>
  <w:style w:type="character" w:styleId="PageNumber">
    <w:name w:val="page number"/>
    <w:basedOn w:val="DefaultParagraphFont"/>
    <w:uiPriority w:val="99"/>
    <w:unhideWhenUsed/>
    <w:rsid w:val="00110012"/>
    <w:rPr>
      <w:b/>
    </w:rPr>
  </w:style>
  <w:style w:type="character" w:styleId="CommentReference">
    <w:name w:val="annotation reference"/>
    <w:basedOn w:val="DefaultParagraphFont"/>
    <w:uiPriority w:val="99"/>
    <w:semiHidden/>
    <w:unhideWhenUsed/>
    <w:rsid w:val="00110012"/>
    <w:rPr>
      <w:sz w:val="18"/>
      <w:szCs w:val="18"/>
    </w:rPr>
  </w:style>
  <w:style w:type="paragraph" w:styleId="CommentSubject">
    <w:name w:val="annotation subject"/>
    <w:basedOn w:val="Normal"/>
    <w:link w:val="CommentSubjectChar"/>
    <w:uiPriority w:val="99"/>
    <w:semiHidden/>
    <w:unhideWhenUsed/>
    <w:rsid w:val="00110012"/>
    <w:rPr>
      <w:b/>
      <w:bCs/>
    </w:rPr>
  </w:style>
  <w:style w:type="character" w:customStyle="1" w:styleId="CommentSubjectChar">
    <w:name w:val="Comment Subject Char"/>
    <w:basedOn w:val="DefaultParagraphFont"/>
    <w:link w:val="CommentSubject"/>
    <w:uiPriority w:val="99"/>
    <w:semiHidden/>
    <w:rsid w:val="00110012"/>
    <w:rPr>
      <w:rFonts w:ascii="Arial" w:hAnsi="Arial"/>
      <w:b/>
      <w:bCs/>
      <w:color w:val="auto"/>
      <w:sz w:val="20"/>
      <w:szCs w:val="20"/>
    </w:rPr>
  </w:style>
  <w:style w:type="paragraph" w:customStyle="1" w:styleId="BasicParagraph">
    <w:name w:val="[Basic Paragraph]"/>
    <w:basedOn w:val="Normal"/>
    <w:uiPriority w:val="99"/>
    <w:rsid w:val="00110012"/>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Bullet1">
    <w:name w:val="Bullet 1"/>
    <w:basedOn w:val="Normal"/>
    <w:autoRedefine/>
    <w:rsid w:val="00110012"/>
    <w:pPr>
      <w:numPr>
        <w:numId w:val="1"/>
      </w:numPr>
      <w:spacing w:before="60"/>
      <w:ind w:left="714" w:hanging="357"/>
      <w:jc w:val="left"/>
    </w:pPr>
    <w:rPr>
      <w:rFonts w:eastAsia="Times New Roman"/>
      <w:color w:val="000000"/>
    </w:rPr>
  </w:style>
  <w:style w:type="paragraph" w:customStyle="1" w:styleId="Default">
    <w:name w:val="Default"/>
    <w:rsid w:val="00110012"/>
    <w:pPr>
      <w:widowControl w:val="0"/>
      <w:autoSpaceDE w:val="0"/>
      <w:autoSpaceDN w:val="0"/>
      <w:adjustRightInd w:val="0"/>
    </w:pPr>
    <w:rPr>
      <w:rFonts w:ascii="Arial" w:hAnsi="Arial" w:cs="Arial"/>
      <w:sz w:val="24"/>
      <w:szCs w:val="24"/>
    </w:rPr>
  </w:style>
  <w:style w:type="character" w:styleId="FollowedHyperlink">
    <w:name w:val="FollowedHyperlink"/>
    <w:basedOn w:val="DefaultParagraphFont"/>
    <w:uiPriority w:val="99"/>
    <w:semiHidden/>
    <w:unhideWhenUsed/>
    <w:rsid w:val="00110012"/>
    <w:rPr>
      <w:color w:val="800080" w:themeColor="followedHyperlink"/>
      <w:u w:val="single"/>
    </w:rPr>
  </w:style>
  <w:style w:type="paragraph" w:customStyle="1" w:styleId="H1">
    <w:name w:val="H1"/>
    <w:basedOn w:val="Normal"/>
    <w:link w:val="H1Char"/>
    <w:qFormat/>
    <w:rsid w:val="00110012"/>
    <w:pPr>
      <w:spacing w:before="360" w:after="240"/>
      <w:jc w:val="left"/>
      <w:outlineLvl w:val="0"/>
    </w:pPr>
    <w:rPr>
      <w:b/>
      <w:sz w:val="40"/>
      <w:szCs w:val="52"/>
    </w:rPr>
  </w:style>
  <w:style w:type="character" w:customStyle="1" w:styleId="H1Char">
    <w:name w:val="H1 Char"/>
    <w:basedOn w:val="DefaultParagraphFont"/>
    <w:link w:val="H1"/>
    <w:rsid w:val="00110012"/>
    <w:rPr>
      <w:rFonts w:ascii="Arial" w:hAnsi="Arial"/>
      <w:b/>
      <w:color w:val="auto"/>
      <w:sz w:val="40"/>
      <w:szCs w:val="52"/>
    </w:rPr>
  </w:style>
  <w:style w:type="paragraph" w:customStyle="1" w:styleId="Header1">
    <w:name w:val="Header 1"/>
    <w:basedOn w:val="Header"/>
    <w:rsid w:val="00110012"/>
    <w:rPr>
      <w:b/>
      <w:sz w:val="24"/>
      <w:szCs w:val="24"/>
    </w:rPr>
  </w:style>
  <w:style w:type="character" w:customStyle="1" w:styleId="Heading1Char">
    <w:name w:val="Heading 1 Char"/>
    <w:basedOn w:val="DefaultParagraphFont"/>
    <w:link w:val="Heading1"/>
    <w:uiPriority w:val="9"/>
    <w:rsid w:val="00110012"/>
    <w:rPr>
      <w:rFonts w:ascii="Arial" w:hAnsi="Arial"/>
      <w:b/>
      <w:color w:val="auto"/>
      <w:sz w:val="40"/>
      <w:szCs w:val="52"/>
    </w:rPr>
  </w:style>
  <w:style w:type="character" w:customStyle="1" w:styleId="Heading2Char">
    <w:name w:val="Heading 2 Char"/>
    <w:basedOn w:val="DefaultParagraphFont"/>
    <w:link w:val="Heading2"/>
    <w:uiPriority w:val="9"/>
    <w:rsid w:val="00110012"/>
    <w:rPr>
      <w:rFonts w:ascii="Arial" w:hAnsi="Arial"/>
      <w:b/>
      <w:caps/>
      <w:color w:val="auto"/>
      <w:sz w:val="24"/>
      <w:szCs w:val="26"/>
    </w:rPr>
  </w:style>
  <w:style w:type="character" w:customStyle="1" w:styleId="Heading3Char">
    <w:name w:val="Heading 3 Char"/>
    <w:basedOn w:val="DefaultParagraphFont"/>
    <w:link w:val="Heading3"/>
    <w:uiPriority w:val="9"/>
    <w:rsid w:val="00110012"/>
    <w:rPr>
      <w:rFonts w:ascii="Arial" w:hAnsi="Arial"/>
      <w:b/>
      <w:color w:val="auto"/>
      <w:szCs w:val="24"/>
    </w:rPr>
  </w:style>
  <w:style w:type="character" w:styleId="Hyperlink">
    <w:name w:val="Hyperlink"/>
    <w:basedOn w:val="DefaultParagraphFont"/>
    <w:uiPriority w:val="99"/>
    <w:unhideWhenUsed/>
    <w:rsid w:val="00110012"/>
    <w:rPr>
      <w:color w:val="0000FF" w:themeColor="hyperlink"/>
      <w:u w:val="single"/>
    </w:rPr>
  </w:style>
  <w:style w:type="character" w:customStyle="1" w:styleId="Pantone485">
    <w:name w:val="Pantone 485"/>
    <w:basedOn w:val="DefaultParagraphFont"/>
    <w:uiPriority w:val="1"/>
    <w:qFormat/>
    <w:rsid w:val="00110012"/>
    <w:rPr>
      <w:rFonts w:cs="Caecilia-Light"/>
      <w:color w:val="DC281E"/>
      <w:szCs w:val="16"/>
    </w:rPr>
  </w:style>
  <w:style w:type="paragraph" w:customStyle="1" w:styleId="RefItem1">
    <w:name w:val="Ref Item 1"/>
    <w:basedOn w:val="Normal"/>
    <w:rsid w:val="00110012"/>
    <w:pPr>
      <w:jc w:val="left"/>
    </w:pPr>
    <w:rPr>
      <w:color w:val="000000"/>
      <w:szCs w:val="24"/>
      <w:lang w:eastAsia="it-IT"/>
    </w:rPr>
  </w:style>
  <w:style w:type="paragraph" w:customStyle="1" w:styleId="RefTitre">
    <w:name w:val="Ref Titre"/>
    <w:basedOn w:val="Normal"/>
    <w:rsid w:val="00110012"/>
    <w:pPr>
      <w:jc w:val="left"/>
    </w:pPr>
    <w:rPr>
      <w:rFonts w:eastAsia="Times New Roman"/>
      <w:b/>
      <w:bCs/>
      <w:sz w:val="26"/>
      <w:szCs w:val="26"/>
    </w:rPr>
  </w:style>
  <w:style w:type="table" w:customStyle="1" w:styleId="TableGray">
    <w:name w:val="Table Gray"/>
    <w:basedOn w:val="TableNormal"/>
    <w:uiPriority w:val="99"/>
    <w:rsid w:val="00110012"/>
    <w:rPr>
      <w:rFonts w:asciiTheme="minorHAnsi" w:hAnsiTheme="minorHAnsi"/>
      <w:color w:val="auto"/>
      <w:sz w:val="20"/>
      <w:szCs w:val="20"/>
    </w:rPr>
    <w:tblPr>
      <w:tblCellMar>
        <w:top w:w="142" w:type="dxa"/>
        <w:left w:w="142" w:type="dxa"/>
        <w:bottom w:w="142" w:type="dxa"/>
        <w:right w:w="142" w:type="dxa"/>
      </w:tblCellMar>
    </w:tblPr>
    <w:tcPr>
      <w:shd w:val="clear" w:color="auto" w:fill="D9D9D9" w:themeFill="background1" w:themeFillShade="D9"/>
    </w:tcPr>
  </w:style>
  <w:style w:type="character" w:customStyle="1" w:styleId="Heading4Char">
    <w:name w:val="Heading 4 Char"/>
    <w:basedOn w:val="DefaultParagraphFont"/>
    <w:link w:val="Heading4"/>
    <w:uiPriority w:val="9"/>
    <w:rsid w:val="005774AB"/>
    <w:rPr>
      <w:rFonts w:eastAsiaTheme="majorEastAsia" w:cstheme="majorBidi"/>
      <w:b/>
      <w:bCs/>
      <w:i/>
      <w:iCs/>
      <w:color w:val="4F81BD" w:themeColor="accent1"/>
      <w:sz w:val="20"/>
      <w:szCs w:val="21"/>
      <w:lang w:val="en-GB"/>
    </w:rPr>
  </w:style>
  <w:style w:type="character" w:customStyle="1" w:styleId="Heading5Char">
    <w:name w:val="Heading 5 Char"/>
    <w:basedOn w:val="DefaultParagraphFont"/>
    <w:link w:val="Heading5"/>
    <w:uiPriority w:val="9"/>
    <w:rsid w:val="005774AB"/>
    <w:rPr>
      <w:rFonts w:eastAsiaTheme="majorEastAsia" w:cstheme="majorBidi"/>
      <w:color w:val="243F60" w:themeColor="accent1" w:themeShade="7F"/>
      <w:sz w:val="20"/>
      <w:szCs w:val="21"/>
      <w:lang w:val="en-GB"/>
    </w:rPr>
  </w:style>
  <w:style w:type="paragraph" w:customStyle="1" w:styleId="Bullet2">
    <w:name w:val="Bullet 2"/>
    <w:basedOn w:val="ListParagraph"/>
    <w:rsid w:val="00110012"/>
    <w:pPr>
      <w:numPr>
        <w:numId w:val="41"/>
      </w:numPr>
      <w:tabs>
        <w:tab w:val="left" w:pos="7230"/>
      </w:tabs>
      <w:spacing w:before="240"/>
    </w:pPr>
    <w:rPr>
      <w:rFonts w:cs="Arial"/>
    </w:rPr>
  </w:style>
  <w:style w:type="paragraph" w:customStyle="1" w:styleId="ListNumber1">
    <w:name w:val="List Number 1"/>
    <w:basedOn w:val="Normal"/>
    <w:rsid w:val="00110012"/>
    <w:pPr>
      <w:numPr>
        <w:ilvl w:val="1"/>
        <w:numId w:val="42"/>
      </w:numPr>
      <w:contextualSpacing/>
    </w:pPr>
    <w:rPr>
      <w:rFonts w:eastAsiaTheme="minorHAnsi" w:cstheme="minorHAnsi"/>
      <w:szCs w:val="22"/>
    </w:rPr>
  </w:style>
  <w:style w:type="paragraph" w:customStyle="1" w:styleId="NormalNo">
    <w:name w:val="Normal + No"/>
    <w:basedOn w:val="Normal"/>
    <w:qFormat/>
    <w:rsid w:val="00110012"/>
    <w:pPr>
      <w:numPr>
        <w:numId w:val="43"/>
      </w:numPr>
    </w:pPr>
    <w:rPr>
      <w:rFonts w:eastAsia="MS Mincho"/>
      <w:b/>
      <w:sz w:val="22"/>
    </w:rPr>
  </w:style>
  <w:style w:type="paragraph" w:customStyle="1" w:styleId="Bullet3">
    <w:name w:val="Bullet 3"/>
    <w:basedOn w:val="ListParagraph"/>
    <w:qFormat/>
    <w:rsid w:val="00110012"/>
    <w:pPr>
      <w:numPr>
        <w:numId w:val="44"/>
      </w:numPr>
      <w:spacing w:before="120" w:after="120"/>
      <w:ind w:right="425"/>
    </w:pPr>
    <w:rPr>
      <w:rFonts w:cs="Arial"/>
      <w:i/>
      <w:iCs/>
    </w:rPr>
  </w:style>
  <w:style w:type="paragraph" w:customStyle="1" w:styleId="Indent">
    <w:name w:val="Indent"/>
    <w:basedOn w:val="Normal"/>
    <w:qFormat/>
    <w:rsid w:val="00110012"/>
    <w:pPr>
      <w:ind w:left="567"/>
    </w:pPr>
    <w:rPr>
      <w:rFonts w:cs="Arial"/>
      <w:b/>
    </w:rPr>
  </w:style>
  <w:style w:type="paragraph" w:customStyle="1" w:styleId="Heading3NotBold">
    <w:name w:val="Heading 3 Not Bold"/>
    <w:basedOn w:val="Normal"/>
    <w:qFormat/>
    <w:rsid w:val="00292D5B"/>
    <w:pPr>
      <w:widowControl w:val="0"/>
      <w:spacing w:before="240"/>
    </w:pPr>
    <w:rPr>
      <w:rFonts w:cs="Arial"/>
      <w:sz w:val="22"/>
    </w:rPr>
  </w:style>
  <w:style w:type="paragraph" w:customStyle="1" w:styleId="TitreTableau">
    <w:name w:val="Titre Tableau"/>
    <w:basedOn w:val="Normal"/>
    <w:qFormat/>
    <w:rsid w:val="00110012"/>
    <w:pPr>
      <w:spacing w:before="120"/>
      <w:jc w:val="center"/>
    </w:pPr>
    <w:rPr>
      <w:rFonts w:cs="Arial"/>
      <w:b/>
      <w:bCs/>
      <w:color w:val="FFFFFF" w:themeColor="background1"/>
      <w:lang w:val="en-CA"/>
    </w:rPr>
  </w:style>
  <w:style w:type="paragraph" w:customStyle="1" w:styleId="BulletTableau">
    <w:name w:val="Bullet Tableau"/>
    <w:basedOn w:val="Bullet2"/>
    <w:qFormat/>
    <w:rsid w:val="00110012"/>
    <w:pPr>
      <w:keepNext/>
      <w:keepLines/>
      <w:framePr w:hSpace="141" w:wrap="around" w:vAnchor="text" w:hAnchor="margin" w:y="402"/>
      <w:numPr>
        <w:numId w:val="45"/>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5432">
      <w:bodyDiv w:val="1"/>
      <w:marLeft w:val="0"/>
      <w:marRight w:val="0"/>
      <w:marTop w:val="0"/>
      <w:marBottom w:val="0"/>
      <w:divBdr>
        <w:top w:val="none" w:sz="0" w:space="0" w:color="auto"/>
        <w:left w:val="none" w:sz="0" w:space="0" w:color="auto"/>
        <w:bottom w:val="none" w:sz="0" w:space="0" w:color="auto"/>
        <w:right w:val="none" w:sz="0" w:space="0" w:color="auto"/>
      </w:divBdr>
    </w:div>
    <w:div w:id="105933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rc.org/eng/assets/files/publications/icrc-002-4200.pdf"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IFRC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269</TotalTime>
  <Pages>1</Pages>
  <Words>2048</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Ines DALMAU i GUTSENS</cp:lastModifiedBy>
  <cp:revision>8</cp:revision>
  <cp:lastPrinted>2015-09-13T15:46:00Z</cp:lastPrinted>
  <dcterms:created xsi:type="dcterms:W3CDTF">2016-01-11T13:43:00Z</dcterms:created>
  <dcterms:modified xsi:type="dcterms:W3CDTF">2016-02-22T17:55:00Z</dcterms:modified>
</cp:coreProperties>
</file>