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49435" w14:textId="364FA901" w:rsidR="00F13CF8" w:rsidRPr="00715E17" w:rsidRDefault="00D85B4D" w:rsidP="008B379C">
      <w:pPr>
        <w:pStyle w:val="H1"/>
        <w:rPr>
          <w:lang w:val="es-ES_tradnl"/>
        </w:rPr>
      </w:pPr>
      <w:r w:rsidRPr="00715E17">
        <w:rPr>
          <w:lang w:val="es-ES_tradnl"/>
        </w:rPr>
        <w:t xml:space="preserve">Hoja de ruta para la </w:t>
      </w:r>
      <w:r w:rsidR="000B7814" w:rsidRPr="00715E17">
        <w:rPr>
          <w:lang w:val="es-ES_tradnl"/>
        </w:rPr>
        <w:t>preparación</w:t>
      </w:r>
      <w:r w:rsidR="00FF1A15" w:rsidRPr="00715E17">
        <w:rPr>
          <w:lang w:val="es-ES_tradnl"/>
        </w:rPr>
        <w:t xml:space="preserve"> para los</w:t>
      </w:r>
      <w:r w:rsidRPr="00715E17">
        <w:rPr>
          <w:lang w:val="es-ES_tradnl"/>
        </w:rPr>
        <w:t xml:space="preserve"> PTE</w:t>
      </w:r>
      <w:r w:rsidR="000B7814" w:rsidRPr="00715E17">
        <w:rPr>
          <w:lang w:val="es-ES_tradnl"/>
        </w:rPr>
        <w:t xml:space="preserve"> </w:t>
      </w:r>
    </w:p>
    <w:p w14:paraId="27342F04" w14:textId="0D557271" w:rsidR="00E91929" w:rsidRPr="00715E17" w:rsidRDefault="00E91929" w:rsidP="00E91929">
      <w:pPr>
        <w:pStyle w:val="H1"/>
        <w:ind w:left="-170"/>
        <w:rPr>
          <w:lang w:val="es-ES_tradnl"/>
        </w:rPr>
      </w:pPr>
    </w:p>
    <w:p w14:paraId="08E70AEE" w14:textId="0AEAF44B" w:rsidR="007D1A58" w:rsidRPr="00715E17" w:rsidRDefault="000B7814" w:rsidP="00674833">
      <w:pPr>
        <w:pStyle w:val="Heading2"/>
        <w:rPr>
          <w:lang w:val="es-ES_tradnl"/>
        </w:rPr>
      </w:pPr>
      <w:r w:rsidRPr="00715E17">
        <w:rPr>
          <w:lang w:val="es-ES_tradnl"/>
        </w:rPr>
        <w:t>INTRODUCCIó</w:t>
      </w:r>
      <w:r w:rsidR="007D1A58" w:rsidRPr="00715E17">
        <w:rPr>
          <w:lang w:val="es-ES_tradnl"/>
        </w:rPr>
        <w:t>N</w:t>
      </w:r>
    </w:p>
    <w:p w14:paraId="0525BDF7" w14:textId="541319CE" w:rsidR="000B7814" w:rsidRPr="00715E17" w:rsidRDefault="000B7814" w:rsidP="00674833">
      <w:pPr>
        <w:rPr>
          <w:szCs w:val="22"/>
          <w:lang w:val="es-ES_tradnl"/>
        </w:rPr>
      </w:pPr>
      <w:r w:rsidRPr="00715E17">
        <w:rPr>
          <w:szCs w:val="22"/>
          <w:lang w:val="es-ES_tradnl"/>
        </w:rPr>
        <w:t xml:space="preserve">La preparación </w:t>
      </w:r>
      <w:r w:rsidR="000D597D" w:rsidRPr="00715E17">
        <w:rPr>
          <w:szCs w:val="22"/>
          <w:lang w:val="es-ES_tradnl"/>
        </w:rPr>
        <w:t xml:space="preserve">para los programas de transferencia de efectivo (PTE) </w:t>
      </w:r>
      <w:r w:rsidRPr="00715E17">
        <w:rPr>
          <w:szCs w:val="22"/>
          <w:lang w:val="es-ES_tradnl"/>
        </w:rPr>
        <w:t>debe contribuir a increm</w:t>
      </w:r>
      <w:r w:rsidR="000D597D" w:rsidRPr="00715E17">
        <w:rPr>
          <w:szCs w:val="22"/>
          <w:lang w:val="es-ES_tradnl"/>
        </w:rPr>
        <w:t xml:space="preserve">entar la capacidad operacional en aras a </w:t>
      </w:r>
      <w:r w:rsidRPr="00715E17">
        <w:rPr>
          <w:szCs w:val="22"/>
          <w:lang w:val="es-ES_tradnl"/>
        </w:rPr>
        <w:t xml:space="preserve">responder con </w:t>
      </w:r>
      <w:r w:rsidR="00715E17">
        <w:rPr>
          <w:szCs w:val="22"/>
          <w:lang w:val="es-ES_tradnl"/>
        </w:rPr>
        <w:t>celeridad</w:t>
      </w:r>
      <w:r w:rsidR="000D597D" w:rsidRPr="00715E17">
        <w:rPr>
          <w:szCs w:val="22"/>
          <w:lang w:val="es-ES_tradnl"/>
        </w:rPr>
        <w:t xml:space="preserve"> y adecuada</w:t>
      </w:r>
      <w:r w:rsidRPr="00715E17">
        <w:rPr>
          <w:szCs w:val="22"/>
          <w:lang w:val="es-ES_tradnl"/>
        </w:rPr>
        <w:t>mente en una emergencia. Con una buena preparaci</w:t>
      </w:r>
      <w:r w:rsidR="000D597D" w:rsidRPr="00715E17">
        <w:rPr>
          <w:szCs w:val="22"/>
          <w:lang w:val="es-ES_tradnl"/>
        </w:rPr>
        <w:t>ón, los PTE</w:t>
      </w:r>
      <w:r w:rsidRPr="00715E17">
        <w:rPr>
          <w:szCs w:val="22"/>
          <w:lang w:val="es-ES_tradnl"/>
        </w:rPr>
        <w:t xml:space="preserve"> pueden ser implementados rápidamente y a gran escala. Cuando ya se cuenta con planes de preparación y de contingencia, hay que asegurarse de que los mencionados planes también incluyen los PTE. </w:t>
      </w:r>
    </w:p>
    <w:p w14:paraId="70B7086D" w14:textId="48636395" w:rsidR="000B7814" w:rsidRPr="00715E17" w:rsidRDefault="000B7814" w:rsidP="000B7814">
      <w:pPr>
        <w:rPr>
          <w:szCs w:val="22"/>
          <w:lang w:val="es-ES_tradnl"/>
        </w:rPr>
      </w:pPr>
      <w:r w:rsidRPr="00715E17">
        <w:rPr>
          <w:i/>
          <w:lang w:val="es-ES_tradnl"/>
        </w:rPr>
        <w:t xml:space="preserve">Las Directrices para la preparación y la integración institucional de Programas de transferencias </w:t>
      </w:r>
      <w:r w:rsidRPr="00715E17">
        <w:rPr>
          <w:i/>
          <w:szCs w:val="22"/>
          <w:lang w:val="es-ES_tradnl"/>
        </w:rPr>
        <w:t xml:space="preserve">de dinero en efectivo </w:t>
      </w:r>
      <w:r w:rsidRPr="00715E17">
        <w:rPr>
          <w:szCs w:val="22"/>
          <w:lang w:val="es-ES_tradnl"/>
        </w:rPr>
        <w:t xml:space="preserve">de la Federación Internacional de Sociedades de la Cruz Roja y la Media Luna Roja, sugieren un proceso organizado en tres pasos para desarrollar el Plano de Acción y la estrategia relativas a PTE. La caja de herramientas para transferencias de efectivo en emergencias provee de herramientas para apoyar estos tres pasos: </w:t>
      </w:r>
    </w:p>
    <w:p w14:paraId="76537CE6" w14:textId="692C1422" w:rsidR="000B7814" w:rsidRPr="00715E17" w:rsidRDefault="000B7814" w:rsidP="000B7814">
      <w:pPr>
        <w:ind w:firstLine="720"/>
        <w:rPr>
          <w:szCs w:val="22"/>
          <w:lang w:val="es-ES_tradnl"/>
        </w:rPr>
      </w:pPr>
      <w:r w:rsidRPr="00715E17">
        <w:rPr>
          <w:b/>
          <w:szCs w:val="22"/>
          <w:lang w:val="es-ES_tradnl"/>
        </w:rPr>
        <w:t>Paso 1</w:t>
      </w:r>
      <w:r w:rsidRPr="00715E17">
        <w:rPr>
          <w:szCs w:val="22"/>
          <w:lang w:val="es-ES_tradnl"/>
        </w:rPr>
        <w:t>: Preparación y análisis</w:t>
      </w:r>
    </w:p>
    <w:p w14:paraId="2F123947" w14:textId="21FD6E10" w:rsidR="000B7814" w:rsidRPr="00715E17" w:rsidRDefault="000B7814" w:rsidP="000B7814">
      <w:pPr>
        <w:ind w:firstLine="720"/>
        <w:rPr>
          <w:szCs w:val="22"/>
          <w:lang w:val="es-ES_tradnl"/>
        </w:rPr>
      </w:pPr>
      <w:r w:rsidRPr="00715E17">
        <w:rPr>
          <w:b/>
          <w:szCs w:val="22"/>
          <w:lang w:val="es-ES_tradnl"/>
        </w:rPr>
        <w:t>Paso 2</w:t>
      </w:r>
      <w:r w:rsidRPr="00715E17">
        <w:rPr>
          <w:szCs w:val="22"/>
          <w:lang w:val="es-ES_tradnl"/>
        </w:rPr>
        <w:t xml:space="preserve">: Elaboración y ejecución </w:t>
      </w:r>
    </w:p>
    <w:p w14:paraId="11526BC7" w14:textId="796872CE" w:rsidR="000B7814" w:rsidRPr="00715E17" w:rsidRDefault="000B7814" w:rsidP="000B7814">
      <w:pPr>
        <w:ind w:firstLine="720"/>
        <w:rPr>
          <w:szCs w:val="22"/>
          <w:lang w:val="es-ES_tradnl"/>
        </w:rPr>
      </w:pPr>
      <w:r w:rsidRPr="00715E17">
        <w:rPr>
          <w:b/>
          <w:szCs w:val="22"/>
          <w:lang w:val="es-ES_tradnl"/>
        </w:rPr>
        <w:t>Paso 3</w:t>
      </w:r>
      <w:r w:rsidRPr="00715E17">
        <w:rPr>
          <w:szCs w:val="22"/>
          <w:lang w:val="es-ES_tradnl"/>
        </w:rPr>
        <w:t>: Análisis, lecciones aprendidas y perfeccionamiento</w:t>
      </w:r>
    </w:p>
    <w:p w14:paraId="78D27708" w14:textId="7DEECB99" w:rsidR="000B7814" w:rsidRPr="00715E17" w:rsidRDefault="000B7814" w:rsidP="000B7814">
      <w:pPr>
        <w:rPr>
          <w:szCs w:val="22"/>
          <w:lang w:val="es-ES_tradnl"/>
        </w:rPr>
      </w:pPr>
      <w:r w:rsidRPr="00715E17">
        <w:rPr>
          <w:szCs w:val="22"/>
          <w:lang w:val="es-ES_tradnl"/>
        </w:rPr>
        <w:t>Para cada paso, existe una hoja de ruta con una breve orientación, estándares m</w:t>
      </w:r>
      <w:r w:rsidR="003E0FFD" w:rsidRPr="00715E17">
        <w:rPr>
          <w:szCs w:val="22"/>
          <w:lang w:val="es-ES_tradnl"/>
        </w:rPr>
        <w:t>ínimos, descripción de las etapas</w:t>
      </w:r>
      <w:r w:rsidRPr="00715E17">
        <w:rPr>
          <w:szCs w:val="22"/>
          <w:lang w:val="es-ES_tradnl"/>
        </w:rPr>
        <w:t xml:space="preserve"> y her</w:t>
      </w:r>
      <w:r w:rsidR="003E0FFD" w:rsidRPr="00715E17">
        <w:rPr>
          <w:szCs w:val="22"/>
          <w:lang w:val="es-ES_tradnl"/>
        </w:rPr>
        <w:t>ramientas disponibles. Las etapas</w:t>
      </w:r>
      <w:r w:rsidRPr="00715E17">
        <w:rPr>
          <w:szCs w:val="22"/>
          <w:lang w:val="es-ES_tradnl"/>
        </w:rPr>
        <w:t xml:space="preserve"> y las herramientas sugeridas pueden ser adaptadas a los distintos contextos por distintas organizaciones. Se pueden encontrar orientaciones detalladas sobre preparación en los documentos de referencia recomendados</w:t>
      </w:r>
      <w:r w:rsidR="000D597D" w:rsidRPr="00715E17">
        <w:rPr>
          <w:szCs w:val="22"/>
          <w:lang w:val="es-ES_tradnl"/>
        </w:rPr>
        <w:t>,</w:t>
      </w:r>
      <w:r w:rsidR="003E0FFD" w:rsidRPr="00715E17">
        <w:rPr>
          <w:szCs w:val="22"/>
          <w:lang w:val="es-ES_tradnl"/>
        </w:rPr>
        <w:t xml:space="preserve"> tanto a nivel del mó</w:t>
      </w:r>
      <w:r w:rsidRPr="00715E17">
        <w:rPr>
          <w:szCs w:val="22"/>
          <w:lang w:val="es-ES_tradnl"/>
        </w:rPr>
        <w:t>dulo</w:t>
      </w:r>
      <w:r w:rsidR="000D597D" w:rsidRPr="00715E17">
        <w:rPr>
          <w:szCs w:val="22"/>
          <w:lang w:val="es-ES_tradnl"/>
        </w:rPr>
        <w:t>,</w:t>
      </w:r>
      <w:r w:rsidRPr="00715E17">
        <w:rPr>
          <w:szCs w:val="22"/>
          <w:lang w:val="es-ES_tradnl"/>
        </w:rPr>
        <w:t xml:space="preserve"> como </w:t>
      </w:r>
      <w:r w:rsidR="000D597D" w:rsidRPr="00715E17">
        <w:rPr>
          <w:szCs w:val="22"/>
          <w:lang w:val="es-ES_tradnl"/>
        </w:rPr>
        <w:t xml:space="preserve">a nivel </w:t>
      </w:r>
      <w:r w:rsidRPr="00715E17">
        <w:rPr>
          <w:szCs w:val="22"/>
          <w:lang w:val="es-ES_tradnl"/>
        </w:rPr>
        <w:t>de</w:t>
      </w:r>
      <w:r w:rsidR="003E0FFD" w:rsidRPr="00715E17">
        <w:rPr>
          <w:szCs w:val="22"/>
          <w:lang w:val="es-ES_tradnl"/>
        </w:rPr>
        <w:t xml:space="preserve"> la</w:t>
      </w:r>
      <w:r w:rsidR="000D597D" w:rsidRPr="00715E17">
        <w:rPr>
          <w:szCs w:val="22"/>
          <w:lang w:val="es-ES_tradnl"/>
        </w:rPr>
        <w:t>s</w:t>
      </w:r>
      <w:r w:rsidR="003E0FFD" w:rsidRPr="00715E17">
        <w:rPr>
          <w:szCs w:val="22"/>
          <w:lang w:val="es-ES_tradnl"/>
        </w:rPr>
        <w:t xml:space="preserve"> etapas. Para cada etapa</w:t>
      </w:r>
      <w:r w:rsidRPr="00715E17">
        <w:rPr>
          <w:szCs w:val="22"/>
          <w:lang w:val="es-ES_tradnl"/>
        </w:rPr>
        <w:t xml:space="preserve">, se recomiendan estándares mínimos </w:t>
      </w:r>
      <w:r w:rsidR="000D597D" w:rsidRPr="00715E17">
        <w:rPr>
          <w:szCs w:val="22"/>
          <w:lang w:val="es-ES_tradnl"/>
        </w:rPr>
        <w:t xml:space="preserve">para </w:t>
      </w:r>
      <w:r w:rsidRPr="00715E17">
        <w:rPr>
          <w:szCs w:val="22"/>
          <w:lang w:val="es-ES_tradnl"/>
        </w:rPr>
        <w:t xml:space="preserve">ayudar a los profesionales a entender qué es obligatorio a lo largo del proceso. </w:t>
      </w:r>
    </w:p>
    <w:p w14:paraId="7B0B0163" w14:textId="43D2BD2D" w:rsidR="001B79C9" w:rsidRPr="00715E17" w:rsidRDefault="000D597D" w:rsidP="0016162D">
      <w:pPr>
        <w:pStyle w:val="Heading2"/>
        <w:rPr>
          <w:lang w:val="es-ES_tradnl"/>
        </w:rPr>
      </w:pPr>
      <w:r w:rsidRPr="00715E17">
        <w:rPr>
          <w:lang w:val="es-ES_tradnl"/>
        </w:rPr>
        <w:t>ESTÁ</w:t>
      </w:r>
      <w:r w:rsidR="00333EA9" w:rsidRPr="00715E17">
        <w:rPr>
          <w:lang w:val="es-ES_tradnl"/>
        </w:rPr>
        <w:t>NDAR</w:t>
      </w:r>
      <w:r w:rsidRPr="00715E17">
        <w:rPr>
          <w:lang w:val="es-ES_tradnl"/>
        </w:rPr>
        <w:t>E</w:t>
      </w:r>
      <w:r w:rsidR="00333EA9" w:rsidRPr="00715E17">
        <w:rPr>
          <w:lang w:val="es-ES_tradnl"/>
        </w:rPr>
        <w:t>S</w:t>
      </w:r>
      <w:r w:rsidRPr="00715E17">
        <w:rPr>
          <w:lang w:val="es-ES_tradnl"/>
        </w:rPr>
        <w:t xml:space="preserve"> MíNIMOS</w:t>
      </w:r>
    </w:p>
    <w:p w14:paraId="31672AD7" w14:textId="5A0DF0AB" w:rsidR="00C97F74" w:rsidRPr="00715E17" w:rsidRDefault="000D597D" w:rsidP="0016162D">
      <w:pPr>
        <w:pStyle w:val="Bullet1"/>
        <w:keepNext/>
        <w:rPr>
          <w:rFonts w:cs="Times"/>
          <w:lang w:val="es-ES_tradnl"/>
        </w:rPr>
      </w:pPr>
      <w:r w:rsidRPr="00715E17">
        <w:rPr>
          <w:lang w:val="es-ES_tradnl"/>
        </w:rPr>
        <w:t>Los PTE</w:t>
      </w:r>
      <w:r w:rsidR="00C97F74" w:rsidRPr="00715E17">
        <w:rPr>
          <w:lang w:val="es-ES_tradnl"/>
        </w:rPr>
        <w:t xml:space="preserve"> </w:t>
      </w:r>
      <w:r w:rsidR="003E0FFD" w:rsidRPr="00715E17">
        <w:rPr>
          <w:lang w:val="es-ES_tradnl"/>
        </w:rPr>
        <w:t>deben estar</w:t>
      </w:r>
      <w:r w:rsidRPr="00715E17">
        <w:rPr>
          <w:lang w:val="es-ES_tradnl"/>
        </w:rPr>
        <w:t xml:space="preserve"> integrados en los planes estratégicos, de contingencia y de respuesta, incluyendo los sistemas de recurso</w:t>
      </w:r>
      <w:r w:rsidR="003E0FFD" w:rsidRPr="00715E17">
        <w:rPr>
          <w:lang w:val="es-ES_tradnl"/>
        </w:rPr>
        <w:t>s humanos, finanzas, monitoreo</w:t>
      </w:r>
      <w:r w:rsidRPr="00715E17">
        <w:rPr>
          <w:lang w:val="es-ES_tradnl"/>
        </w:rPr>
        <w:t xml:space="preserve"> y evaluación, así como de </w:t>
      </w:r>
      <w:r w:rsidR="00715E17" w:rsidRPr="00715E17">
        <w:rPr>
          <w:lang w:val="es-ES_tradnl"/>
        </w:rPr>
        <w:t>movilización</w:t>
      </w:r>
      <w:r w:rsidRPr="00715E17">
        <w:rPr>
          <w:lang w:val="es-ES_tradnl"/>
        </w:rPr>
        <w:t xml:space="preserve"> de recursos. </w:t>
      </w:r>
    </w:p>
    <w:p w14:paraId="2896CE45" w14:textId="70F9A8B4" w:rsidR="00095A26" w:rsidRPr="00715E17" w:rsidRDefault="000D597D" w:rsidP="0016162D">
      <w:pPr>
        <w:pStyle w:val="Bullet1"/>
        <w:rPr>
          <w:rFonts w:cs="Times"/>
          <w:lang w:val="es-ES_tradnl"/>
        </w:rPr>
      </w:pPr>
      <w:r w:rsidRPr="00715E17">
        <w:rPr>
          <w:lang w:val="es-ES_tradnl"/>
        </w:rPr>
        <w:t xml:space="preserve">Los distintos departamentos involucrados en una posible respuesta con PTE, particularmente logística y finanzas, deben implicarse </w:t>
      </w:r>
      <w:r w:rsidR="00D85B4D" w:rsidRPr="00715E17">
        <w:rPr>
          <w:lang w:val="es-ES_tradnl"/>
        </w:rPr>
        <w:t>en la planificación, integración e im</w:t>
      </w:r>
      <w:r w:rsidR="003E0FFD" w:rsidRPr="00715E17">
        <w:rPr>
          <w:lang w:val="es-ES_tradnl"/>
        </w:rPr>
        <w:t>plementación de la preparación para</w:t>
      </w:r>
      <w:r w:rsidR="00D85B4D" w:rsidRPr="00715E17">
        <w:rPr>
          <w:lang w:val="es-ES_tradnl"/>
        </w:rPr>
        <w:t xml:space="preserve"> los PTE. </w:t>
      </w:r>
    </w:p>
    <w:p w14:paraId="633431CA" w14:textId="592E4435" w:rsidR="00AB382D" w:rsidRPr="00715E17" w:rsidRDefault="00D85B4D" w:rsidP="0016162D">
      <w:pPr>
        <w:pStyle w:val="Bullet1"/>
        <w:rPr>
          <w:lang w:val="es-ES_tradnl"/>
        </w:rPr>
      </w:pPr>
      <w:r w:rsidRPr="00715E17">
        <w:rPr>
          <w:lang w:val="es-ES_tradnl"/>
        </w:rPr>
        <w:t xml:space="preserve">La recopilación y análisis de los datos secundarios debe llevarse a cabo en primera instancia para aportar una visión general de la situación y permitir un primer análisis del contexto. </w:t>
      </w:r>
    </w:p>
    <w:p w14:paraId="5BA2F275" w14:textId="7423B36D" w:rsidR="00AB382D" w:rsidRPr="00715E17" w:rsidRDefault="00D85B4D" w:rsidP="0016162D">
      <w:pPr>
        <w:pStyle w:val="Bullet1"/>
        <w:rPr>
          <w:rFonts w:cs="Times"/>
          <w:lang w:val="es-ES_tradnl"/>
        </w:rPr>
      </w:pPr>
      <w:r w:rsidRPr="00715E17">
        <w:rPr>
          <w:color w:val="000000" w:themeColor="text1"/>
          <w:lang w:val="es-ES_tradnl"/>
        </w:rPr>
        <w:t xml:space="preserve">Entre los posibles escenarios, por lo menos el “peor </w:t>
      </w:r>
      <w:r w:rsidR="00715E17" w:rsidRPr="00715E17">
        <w:rPr>
          <w:color w:val="000000" w:themeColor="text1"/>
          <w:lang w:val="es-ES_tradnl"/>
        </w:rPr>
        <w:t>escenario</w:t>
      </w:r>
      <w:r w:rsidRPr="00715E17">
        <w:rPr>
          <w:color w:val="000000" w:themeColor="text1"/>
          <w:lang w:val="es-ES_tradnl"/>
        </w:rPr>
        <w:t xml:space="preserve">” debe ser desarrollado, en base al análisis de contexto inicial, e incluir unas primeras indicaciones sobre posibles opciones de </w:t>
      </w:r>
      <w:r w:rsidR="003E0FFD" w:rsidRPr="00715E17">
        <w:rPr>
          <w:color w:val="000000" w:themeColor="text1"/>
          <w:lang w:val="es-ES_tradnl"/>
        </w:rPr>
        <w:t>intervención</w:t>
      </w:r>
      <w:r w:rsidRPr="00715E17">
        <w:rPr>
          <w:color w:val="000000" w:themeColor="text1"/>
          <w:lang w:val="es-ES_tradnl"/>
        </w:rPr>
        <w:t xml:space="preserve">. </w:t>
      </w:r>
    </w:p>
    <w:p w14:paraId="70413543" w14:textId="45661F57" w:rsidR="00F674F8" w:rsidRPr="00715E17" w:rsidRDefault="003E0FFD" w:rsidP="0016162D">
      <w:pPr>
        <w:pStyle w:val="Bullet1"/>
        <w:rPr>
          <w:rFonts w:cs="Times"/>
          <w:lang w:val="es-ES_tradnl"/>
        </w:rPr>
      </w:pPr>
      <w:r w:rsidRPr="00715E17">
        <w:rPr>
          <w:lang w:val="es-ES_tradnl"/>
        </w:rPr>
        <w:t>Las líneas de base pre</w:t>
      </w:r>
      <w:r w:rsidR="00D85B4D" w:rsidRPr="00715E17">
        <w:rPr>
          <w:lang w:val="es-ES_tradnl"/>
        </w:rPr>
        <w:t xml:space="preserve">-desastre deben incluir un análisis de los principales asociados, las condiciones de los mercados, la capacidad de los proveedores de servicios, el acceso y las preferencias de las comunidades, así como los riesgos asociados con posibles respuestas con PTE. </w:t>
      </w:r>
    </w:p>
    <w:p w14:paraId="552CBBCB" w14:textId="75234A25" w:rsidR="00AB382D" w:rsidRPr="00715E17" w:rsidRDefault="00890645" w:rsidP="0016162D">
      <w:pPr>
        <w:pStyle w:val="Bullet1"/>
        <w:rPr>
          <w:color w:val="000000" w:themeColor="text1"/>
          <w:lang w:val="es-ES_tradnl"/>
        </w:rPr>
      </w:pPr>
      <w:r w:rsidRPr="00715E17">
        <w:rPr>
          <w:lang w:val="es-ES_tradnl"/>
        </w:rPr>
        <w:t xml:space="preserve">Es necesario realizar un análisis de viabilidad de PTE en base a las informaciones de la línea de base, y en particular, en base a las preferencias de los beneficiarios, la capacidad de los mercados </w:t>
      </w:r>
      <w:r w:rsidRPr="00715E17">
        <w:rPr>
          <w:lang w:val="es-ES_tradnl"/>
        </w:rPr>
        <w:lastRenderedPageBreak/>
        <w:t>y de los proveedores de servicios. Este análisis permitirá identificar las modalidades y mecanismos de respuesta más adecuados para responder a los escenarios previstos</w:t>
      </w:r>
    </w:p>
    <w:p w14:paraId="4783066D" w14:textId="48194AD3" w:rsidR="00CD55F4" w:rsidRPr="00715E17" w:rsidRDefault="00CD55F4" w:rsidP="00CD55F4">
      <w:pPr>
        <w:pStyle w:val="Bullet1"/>
        <w:rPr>
          <w:lang w:val="es-ES_tradnl"/>
        </w:rPr>
      </w:pPr>
      <w:r w:rsidRPr="00715E17">
        <w:rPr>
          <w:lang w:val="es-ES_tradnl"/>
        </w:rPr>
        <w:t xml:space="preserve">Es necesario realizar una autoevaluación con la participación de los principales responsables de la adopción de decisiones de los departamentos clave de la Sociedad Nacional para identificar las deficiencias a nivel de organización que impiden ejecutar PTE a gran escala y de manera rápida.   </w:t>
      </w:r>
    </w:p>
    <w:p w14:paraId="727FE2E0" w14:textId="0C711620" w:rsidR="00593F9E" w:rsidRPr="00715E17" w:rsidRDefault="00CD55F4" w:rsidP="0016162D">
      <w:pPr>
        <w:pStyle w:val="Bullet1"/>
        <w:rPr>
          <w:rFonts w:cs="Times"/>
          <w:lang w:val="es-ES_tradnl"/>
        </w:rPr>
      </w:pPr>
      <w:r w:rsidRPr="00715E17">
        <w:rPr>
          <w:lang w:val="es-ES_tradnl"/>
        </w:rPr>
        <w:t xml:space="preserve">Se debe establecer un grupo de trabajo técnico en PTE bajo el liderazgo de punto focal de </w:t>
      </w:r>
      <w:r w:rsidR="000D597D" w:rsidRPr="00715E17">
        <w:rPr>
          <w:lang w:val="es-ES_tradnl"/>
        </w:rPr>
        <w:t>PTE</w:t>
      </w:r>
      <w:r w:rsidRPr="00715E17">
        <w:rPr>
          <w:lang w:val="es-ES_tradnl"/>
        </w:rPr>
        <w:t xml:space="preserve"> para supervisar el desarrollo, implementación y </w:t>
      </w:r>
      <w:r w:rsidR="00715E17">
        <w:rPr>
          <w:lang w:val="es-ES_tradnl"/>
        </w:rPr>
        <w:t>monitoreo</w:t>
      </w:r>
      <w:r w:rsidRPr="00715E17">
        <w:rPr>
          <w:lang w:val="es-ES_tradnl"/>
        </w:rPr>
        <w:t xml:space="preserve"> </w:t>
      </w:r>
      <w:r w:rsidR="00E26EC7" w:rsidRPr="00715E17">
        <w:rPr>
          <w:lang w:val="es-ES_tradnl"/>
        </w:rPr>
        <w:t>del Plan</w:t>
      </w:r>
      <w:r w:rsidR="003E0FFD" w:rsidRPr="00715E17">
        <w:rPr>
          <w:lang w:val="es-ES_tradnl"/>
        </w:rPr>
        <w:t xml:space="preserve"> de a</w:t>
      </w:r>
      <w:r w:rsidRPr="00715E17">
        <w:rPr>
          <w:lang w:val="es-ES_tradnl"/>
        </w:rPr>
        <w:t>cci</w:t>
      </w:r>
      <w:r w:rsidR="00E26EC7" w:rsidRPr="00715E17">
        <w:rPr>
          <w:lang w:val="es-ES_tradnl"/>
        </w:rPr>
        <w:t>ón de</w:t>
      </w:r>
      <w:r w:rsidRPr="00715E17">
        <w:rPr>
          <w:lang w:val="es-ES_tradnl"/>
        </w:rPr>
        <w:t xml:space="preserve"> preparación </w:t>
      </w:r>
      <w:r w:rsidR="00E26EC7" w:rsidRPr="00715E17">
        <w:rPr>
          <w:lang w:val="es-ES_tradnl"/>
        </w:rPr>
        <w:t xml:space="preserve">para la elaboración de </w:t>
      </w:r>
      <w:r w:rsidRPr="00715E17">
        <w:rPr>
          <w:lang w:val="es-ES_tradnl"/>
        </w:rPr>
        <w:t xml:space="preserve">PTE. </w:t>
      </w:r>
    </w:p>
    <w:p w14:paraId="5FC98167" w14:textId="7CE00264" w:rsidR="00E26EC7" w:rsidRPr="00715E17" w:rsidRDefault="00CD55F4" w:rsidP="00E26EC7">
      <w:pPr>
        <w:pStyle w:val="Bullet1"/>
        <w:rPr>
          <w:lang w:val="es-ES_tradnl"/>
        </w:rPr>
      </w:pPr>
      <w:r w:rsidRPr="00715E17">
        <w:rPr>
          <w:lang w:val="es-ES_tradnl"/>
        </w:rPr>
        <w:t xml:space="preserve">El </w:t>
      </w:r>
      <w:r w:rsidR="003E0FFD" w:rsidRPr="00715E17">
        <w:rPr>
          <w:lang w:val="es-ES_tradnl"/>
        </w:rPr>
        <w:t>Plan de a</w:t>
      </w:r>
      <w:r w:rsidR="00E26EC7" w:rsidRPr="00715E17">
        <w:rPr>
          <w:lang w:val="es-ES_tradnl"/>
        </w:rPr>
        <w:t xml:space="preserve">cción de preparación para la elaboración de PTE debe ser </w:t>
      </w:r>
      <w:r w:rsidR="00715E17" w:rsidRPr="00715E17">
        <w:rPr>
          <w:lang w:val="es-ES_tradnl"/>
        </w:rPr>
        <w:t>multianual</w:t>
      </w:r>
      <w:r w:rsidR="00E26EC7" w:rsidRPr="00715E17">
        <w:rPr>
          <w:lang w:val="es-ES_tradnl"/>
        </w:rPr>
        <w:t xml:space="preserve">, y </w:t>
      </w:r>
      <w:r w:rsidR="003E0FFD" w:rsidRPr="00715E17">
        <w:rPr>
          <w:lang w:val="es-ES_tradnl"/>
        </w:rPr>
        <w:t xml:space="preserve">estar </w:t>
      </w:r>
      <w:r w:rsidR="00E26EC7" w:rsidRPr="00715E17">
        <w:rPr>
          <w:lang w:val="es-ES_tradnl"/>
        </w:rPr>
        <w:t>debidamente presupuestado, además de contar con los recursos suficientes, tener actividades y resultados claramente definidos, y ser actualizado anualmente.</w:t>
      </w:r>
    </w:p>
    <w:p w14:paraId="52A260D7" w14:textId="6516952D" w:rsidR="002C07A0" w:rsidRPr="00715E17" w:rsidRDefault="003E0FFD" w:rsidP="0016162D">
      <w:pPr>
        <w:pStyle w:val="Bullet1"/>
        <w:rPr>
          <w:lang w:val="es-ES_tradnl"/>
        </w:rPr>
      </w:pPr>
      <w:r w:rsidRPr="00715E17">
        <w:rPr>
          <w:lang w:val="es-ES_tradnl"/>
        </w:rPr>
        <w:t>Los p</w:t>
      </w:r>
      <w:r w:rsidR="00E26EC7" w:rsidRPr="00715E17">
        <w:rPr>
          <w:lang w:val="es-ES_tradnl"/>
        </w:rPr>
        <w:t xml:space="preserve">rocedimientos operativos </w:t>
      </w:r>
      <w:r w:rsidRPr="00715E17">
        <w:rPr>
          <w:lang w:val="es-ES_tradnl"/>
        </w:rPr>
        <w:t xml:space="preserve">estándar </w:t>
      </w:r>
      <w:r w:rsidR="00E26EC7" w:rsidRPr="00715E17">
        <w:rPr>
          <w:lang w:val="es-ES_tradnl"/>
        </w:rPr>
        <w:t xml:space="preserve">para </w:t>
      </w:r>
      <w:r w:rsidR="000D597D" w:rsidRPr="00715E17">
        <w:rPr>
          <w:lang w:val="es-ES_tradnl"/>
        </w:rPr>
        <w:t>PTE</w:t>
      </w:r>
      <w:r w:rsidR="00E26EC7" w:rsidRPr="00715E17">
        <w:rPr>
          <w:lang w:val="es-ES_tradnl"/>
        </w:rPr>
        <w:t xml:space="preserve">, </w:t>
      </w:r>
      <w:r w:rsidRPr="00715E17">
        <w:rPr>
          <w:lang w:val="es-ES_tradnl"/>
        </w:rPr>
        <w:t xml:space="preserve">los </w:t>
      </w:r>
      <w:r w:rsidR="00E26EC7" w:rsidRPr="00715E17">
        <w:rPr>
          <w:lang w:val="es-ES_tradnl"/>
        </w:rPr>
        <w:t xml:space="preserve">sistemas y </w:t>
      </w:r>
      <w:r w:rsidRPr="00715E17">
        <w:rPr>
          <w:lang w:val="es-ES_tradnl"/>
        </w:rPr>
        <w:t xml:space="preserve">los </w:t>
      </w:r>
      <w:r w:rsidR="00E26EC7" w:rsidRPr="00715E17">
        <w:rPr>
          <w:lang w:val="es-ES_tradnl"/>
        </w:rPr>
        <w:t xml:space="preserve">procedimientos deben ser acordados, diseminados </w:t>
      </w:r>
      <w:r w:rsidRPr="00715E17">
        <w:rPr>
          <w:lang w:val="es-ES_tradnl"/>
        </w:rPr>
        <w:t>ampliamente y actualizados perió</w:t>
      </w:r>
      <w:r w:rsidR="00E26EC7" w:rsidRPr="00715E17">
        <w:rPr>
          <w:lang w:val="es-ES_tradnl"/>
        </w:rPr>
        <w:t xml:space="preserve">dicamente. </w:t>
      </w:r>
    </w:p>
    <w:p w14:paraId="0E0BFBBC" w14:textId="6D232E87" w:rsidR="00BE6F9F" w:rsidRPr="00715E17" w:rsidRDefault="00E26EC7" w:rsidP="0016162D">
      <w:pPr>
        <w:pStyle w:val="Bullet1"/>
        <w:rPr>
          <w:rFonts w:cs="Times"/>
          <w:lang w:val="es-ES_tradnl"/>
        </w:rPr>
      </w:pPr>
      <w:r w:rsidRPr="00715E17">
        <w:rPr>
          <w:lang w:val="es-ES_tradnl"/>
        </w:rPr>
        <w:t>Se deben realizar s</w:t>
      </w:r>
      <w:r w:rsidR="00BE6F9F" w:rsidRPr="00715E17">
        <w:rPr>
          <w:lang w:val="es-ES_tradnl"/>
        </w:rPr>
        <w:t>imula</w:t>
      </w:r>
      <w:r w:rsidRPr="00715E17">
        <w:rPr>
          <w:lang w:val="es-ES_tradnl"/>
        </w:rPr>
        <w:t xml:space="preserve">ciones o </w:t>
      </w:r>
      <w:r w:rsidR="00BE6F9F" w:rsidRPr="00715E17">
        <w:rPr>
          <w:lang w:val="es-ES_tradnl"/>
        </w:rPr>
        <w:t>pilot</w:t>
      </w:r>
      <w:r w:rsidRPr="00715E17">
        <w:rPr>
          <w:lang w:val="es-ES_tradnl"/>
        </w:rPr>
        <w:t>o</w:t>
      </w:r>
      <w:r w:rsidR="00BE6F9F" w:rsidRPr="00715E17">
        <w:rPr>
          <w:lang w:val="es-ES_tradnl"/>
        </w:rPr>
        <w:t xml:space="preserve">s </w:t>
      </w:r>
      <w:r w:rsidRPr="00715E17">
        <w:rPr>
          <w:lang w:val="es-ES_tradnl"/>
        </w:rPr>
        <w:t>para tes</w:t>
      </w:r>
      <w:r w:rsidR="003E0FFD" w:rsidRPr="00715E17">
        <w:rPr>
          <w:lang w:val="es-ES_tradnl"/>
        </w:rPr>
        <w:t>tar la preparación operacional para</w:t>
      </w:r>
      <w:r w:rsidRPr="00715E17">
        <w:rPr>
          <w:lang w:val="es-ES_tradnl"/>
        </w:rPr>
        <w:t xml:space="preserve"> los PTE que deben ser repetidos a lo largo del tiempo. </w:t>
      </w:r>
    </w:p>
    <w:p w14:paraId="7CC51A15" w14:textId="225C994C" w:rsidR="00593F9E" w:rsidRPr="00715E17" w:rsidRDefault="00E430E2" w:rsidP="0016162D">
      <w:pPr>
        <w:pStyle w:val="Bullet1"/>
        <w:rPr>
          <w:rFonts w:cs="Times"/>
          <w:lang w:val="es-ES_tradnl"/>
        </w:rPr>
      </w:pPr>
      <w:r w:rsidRPr="00715E17">
        <w:rPr>
          <w:lang w:val="es-ES_tradnl"/>
        </w:rPr>
        <w:t xml:space="preserve">Se deben poner en marcha mecanismos de coordinación interna y externa relativos a los PTE. </w:t>
      </w:r>
    </w:p>
    <w:p w14:paraId="53BC2C9D" w14:textId="77777777" w:rsidR="00E430E2" w:rsidRPr="00715E17" w:rsidRDefault="00E430E2" w:rsidP="001D1DAA">
      <w:pPr>
        <w:pStyle w:val="Bullet1"/>
        <w:rPr>
          <w:lang w:val="es-ES_tradnl"/>
        </w:rPr>
      </w:pPr>
      <w:r w:rsidRPr="00715E17">
        <w:rPr>
          <w:lang w:val="es-ES_tradnl"/>
        </w:rPr>
        <w:t xml:space="preserve">Los </w:t>
      </w:r>
      <w:r w:rsidR="000D597D" w:rsidRPr="00715E17">
        <w:rPr>
          <w:lang w:val="es-ES_tradnl"/>
        </w:rPr>
        <w:t>PTE</w:t>
      </w:r>
      <w:r w:rsidR="00BE6F9F" w:rsidRPr="00715E17">
        <w:rPr>
          <w:lang w:val="es-ES_tradnl"/>
        </w:rPr>
        <w:t xml:space="preserve"> </w:t>
      </w:r>
      <w:r w:rsidRPr="00715E17">
        <w:rPr>
          <w:lang w:val="es-ES_tradnl"/>
        </w:rPr>
        <w:t xml:space="preserve">deben ser reforzados en las estrategias y los planes de comunicación. </w:t>
      </w:r>
    </w:p>
    <w:p w14:paraId="20C963F5" w14:textId="21BFA70A" w:rsidR="00F57C12" w:rsidRPr="00715E17" w:rsidRDefault="00E430E2" w:rsidP="001D1DAA">
      <w:pPr>
        <w:pStyle w:val="Bullet1"/>
        <w:rPr>
          <w:lang w:val="es-ES_tradnl"/>
        </w:rPr>
      </w:pPr>
      <w:r w:rsidRPr="00715E17">
        <w:rPr>
          <w:lang w:val="es-ES_tradnl"/>
        </w:rPr>
        <w:t>Se debe captar</w:t>
      </w:r>
      <w:r w:rsidR="003E0FFD" w:rsidRPr="00715E17">
        <w:rPr>
          <w:lang w:val="es-ES_tradnl"/>
        </w:rPr>
        <w:t xml:space="preserve"> el conocimiento en base a las o</w:t>
      </w:r>
      <w:r w:rsidRPr="00715E17">
        <w:rPr>
          <w:lang w:val="es-ES_tradnl"/>
        </w:rPr>
        <w:t xml:space="preserve">peraciones y respuestas implementadas. Siempre que sea necesario se deben actualizar los procedimientos, las herramientas y los materiales de formación relativos a los PTE. </w:t>
      </w:r>
    </w:p>
    <w:p w14:paraId="690C7AF4" w14:textId="0F8C823F" w:rsidR="00E075B1" w:rsidRPr="00715E17" w:rsidRDefault="00E430E2" w:rsidP="00674833">
      <w:pPr>
        <w:pStyle w:val="Heading2"/>
        <w:rPr>
          <w:lang w:val="es-ES_tradnl"/>
        </w:rPr>
      </w:pPr>
      <w:r w:rsidRPr="00715E17">
        <w:rPr>
          <w:lang w:val="es-ES_tradnl"/>
        </w:rPr>
        <w:t>PASO</w:t>
      </w:r>
      <w:r w:rsidR="00E075B1" w:rsidRPr="00715E17">
        <w:rPr>
          <w:lang w:val="es-ES_tradnl"/>
        </w:rPr>
        <w:t xml:space="preserve"> 1. PREPAR</w:t>
      </w:r>
      <w:r w:rsidRPr="00715E17">
        <w:rPr>
          <w:lang w:val="es-ES_tradnl"/>
        </w:rPr>
        <w:t xml:space="preserve">ACIÓN Y ANÁLISIS </w:t>
      </w:r>
    </w:p>
    <w:p w14:paraId="7CD0A7BC" w14:textId="7BFF811C" w:rsidR="005349AC" w:rsidRPr="00715E17" w:rsidRDefault="00F22273" w:rsidP="00B550F3">
      <w:pPr>
        <w:spacing w:before="120"/>
        <w:rPr>
          <w:lang w:val="es-ES_tradnl"/>
        </w:rPr>
      </w:pPr>
      <w:r w:rsidRPr="00715E17">
        <w:rPr>
          <w:lang w:val="es-ES_tradnl"/>
        </w:rPr>
        <w:t>El paso 1 se centra en los procesos necesarios para realizar el análisis del contexto basado en datos secundarios</w:t>
      </w:r>
      <w:r w:rsidR="0006571E" w:rsidRPr="00715E17">
        <w:rPr>
          <w:lang w:val="es-ES_tradnl"/>
        </w:rPr>
        <w:t>;</w:t>
      </w:r>
      <w:r w:rsidRPr="00715E17">
        <w:rPr>
          <w:lang w:val="es-ES_tradnl"/>
        </w:rPr>
        <w:t xml:space="preserve"> desarrollar y analizar escenarios</w:t>
      </w:r>
      <w:r w:rsidR="0006571E" w:rsidRPr="00715E17">
        <w:rPr>
          <w:lang w:val="es-ES_tradnl"/>
        </w:rPr>
        <w:t>;</w:t>
      </w:r>
      <w:r w:rsidRPr="00715E17">
        <w:rPr>
          <w:lang w:val="es-ES_tradnl"/>
        </w:rPr>
        <w:t xml:space="preserve"> documentar l</w:t>
      </w:r>
      <w:r w:rsidR="0006571E" w:rsidRPr="00715E17">
        <w:rPr>
          <w:lang w:val="es-ES_tradnl"/>
        </w:rPr>
        <w:t>íneas de base;</w:t>
      </w:r>
      <w:r w:rsidRPr="00715E17">
        <w:rPr>
          <w:lang w:val="es-ES_tradnl"/>
        </w:rPr>
        <w:t xml:space="preserve"> e iden</w:t>
      </w:r>
      <w:r w:rsidR="0006571E" w:rsidRPr="00715E17">
        <w:rPr>
          <w:lang w:val="es-ES_tradnl"/>
        </w:rPr>
        <w:t xml:space="preserve">tificar las deficiencias de la </w:t>
      </w:r>
      <w:r w:rsidRPr="00715E17">
        <w:rPr>
          <w:lang w:val="es-ES_tradnl"/>
        </w:rPr>
        <w:t xml:space="preserve">SN en relación a la preparación para implementar PTE a través de un ejercicio de autoevaluación. </w:t>
      </w:r>
      <w:r w:rsidR="00090E17" w:rsidRPr="00715E17">
        <w:rPr>
          <w:lang w:val="es-ES_tradnl"/>
        </w:rPr>
        <w:t xml:space="preserve"> </w:t>
      </w:r>
    </w:p>
    <w:p w14:paraId="608BCB21" w14:textId="6FA013B1" w:rsidR="00B4685C" w:rsidRPr="00715E17" w:rsidRDefault="0006571E" w:rsidP="00B4685C">
      <w:pPr>
        <w:spacing w:before="120"/>
        <w:rPr>
          <w:lang w:val="es-ES_tradnl"/>
        </w:rPr>
      </w:pPr>
      <w:r w:rsidRPr="00715E17">
        <w:rPr>
          <w:lang w:val="es-ES_tradnl"/>
        </w:rPr>
        <w:t xml:space="preserve">Los datos secundarios ofrecen un punto de referencia a partir del cual se puede entender la magnitud y el alcance de un futuro desastre. También generan información que permite determinar qué escenarios deben ser </w:t>
      </w:r>
      <w:r w:rsidR="00715E17" w:rsidRPr="00715E17">
        <w:rPr>
          <w:lang w:val="es-ES_tradnl"/>
        </w:rPr>
        <w:t>desarrollados</w:t>
      </w:r>
      <w:r w:rsidRPr="00715E17">
        <w:rPr>
          <w:lang w:val="es-ES_tradnl"/>
        </w:rPr>
        <w:t xml:space="preserve">. La documentación de línea de base permite profundizar </w:t>
      </w:r>
      <w:r w:rsidR="003E0FFD" w:rsidRPr="00715E17">
        <w:rPr>
          <w:lang w:val="es-ES_tradnl"/>
        </w:rPr>
        <w:t xml:space="preserve">en </w:t>
      </w:r>
      <w:r w:rsidRPr="00715E17">
        <w:rPr>
          <w:lang w:val="es-ES_tradnl"/>
        </w:rPr>
        <w:t>el análisis de contexto e identificar condiciones favorables en el context</w:t>
      </w:r>
      <w:r w:rsidR="0015456C" w:rsidRPr="00715E17">
        <w:rPr>
          <w:lang w:val="es-ES_tradnl"/>
        </w:rPr>
        <w:t>o</w:t>
      </w:r>
      <w:r w:rsidRPr="00715E17">
        <w:rPr>
          <w:lang w:val="es-ES_tradnl"/>
        </w:rPr>
        <w:t xml:space="preserve">, </w:t>
      </w:r>
      <w:r w:rsidR="0015456C" w:rsidRPr="00715E17">
        <w:rPr>
          <w:lang w:val="es-ES_tradnl"/>
        </w:rPr>
        <w:t xml:space="preserve">tales como: </w:t>
      </w:r>
      <w:r w:rsidRPr="00715E17">
        <w:rPr>
          <w:lang w:val="es-ES_tradnl"/>
        </w:rPr>
        <w:t>programas y pol</w:t>
      </w:r>
      <w:r w:rsidR="0015456C" w:rsidRPr="00715E17">
        <w:rPr>
          <w:lang w:val="es-ES_tradnl"/>
        </w:rPr>
        <w:t>íticas gubernamentales;</w:t>
      </w:r>
      <w:r w:rsidRPr="00715E17">
        <w:rPr>
          <w:lang w:val="es-ES_tradnl"/>
        </w:rPr>
        <w:t xml:space="preserve"> </w:t>
      </w:r>
      <w:r w:rsidR="0015456C" w:rsidRPr="00715E17">
        <w:rPr>
          <w:lang w:val="es-ES_tradnl"/>
        </w:rPr>
        <w:t xml:space="preserve">necesidades de los hogares y las comunidades, así como su acceso, uso y preferencias en relación a la entrega de efectivo; capacidad de los mercados y proveedores de servicios; y riesgos relacionados con la entrega de efectivo. En caso de que exista información necesaria que no se pueda recopilar a través de datos secundarios, entonces se deberá conseguir de primera mano. </w:t>
      </w:r>
    </w:p>
    <w:p w14:paraId="0C5337AB" w14:textId="341BEF01" w:rsidR="00B4685C" w:rsidRPr="00715E17" w:rsidRDefault="0015456C" w:rsidP="00B4685C">
      <w:pPr>
        <w:rPr>
          <w:lang w:val="es-ES_tradnl"/>
        </w:rPr>
      </w:pPr>
      <w:r w:rsidRPr="00715E17">
        <w:rPr>
          <w:lang w:val="es-ES_tradnl"/>
        </w:rPr>
        <w:t xml:space="preserve">El desarrollo y el análisis de los escenarios debe basarse en hipótesis sobre cómo </w:t>
      </w:r>
      <w:r w:rsidR="001040D3" w:rsidRPr="00715E17">
        <w:rPr>
          <w:lang w:val="es-ES_tradnl"/>
        </w:rPr>
        <w:t xml:space="preserve">puede surgir y evolucionar una emergencia en función de los factores o eventos que la han causado, tales como conflictos, desastres, etc… Un escenario debe incluir: la probabilidad de que </w:t>
      </w:r>
      <w:r w:rsidR="00715E17" w:rsidRPr="00715E17">
        <w:rPr>
          <w:lang w:val="es-ES_tradnl"/>
        </w:rPr>
        <w:t>ocurra</w:t>
      </w:r>
      <w:r w:rsidR="00916848" w:rsidRPr="00715E17">
        <w:rPr>
          <w:lang w:val="es-ES_tradnl"/>
        </w:rPr>
        <w:t xml:space="preserve"> el desastre y su posible nivel de severidad; sus causas y </w:t>
      </w:r>
      <w:r w:rsidR="00152F46" w:rsidRPr="00715E17">
        <w:rPr>
          <w:lang w:val="es-ES_tradnl"/>
        </w:rPr>
        <w:t>suposiciones</w:t>
      </w:r>
      <w:r w:rsidR="00916848" w:rsidRPr="00715E17">
        <w:rPr>
          <w:lang w:val="es-ES_tradnl"/>
        </w:rPr>
        <w:t xml:space="preserve">; su posible impacto; así como las necesidades humanitarias y dificultades operacionales que puede conllevar. Además, debe incluir un esbozo sobre las posibles respuestas apropiadas en relación a distintas modalidades y </w:t>
      </w:r>
      <w:r w:rsidR="00715E17" w:rsidRPr="00715E17">
        <w:rPr>
          <w:lang w:val="es-ES_tradnl"/>
        </w:rPr>
        <w:t>mecanismo</w:t>
      </w:r>
      <w:r w:rsidR="00916848" w:rsidRPr="00715E17">
        <w:rPr>
          <w:lang w:val="es-ES_tradnl"/>
        </w:rPr>
        <w:t>; y también el tamaño de la intervención</w:t>
      </w:r>
      <w:r w:rsidR="00152F46" w:rsidRPr="00715E17">
        <w:rPr>
          <w:lang w:val="es-ES_tradnl"/>
        </w:rPr>
        <w:t>.</w:t>
      </w:r>
    </w:p>
    <w:p w14:paraId="1DB2B1C6" w14:textId="603A0EF3" w:rsidR="00933BEE" w:rsidRPr="00715E17" w:rsidRDefault="00916848" w:rsidP="004820CE">
      <w:pPr>
        <w:rPr>
          <w:rFonts w:eastAsia="+mn-ea"/>
          <w:iCs/>
          <w:kern w:val="24"/>
          <w:szCs w:val="22"/>
          <w:lang w:val="es-ES_tradnl" w:eastAsia="en-GB"/>
        </w:rPr>
      </w:pPr>
      <w:r w:rsidRPr="00715E17">
        <w:rPr>
          <w:lang w:val="es-ES_tradnl"/>
        </w:rPr>
        <w:t xml:space="preserve">El análisis de las deficiencias relativas a la preparación </w:t>
      </w:r>
      <w:r w:rsidR="006E105A" w:rsidRPr="00715E17">
        <w:rPr>
          <w:lang w:val="es-ES_tradnl"/>
        </w:rPr>
        <w:t xml:space="preserve">para PTE </w:t>
      </w:r>
      <w:r w:rsidRPr="00715E17">
        <w:rPr>
          <w:lang w:val="es-ES_tradnl"/>
        </w:rPr>
        <w:t xml:space="preserve">debe involucrar a los principales responsables de la adopción de decisiones de los departamentos clave de la Sociedad </w:t>
      </w:r>
      <w:r w:rsidR="005A0097" w:rsidRPr="00715E17">
        <w:rPr>
          <w:lang w:val="es-ES_tradnl"/>
        </w:rPr>
        <w:t>Nacional (</w:t>
      </w:r>
      <w:r w:rsidR="00851F43" w:rsidRPr="00715E17">
        <w:rPr>
          <w:rFonts w:eastAsia="Arial" w:cstheme="minorBidi"/>
          <w:spacing w:val="-3"/>
          <w:w w:val="102"/>
          <w:szCs w:val="22"/>
          <w:lang w:val="es-ES_tradnl"/>
        </w:rPr>
        <w:t xml:space="preserve">manejo de </w:t>
      </w:r>
      <w:r w:rsidR="004820CE" w:rsidRPr="00715E17">
        <w:rPr>
          <w:rFonts w:eastAsia="Arial" w:cstheme="minorBidi"/>
          <w:spacing w:val="-3"/>
          <w:w w:val="102"/>
          <w:szCs w:val="22"/>
          <w:lang w:val="es-ES_tradnl"/>
        </w:rPr>
        <w:t>d</w:t>
      </w:r>
      <w:r w:rsidR="00851F43" w:rsidRPr="00715E17">
        <w:rPr>
          <w:rFonts w:eastAsia="Arial" w:cstheme="minorBidi"/>
          <w:spacing w:val="-3"/>
          <w:w w:val="102"/>
          <w:szCs w:val="22"/>
          <w:lang w:val="es-ES_tradnl"/>
        </w:rPr>
        <w:t>esastres, salud, logística, finanzas, fortalecimiento de las secciones</w:t>
      </w:r>
      <w:r w:rsidR="006E105A" w:rsidRPr="00715E17">
        <w:rPr>
          <w:rFonts w:eastAsia="Arial" w:cstheme="minorBidi"/>
          <w:spacing w:val="-3"/>
          <w:w w:val="102"/>
          <w:szCs w:val="22"/>
          <w:lang w:val="es-ES_tradnl"/>
        </w:rPr>
        <w:t>, etc..</w:t>
      </w:r>
      <w:r w:rsidR="00851F43" w:rsidRPr="00715E17">
        <w:rPr>
          <w:rFonts w:eastAsia="Arial" w:cstheme="minorBidi"/>
          <w:spacing w:val="-3"/>
          <w:w w:val="102"/>
          <w:szCs w:val="22"/>
          <w:lang w:val="es-ES_tradnl"/>
        </w:rPr>
        <w:t xml:space="preserve">). Su involucración puede ser promovida a través de acciones de </w:t>
      </w:r>
      <w:r w:rsidR="00715E17" w:rsidRPr="00715E17">
        <w:rPr>
          <w:rFonts w:eastAsia="Arial" w:cstheme="minorBidi"/>
          <w:spacing w:val="-3"/>
          <w:w w:val="102"/>
          <w:szCs w:val="22"/>
          <w:lang w:val="es-ES_tradnl"/>
        </w:rPr>
        <w:t>sensibilización</w:t>
      </w:r>
      <w:r w:rsidR="00851F43" w:rsidRPr="00715E17">
        <w:rPr>
          <w:rFonts w:eastAsia="Arial" w:cstheme="minorBidi"/>
          <w:spacing w:val="-3"/>
          <w:w w:val="102"/>
          <w:szCs w:val="22"/>
          <w:lang w:val="es-ES_tradnl"/>
        </w:rPr>
        <w:t xml:space="preserve"> </w:t>
      </w:r>
      <w:r w:rsidR="0011725B" w:rsidRPr="00715E17">
        <w:rPr>
          <w:rFonts w:eastAsia="Arial" w:cstheme="minorBidi"/>
          <w:spacing w:val="-3"/>
          <w:w w:val="102"/>
          <w:szCs w:val="22"/>
          <w:lang w:val="es-ES_tradnl"/>
        </w:rPr>
        <w:t xml:space="preserve">sobre los PTE que deben llevarse a cabo </w:t>
      </w:r>
      <w:r w:rsidR="00715E17" w:rsidRPr="00715E17">
        <w:rPr>
          <w:rFonts w:eastAsia="Arial" w:cstheme="minorBidi"/>
          <w:spacing w:val="-3"/>
          <w:w w:val="102"/>
          <w:szCs w:val="22"/>
          <w:lang w:val="es-ES_tradnl"/>
        </w:rPr>
        <w:t>des del</w:t>
      </w:r>
      <w:r w:rsidR="0011725B" w:rsidRPr="00715E17">
        <w:rPr>
          <w:rFonts w:eastAsia="Arial" w:cstheme="minorBidi"/>
          <w:spacing w:val="-3"/>
          <w:w w:val="102"/>
          <w:szCs w:val="22"/>
          <w:lang w:val="es-ES_tradnl"/>
        </w:rPr>
        <w:t xml:space="preserve"> inicio de la fase de preparación. Un taller inicial puede ser muy adecuado para promover los PTE y preparar a la SN para realizar el análisis de deficiencias relativas a PTE, revisar su capacidad operacional e identificar las </w:t>
      </w:r>
      <w:r w:rsidR="00715E17" w:rsidRPr="00715E17">
        <w:rPr>
          <w:rFonts w:eastAsia="Arial" w:cstheme="minorBidi"/>
          <w:spacing w:val="-3"/>
          <w:w w:val="102"/>
          <w:szCs w:val="22"/>
          <w:lang w:val="es-ES_tradnl"/>
        </w:rPr>
        <w:t>áreas</w:t>
      </w:r>
      <w:r w:rsidR="0011725B" w:rsidRPr="00715E17">
        <w:rPr>
          <w:rFonts w:eastAsia="Arial" w:cstheme="minorBidi"/>
          <w:spacing w:val="-3"/>
          <w:w w:val="102"/>
          <w:szCs w:val="22"/>
          <w:lang w:val="es-ES_tradnl"/>
        </w:rPr>
        <w:t xml:space="preserve"> prioritarias que deben fortalecerse. Esto puede llevarse a cabo a través de un taller de autoevaluación con la participación de todos los departamentos pertinentes. </w:t>
      </w:r>
    </w:p>
    <w:p w14:paraId="15380E0B" w14:textId="14733DB4" w:rsidR="00E075B1" w:rsidRPr="00715E17" w:rsidRDefault="006E105A" w:rsidP="00674833">
      <w:pPr>
        <w:pStyle w:val="Heading2"/>
        <w:rPr>
          <w:lang w:val="es-ES_tradnl"/>
        </w:rPr>
      </w:pPr>
      <w:r w:rsidRPr="00715E17">
        <w:rPr>
          <w:lang w:val="es-ES_tradnl"/>
        </w:rPr>
        <w:t>PASO</w:t>
      </w:r>
      <w:r w:rsidR="00E075B1" w:rsidRPr="00715E17">
        <w:rPr>
          <w:lang w:val="es-ES_tradnl"/>
        </w:rPr>
        <w:t xml:space="preserve"> 2. </w:t>
      </w:r>
      <w:r w:rsidR="005A0097" w:rsidRPr="00715E17">
        <w:rPr>
          <w:lang w:val="es-ES_tradnl"/>
        </w:rPr>
        <w:t>elAboración y ejecuciÓ</w:t>
      </w:r>
      <w:r w:rsidRPr="00715E17">
        <w:rPr>
          <w:lang w:val="es-ES_tradnl"/>
        </w:rPr>
        <w:t xml:space="preserve">n </w:t>
      </w:r>
    </w:p>
    <w:p w14:paraId="4A291C1C" w14:textId="7A9F0763" w:rsidR="00090E17" w:rsidRPr="00715E17" w:rsidRDefault="006E105A" w:rsidP="00E075B1">
      <w:pPr>
        <w:rPr>
          <w:b/>
          <w:lang w:val="es-ES_tradnl"/>
        </w:rPr>
      </w:pPr>
      <w:r w:rsidRPr="00715E17">
        <w:rPr>
          <w:lang w:val="es-ES_tradnl"/>
        </w:rPr>
        <w:t xml:space="preserve">El paso 2 se centra en los procesos de desarrollo de un mínimo de condiciones internas para incrementar la preparación a los PTE, integrar los PTE en las </w:t>
      </w:r>
      <w:r w:rsidR="00715E17" w:rsidRPr="00715E17">
        <w:rPr>
          <w:lang w:val="es-ES_tradnl"/>
        </w:rPr>
        <w:t>áreas</w:t>
      </w:r>
      <w:r w:rsidR="00152F46" w:rsidRPr="00715E17">
        <w:rPr>
          <w:lang w:val="es-ES_tradnl"/>
        </w:rPr>
        <w:t xml:space="preserve"> clave, y ejecutar el Plan de a</w:t>
      </w:r>
      <w:r w:rsidRPr="00715E17">
        <w:rPr>
          <w:lang w:val="es-ES_tradnl"/>
        </w:rPr>
        <w:t xml:space="preserve">cción para la preparación en PTE. </w:t>
      </w:r>
    </w:p>
    <w:p w14:paraId="3DE031D9" w14:textId="5885C371" w:rsidR="008E03B4" w:rsidRPr="00715E17" w:rsidRDefault="006E105A" w:rsidP="005F155B">
      <w:pPr>
        <w:rPr>
          <w:lang w:val="es-ES_tradnl"/>
        </w:rPr>
      </w:pPr>
      <w:r w:rsidRPr="00715E17">
        <w:rPr>
          <w:lang w:val="es-ES_tradnl"/>
        </w:rPr>
        <w:lastRenderedPageBreak/>
        <w:t xml:space="preserve">Una vez que la organización ha tomado la </w:t>
      </w:r>
      <w:r w:rsidR="00715E17" w:rsidRPr="00715E17">
        <w:rPr>
          <w:lang w:val="es-ES_tradnl"/>
        </w:rPr>
        <w:t>decisión</w:t>
      </w:r>
      <w:r w:rsidRPr="00715E17">
        <w:rPr>
          <w:lang w:val="es-ES_tradnl"/>
        </w:rPr>
        <w:t xml:space="preserve"> de fortalecer sus capacidades en relación a los PTE, se debe designar un punto focal</w:t>
      </w:r>
      <w:r w:rsidR="0084641F" w:rsidRPr="00715E17">
        <w:rPr>
          <w:lang w:val="es-ES_tradnl"/>
        </w:rPr>
        <w:t xml:space="preserve"> (coordinador)</w:t>
      </w:r>
      <w:r w:rsidRPr="00715E17">
        <w:rPr>
          <w:lang w:val="es-ES_tradnl"/>
        </w:rPr>
        <w:t xml:space="preserve"> para </w:t>
      </w:r>
      <w:r w:rsidR="0084641F" w:rsidRPr="00715E17">
        <w:rPr>
          <w:lang w:val="es-ES_tradnl"/>
        </w:rPr>
        <w:t>la elaboración</w:t>
      </w:r>
      <w:r w:rsidR="00152F46" w:rsidRPr="00715E17">
        <w:rPr>
          <w:lang w:val="es-ES_tradnl"/>
        </w:rPr>
        <w:t xml:space="preserve"> de</w:t>
      </w:r>
      <w:r w:rsidR="0084641F" w:rsidRPr="00715E17">
        <w:rPr>
          <w:lang w:val="es-ES_tradnl"/>
        </w:rPr>
        <w:t xml:space="preserve"> </w:t>
      </w:r>
      <w:r w:rsidRPr="00715E17">
        <w:rPr>
          <w:lang w:val="es-ES_tradnl"/>
        </w:rPr>
        <w:t>PTE y poner en marcha un grupo de trabajo técnico sobre PTE</w:t>
      </w:r>
      <w:r w:rsidR="0084641F" w:rsidRPr="00715E17">
        <w:rPr>
          <w:lang w:val="es-ES_tradnl"/>
        </w:rPr>
        <w:t>. El coordinador y el grupo de trabajo técnico trabajaran conjuntamente para identificar y poner</w:t>
      </w:r>
      <w:r w:rsidR="00152F46" w:rsidRPr="00715E17">
        <w:rPr>
          <w:lang w:val="es-ES_tradnl"/>
        </w:rPr>
        <w:t>se de acuerdo sobre el Plan de a</w:t>
      </w:r>
      <w:r w:rsidR="0084641F" w:rsidRPr="00715E17">
        <w:rPr>
          <w:lang w:val="es-ES_tradnl"/>
        </w:rPr>
        <w:t xml:space="preserve">cción de </w:t>
      </w:r>
      <w:r w:rsidR="00715E17" w:rsidRPr="00715E17">
        <w:rPr>
          <w:lang w:val="es-ES_tradnl"/>
        </w:rPr>
        <w:t>preparación</w:t>
      </w:r>
      <w:r w:rsidR="0084641F" w:rsidRPr="00715E17">
        <w:rPr>
          <w:lang w:val="es-ES_tradnl"/>
        </w:rPr>
        <w:t xml:space="preserve"> para los PTE que puede ayudar a la or</w:t>
      </w:r>
      <w:r w:rsidR="00152F46" w:rsidRPr="00715E17">
        <w:rPr>
          <w:lang w:val="es-ES_tradnl"/>
        </w:rPr>
        <w:t>g</w:t>
      </w:r>
      <w:r w:rsidR="0084641F" w:rsidRPr="00715E17">
        <w:rPr>
          <w:lang w:val="es-ES_tradnl"/>
        </w:rPr>
        <w:t>anización a fortalecer sus capacidades para ejecutar PTE en emergencias de manera rápida y a gran esca</w:t>
      </w:r>
      <w:r w:rsidR="00152F46" w:rsidRPr="00715E17">
        <w:rPr>
          <w:lang w:val="es-ES_tradnl"/>
        </w:rPr>
        <w:t>la. El Plan de a</w:t>
      </w:r>
      <w:r w:rsidR="0084641F" w:rsidRPr="00715E17">
        <w:rPr>
          <w:lang w:val="es-ES_tradnl"/>
        </w:rPr>
        <w:t xml:space="preserve">cción debe </w:t>
      </w:r>
      <w:r w:rsidR="00715E17" w:rsidRPr="00715E17">
        <w:rPr>
          <w:lang w:val="es-ES_tradnl"/>
        </w:rPr>
        <w:t>incluir</w:t>
      </w:r>
      <w:r w:rsidR="0084641F" w:rsidRPr="00715E17">
        <w:rPr>
          <w:lang w:val="es-ES_tradnl"/>
        </w:rPr>
        <w:t>: actividades, resultados, indicadores,</w:t>
      </w:r>
      <w:r w:rsidR="00715E17">
        <w:rPr>
          <w:lang w:val="es-ES_tradnl"/>
        </w:rPr>
        <w:t xml:space="preserve"> </w:t>
      </w:r>
      <w:r w:rsidR="0084641F" w:rsidRPr="00715E17">
        <w:rPr>
          <w:lang w:val="es-ES_tradnl"/>
        </w:rPr>
        <w:t>responsabilidades, calendario y presupuesto. El grupo de trabajo técnico también debe contribuir a asegurar que se elaboran los procedimientos operativos normalizados para PTE y que son funcionales, así como que los PTE son introducidos a todos los niveles,</w:t>
      </w:r>
      <w:r w:rsidR="00715E17">
        <w:rPr>
          <w:lang w:val="es-ES_tradnl"/>
        </w:rPr>
        <w:t xml:space="preserve"> especialmente en las áreas de </w:t>
      </w:r>
      <w:r w:rsidR="0084641F" w:rsidRPr="00715E17">
        <w:rPr>
          <w:lang w:val="es-ES_tradnl"/>
        </w:rPr>
        <w:t xml:space="preserve">recursos humanos, finanzas, </w:t>
      </w:r>
      <w:r w:rsidR="00715E17">
        <w:rPr>
          <w:lang w:val="es-ES_tradnl"/>
        </w:rPr>
        <w:t>monitoreo</w:t>
      </w:r>
      <w:r w:rsidR="00CF6789" w:rsidRPr="00715E17">
        <w:rPr>
          <w:lang w:val="es-ES_tradnl"/>
        </w:rPr>
        <w:t xml:space="preserve"> y evaluación y </w:t>
      </w:r>
      <w:r w:rsidR="00715E17" w:rsidRPr="00715E17">
        <w:rPr>
          <w:lang w:val="es-ES_tradnl"/>
        </w:rPr>
        <w:t>movilización</w:t>
      </w:r>
      <w:r w:rsidR="00CF6789" w:rsidRPr="00715E17">
        <w:rPr>
          <w:lang w:val="es-ES_tradnl"/>
        </w:rPr>
        <w:t xml:space="preserve"> de recursos. </w:t>
      </w:r>
    </w:p>
    <w:p w14:paraId="44A46C7D" w14:textId="29429322" w:rsidR="00E075B1" w:rsidRPr="00715E17" w:rsidRDefault="00715E17" w:rsidP="00D02F9C">
      <w:pPr>
        <w:ind w:left="34"/>
        <w:rPr>
          <w:b/>
          <w:lang w:val="es-ES_tradnl"/>
        </w:rPr>
      </w:pPr>
      <w:r>
        <w:rPr>
          <w:lang w:val="es-ES_tradnl"/>
        </w:rPr>
        <w:t>La implementación del Plan de a</w:t>
      </w:r>
      <w:r w:rsidR="00CF6789" w:rsidRPr="00715E17">
        <w:rPr>
          <w:lang w:val="es-ES_tradnl"/>
        </w:rPr>
        <w:t xml:space="preserve">cción de preparación para PTE </w:t>
      </w:r>
      <w:r w:rsidR="00D463BD" w:rsidRPr="00715E17">
        <w:rPr>
          <w:lang w:val="es-ES_tradnl"/>
        </w:rPr>
        <w:t>deb</w:t>
      </w:r>
      <w:r w:rsidR="00C77A28" w:rsidRPr="00715E17">
        <w:rPr>
          <w:lang w:val="es-ES_tradnl"/>
        </w:rPr>
        <w:t>e</w:t>
      </w:r>
      <w:r w:rsidR="00D463BD" w:rsidRPr="00715E17">
        <w:rPr>
          <w:lang w:val="es-ES_tradnl"/>
        </w:rPr>
        <w:t xml:space="preserve"> incluir simulaciones </w:t>
      </w:r>
      <w:r w:rsidR="00C77A28" w:rsidRPr="00715E17">
        <w:rPr>
          <w:lang w:val="es-ES_tradnl"/>
        </w:rPr>
        <w:t xml:space="preserve">y/o proyectos piloto, que </w:t>
      </w:r>
      <w:r w:rsidR="00D463BD" w:rsidRPr="00715E17">
        <w:rPr>
          <w:lang w:val="es-ES_tradnl"/>
        </w:rPr>
        <w:t>permit</w:t>
      </w:r>
      <w:r w:rsidR="00C77A28" w:rsidRPr="00715E17">
        <w:rPr>
          <w:lang w:val="es-ES_tradnl"/>
        </w:rPr>
        <w:t xml:space="preserve">an </w:t>
      </w:r>
      <w:r w:rsidR="00D463BD" w:rsidRPr="00715E17">
        <w:rPr>
          <w:lang w:val="es-ES_tradnl"/>
        </w:rPr>
        <w:t xml:space="preserve">a la SN </w:t>
      </w:r>
      <w:r>
        <w:rPr>
          <w:lang w:val="es-ES_tradnl"/>
        </w:rPr>
        <w:t xml:space="preserve">probar </w:t>
      </w:r>
      <w:r w:rsidR="00C77A28" w:rsidRPr="00715E17">
        <w:rPr>
          <w:lang w:val="es-ES_tradnl"/>
        </w:rPr>
        <w:t>su capacidad operativa y los productos que han desarrollado en relación a los PTE</w:t>
      </w:r>
      <w:r w:rsidR="008D218B" w:rsidRPr="00715E17">
        <w:rPr>
          <w:lang w:val="es-ES_tradnl"/>
        </w:rPr>
        <w:t xml:space="preserve">, y mejorarlos cuando sea necesario. La ejecución de la preparación para PTE depende de distintos niveles de coordinación interna y externa, incluyendo coordinación entre personal de distintos departamentos, entre la sede central y las secciones afectadas por un desastre o seleccionadas, y también entre la SN </w:t>
      </w:r>
      <w:r>
        <w:rPr>
          <w:lang w:val="es-ES_tradnl"/>
        </w:rPr>
        <w:t>anfitriona</w:t>
      </w:r>
      <w:r w:rsidR="00A80133" w:rsidRPr="00715E17">
        <w:rPr>
          <w:lang w:val="es-ES_tradnl"/>
        </w:rPr>
        <w:t xml:space="preserve">, los miembros del Movimiento, los distintos niveles del gobierno, otras organizaciones humanitarias, los donantes y el sector privado. Finalmente, la información sobre PTE debe incluirse en las comunicaciones ordinarias sobre estrategia y planificación. </w:t>
      </w:r>
      <w:r w:rsidR="00C46DBB" w:rsidRPr="00715E17">
        <w:rPr>
          <w:lang w:val="es-ES_tradnl"/>
        </w:rPr>
        <w:t xml:space="preserve"> </w:t>
      </w:r>
    </w:p>
    <w:p w14:paraId="72E2D0B9" w14:textId="4C6AEA44" w:rsidR="00E075B1" w:rsidRPr="00715E17" w:rsidRDefault="00A80133" w:rsidP="00674833">
      <w:pPr>
        <w:pStyle w:val="Heading2"/>
        <w:rPr>
          <w:w w:val="102"/>
          <w:lang w:val="es-ES_tradnl"/>
        </w:rPr>
      </w:pPr>
      <w:r w:rsidRPr="00715E17">
        <w:rPr>
          <w:w w:val="102"/>
          <w:lang w:val="es-ES_tradnl"/>
        </w:rPr>
        <w:t>PASO</w:t>
      </w:r>
      <w:r w:rsidR="00044FF0" w:rsidRPr="00715E17">
        <w:rPr>
          <w:w w:val="102"/>
          <w:lang w:val="es-ES_tradnl"/>
        </w:rPr>
        <w:t xml:space="preserve"> 3. </w:t>
      </w:r>
      <w:r w:rsidRPr="00715E17">
        <w:rPr>
          <w:w w:val="102"/>
          <w:lang w:val="es-ES_tradnl"/>
        </w:rPr>
        <w:t xml:space="preserve">análisis, lecciones aprendidas y perfeccionamiento </w:t>
      </w:r>
    </w:p>
    <w:p w14:paraId="1B6A9E58" w14:textId="6CA63834" w:rsidR="00090E17" w:rsidRPr="00715E17" w:rsidRDefault="00A80133" w:rsidP="00E075B1">
      <w:pPr>
        <w:rPr>
          <w:lang w:val="es-ES_tradnl"/>
        </w:rPr>
      </w:pPr>
      <w:r w:rsidRPr="00715E17">
        <w:rPr>
          <w:lang w:val="es-ES_tradnl"/>
        </w:rPr>
        <w:t xml:space="preserve">El paso </w:t>
      </w:r>
      <w:r w:rsidR="00090E17" w:rsidRPr="00715E17">
        <w:rPr>
          <w:lang w:val="es-ES_tradnl"/>
        </w:rPr>
        <w:t xml:space="preserve">3 </w:t>
      </w:r>
      <w:r w:rsidRPr="00715E17">
        <w:rPr>
          <w:lang w:val="es-ES_tradnl"/>
        </w:rPr>
        <w:t xml:space="preserve">está centrado en el proceso de evaluar la preparación a los PTE, analizar las </w:t>
      </w:r>
      <w:r w:rsidR="002D0A4B" w:rsidRPr="00715E17">
        <w:rPr>
          <w:lang w:val="es-ES_tradnl"/>
        </w:rPr>
        <w:t>o</w:t>
      </w:r>
      <w:r w:rsidRPr="00715E17">
        <w:rPr>
          <w:lang w:val="es-ES_tradnl"/>
        </w:rPr>
        <w:t xml:space="preserve">peraciones con PTE, y finalmente documentar y comunicar el aprendizaje derivado del proceso de preparación a los PTE. </w:t>
      </w:r>
    </w:p>
    <w:p w14:paraId="593A32F7" w14:textId="550969BD" w:rsidR="00C46DBB" w:rsidRPr="00715E17" w:rsidRDefault="00A80133" w:rsidP="00C46DBB">
      <w:pPr>
        <w:rPr>
          <w:lang w:val="es-ES_tradnl"/>
        </w:rPr>
      </w:pPr>
      <w:r w:rsidRPr="00715E17">
        <w:rPr>
          <w:lang w:val="es-ES_tradnl"/>
        </w:rPr>
        <w:t>El establecimiento de un clima propenso para el aprendizaje será liderado por el Coordinador de PTE junto con el grupo de trabajo t</w:t>
      </w:r>
      <w:r w:rsidR="002D0A4B" w:rsidRPr="00715E17">
        <w:rPr>
          <w:lang w:val="es-ES_tradnl"/>
        </w:rPr>
        <w:t xml:space="preserve">écnico, quienes recogerán las contribuciones y sugerencias de los distintos sectores e informarán a la dirección y a los asociados del Movimiento sobre el progreso del Plan de acción. La evaluación del proceso de preparación para PTE debe permitir identificar los logros conseguidos </w:t>
      </w:r>
      <w:r w:rsidR="002A2AF0" w:rsidRPr="00715E17">
        <w:rPr>
          <w:lang w:val="es-ES_tradnl"/>
        </w:rPr>
        <w:t xml:space="preserve">en relación a los planes, documentar buenas prácticas y desarrollar las recomendaciones para mejorar los resultados y los procesos. </w:t>
      </w:r>
    </w:p>
    <w:p w14:paraId="3AE3974C" w14:textId="219CB049" w:rsidR="00FF1A15" w:rsidRPr="00715E17" w:rsidRDefault="002A2AF0" w:rsidP="00FF1A15">
      <w:pPr>
        <w:rPr>
          <w:lang w:val="es-ES_tradnl"/>
        </w:rPr>
      </w:pPr>
      <w:r w:rsidRPr="00715E17">
        <w:rPr>
          <w:lang w:val="es-ES_tradnl"/>
        </w:rPr>
        <w:t>El análisis y el aprendizaje debe ser parte de los esfuerzos formativos en PTE, para reforzar el enfoque de un aprendizaje práctico (“</w:t>
      </w:r>
      <w:proofErr w:type="spellStart"/>
      <w:r w:rsidRPr="00715E17">
        <w:rPr>
          <w:lang w:val="es-ES_tradnl"/>
        </w:rPr>
        <w:t>learning</w:t>
      </w:r>
      <w:proofErr w:type="spellEnd"/>
      <w:r w:rsidRPr="00715E17">
        <w:rPr>
          <w:lang w:val="es-ES_tradnl"/>
        </w:rPr>
        <w:t xml:space="preserve"> </w:t>
      </w:r>
      <w:proofErr w:type="spellStart"/>
      <w:r w:rsidRPr="00715E17">
        <w:rPr>
          <w:lang w:val="es-ES_tradnl"/>
        </w:rPr>
        <w:t>by</w:t>
      </w:r>
      <w:proofErr w:type="spellEnd"/>
      <w:r w:rsidRPr="00715E17">
        <w:rPr>
          <w:lang w:val="es-ES_tradnl"/>
        </w:rPr>
        <w:t xml:space="preserve"> </w:t>
      </w:r>
      <w:proofErr w:type="spellStart"/>
      <w:r w:rsidRPr="00715E17">
        <w:rPr>
          <w:lang w:val="es-ES_tradnl"/>
        </w:rPr>
        <w:t>doing</w:t>
      </w:r>
      <w:proofErr w:type="spellEnd"/>
      <w:r w:rsidRPr="00715E17">
        <w:rPr>
          <w:lang w:val="es-ES_tradnl"/>
        </w:rPr>
        <w:t xml:space="preserve">”) durante la ejecución. Al finalizar una operación de emergencia con </w:t>
      </w:r>
      <w:r w:rsidR="000D597D" w:rsidRPr="00715E17">
        <w:rPr>
          <w:lang w:val="es-ES_tradnl"/>
        </w:rPr>
        <w:t>PTE</w:t>
      </w:r>
      <w:r w:rsidRPr="00715E17">
        <w:rPr>
          <w:lang w:val="es-ES_tradnl"/>
        </w:rPr>
        <w:t xml:space="preserve">, se debe llevar a cabo una evaluación externa para que tanto las fortalezas como las debilidades del proceso puedan ser identificadas de manera sistemática e imparcial. Los estudios de caso elaborados por analistas externos también constituyen una manera interesante de documentar las fortalezas, retos y soluciones encontradas durante la experiencia en PTE, y pueden ser usadas para la </w:t>
      </w:r>
      <w:r w:rsidR="00715E17" w:rsidRPr="00715E17">
        <w:rPr>
          <w:lang w:val="es-ES_tradnl"/>
        </w:rPr>
        <w:t>movilización</w:t>
      </w:r>
      <w:bookmarkStart w:id="0" w:name="_GoBack"/>
      <w:bookmarkEnd w:id="0"/>
      <w:r w:rsidRPr="00715E17">
        <w:rPr>
          <w:lang w:val="es-ES_tradnl"/>
        </w:rPr>
        <w:t xml:space="preserve"> de recursos y </w:t>
      </w:r>
      <w:r w:rsidR="00FF1A15" w:rsidRPr="00715E17">
        <w:rPr>
          <w:lang w:val="es-ES_tradnl"/>
        </w:rPr>
        <w:t xml:space="preserve">la mejora de las capacidades. </w:t>
      </w:r>
    </w:p>
    <w:p w14:paraId="4BBE0A37" w14:textId="00C0548C" w:rsidR="00A74426" w:rsidRPr="00715E17" w:rsidRDefault="00FF1A15" w:rsidP="00FF1A15">
      <w:pPr>
        <w:rPr>
          <w:lang w:val="es-ES_tradnl" w:eastAsia="en-GB"/>
        </w:rPr>
      </w:pPr>
      <w:r w:rsidRPr="00715E17">
        <w:rPr>
          <w:lang w:val="es-ES_tradnl"/>
        </w:rPr>
        <w:t xml:space="preserve">Es importante documentar y divulgar el aprendizaje adquirido durante la experiencia en preparación para PTE, tanto a nivel interno, cara a los asociados del Movimiento, como a nivel externo, cara a los otros actores y redes. La divulgación de herramientas y estudios de caso, noticias y material audio-visual puede contribuir de manera valiosa al sector humanitario. </w:t>
      </w:r>
    </w:p>
    <w:p w14:paraId="676B028D" w14:textId="77777777" w:rsidR="00B4685C" w:rsidRPr="00715E17" w:rsidRDefault="00B4685C" w:rsidP="00752615">
      <w:pPr>
        <w:rPr>
          <w:lang w:val="es-ES_tradnl" w:eastAsia="en-GB"/>
        </w:rPr>
      </w:pPr>
    </w:p>
    <w:tbl>
      <w:tblPr>
        <w:tblStyle w:val="TableGray"/>
        <w:tblW w:w="9639" w:type="dxa"/>
        <w:tblInd w:w="142" w:type="dxa"/>
        <w:tblLook w:val="0600" w:firstRow="0" w:lastRow="0" w:firstColumn="0" w:lastColumn="0" w:noHBand="1" w:noVBand="1"/>
      </w:tblPr>
      <w:tblGrid>
        <w:gridCol w:w="9639"/>
      </w:tblGrid>
      <w:tr w:rsidR="00F674F8" w:rsidRPr="00715E17" w14:paraId="1BC6E672" w14:textId="77777777" w:rsidTr="00D22CA9">
        <w:trPr>
          <w:trHeight w:val="50"/>
        </w:trPr>
        <w:tc>
          <w:tcPr>
            <w:tcW w:w="9639" w:type="dxa"/>
            <w:hideMark/>
          </w:tcPr>
          <w:p w14:paraId="7E1D5DDA" w14:textId="33DC1933" w:rsidR="00674833" w:rsidRPr="00715E17" w:rsidRDefault="00E430E2" w:rsidP="003D3A8C">
            <w:pPr>
              <w:pStyle w:val="RefTitre"/>
              <w:keepNext/>
              <w:keepLines/>
              <w:rPr>
                <w:lang w:val="es-ES_tradnl"/>
              </w:rPr>
            </w:pPr>
            <w:r w:rsidRPr="00715E17">
              <w:rPr>
                <w:lang w:val="es-ES_tradnl"/>
              </w:rPr>
              <w:t xml:space="preserve">DOCUMENTOS DE </w:t>
            </w:r>
            <w:r w:rsidR="00674833" w:rsidRPr="00715E17">
              <w:rPr>
                <w:lang w:val="es-ES_tradnl"/>
              </w:rPr>
              <w:t>REFERENC</w:t>
            </w:r>
            <w:r w:rsidRPr="00715E17">
              <w:rPr>
                <w:lang w:val="es-ES_tradnl"/>
              </w:rPr>
              <w:t>IA</w:t>
            </w:r>
            <w:r w:rsidR="00674833" w:rsidRPr="00715E17">
              <w:rPr>
                <w:lang w:val="es-ES_tradnl"/>
              </w:rPr>
              <w:t xml:space="preserve"> </w:t>
            </w:r>
          </w:p>
          <w:p w14:paraId="2CE2AF06" w14:textId="7616A0C6" w:rsidR="00E430E2" w:rsidRPr="00715E17" w:rsidRDefault="00E430E2" w:rsidP="00E430E2">
            <w:pPr>
              <w:pStyle w:val="RefItem1"/>
              <w:keepNext/>
              <w:keepLines/>
              <w:rPr>
                <w:lang w:val="es-ES_tradnl"/>
              </w:rPr>
            </w:pPr>
            <w:r w:rsidRPr="00715E17">
              <w:rPr>
                <w:lang w:val="es-ES_tradnl"/>
              </w:rPr>
              <w:t>Movimiento Internacional de la Cruz Roja y de la Media Luna Roja - Directrices para la preparación y la integración institucional de Programas de transferencias de dinero en efectivo</w:t>
            </w:r>
          </w:p>
          <w:p w14:paraId="556DBA03" w14:textId="51FE3E4D" w:rsidR="00674833" w:rsidRPr="00715E17" w:rsidRDefault="00674833" w:rsidP="00D22CA9">
            <w:pPr>
              <w:pStyle w:val="RefItem1"/>
              <w:keepNext/>
              <w:keepLines/>
              <w:ind w:right="-1544"/>
              <w:rPr>
                <w:lang w:val="es-ES_tradnl"/>
              </w:rPr>
            </w:pPr>
            <w:proofErr w:type="spellStart"/>
            <w:r w:rsidRPr="00715E17">
              <w:rPr>
                <w:lang w:val="es-ES_tradnl"/>
              </w:rPr>
              <w:t>Market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assessment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guidance</w:t>
            </w:r>
            <w:proofErr w:type="spellEnd"/>
            <w:r w:rsidRPr="00715E17">
              <w:rPr>
                <w:lang w:val="es-ES_tradnl"/>
              </w:rPr>
              <w:t xml:space="preserve">: </w:t>
            </w:r>
            <w:proofErr w:type="spellStart"/>
            <w:r w:rsidRPr="00715E17">
              <w:rPr>
                <w:lang w:val="es-ES_tradnl"/>
              </w:rPr>
              <w:t>Guideline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for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market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assessment</w:t>
            </w:r>
            <w:proofErr w:type="spellEnd"/>
            <w:r w:rsidRPr="00715E17">
              <w:rPr>
                <w:lang w:val="es-ES_tradnl"/>
              </w:rPr>
              <w:t xml:space="preserve"> in </w:t>
            </w:r>
            <w:proofErr w:type="spellStart"/>
            <w:r w:rsidRPr="00715E17">
              <w:rPr>
                <w:lang w:val="es-ES_tradnl"/>
              </w:rPr>
              <w:t>the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project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cycle</w:t>
            </w:r>
            <w:proofErr w:type="spellEnd"/>
            <w:r w:rsidRPr="00715E17">
              <w:rPr>
                <w:lang w:val="es-ES_tradnl"/>
              </w:rPr>
              <w:t xml:space="preserve">. RCM </w:t>
            </w:r>
            <w:hyperlink r:id="rId7" w:history="1">
              <w:r w:rsidR="0063591A" w:rsidRPr="00715E17">
                <w:rPr>
                  <w:rStyle w:val="Hyperlink"/>
                  <w:lang w:val="es-ES_tradnl"/>
                </w:rPr>
                <w:t>www.icrc.org/eng/assets/files/publications/icrc-002-4200.pdf</w:t>
              </w:r>
            </w:hyperlink>
          </w:p>
          <w:p w14:paraId="325C58C9" w14:textId="5BD3F771" w:rsidR="00F674F8" w:rsidRPr="00715E17" w:rsidRDefault="00674833" w:rsidP="003D3A8C">
            <w:pPr>
              <w:pStyle w:val="RefItem1"/>
              <w:keepNext/>
              <w:keepLines/>
              <w:rPr>
                <w:lang w:val="es-ES_tradnl"/>
              </w:rPr>
            </w:pPr>
            <w:proofErr w:type="spellStart"/>
            <w:r w:rsidRPr="00715E17">
              <w:rPr>
                <w:lang w:val="es-ES_tradnl"/>
              </w:rPr>
              <w:t>Beneficiary</w:t>
            </w:r>
            <w:proofErr w:type="spellEnd"/>
            <w:r w:rsidRPr="00715E17">
              <w:rPr>
                <w:lang w:val="es-ES_tradnl"/>
              </w:rPr>
              <w:t xml:space="preserve"> </w:t>
            </w:r>
            <w:proofErr w:type="spellStart"/>
            <w:r w:rsidRPr="00715E17">
              <w:rPr>
                <w:lang w:val="es-ES_tradnl"/>
              </w:rPr>
              <w:t>Communication</w:t>
            </w:r>
            <w:proofErr w:type="spellEnd"/>
            <w:r w:rsidRPr="00715E17">
              <w:rPr>
                <w:lang w:val="es-ES_tradnl"/>
              </w:rPr>
              <w:t xml:space="preserve"> and </w:t>
            </w:r>
            <w:proofErr w:type="spellStart"/>
            <w:r w:rsidRPr="00715E17">
              <w:rPr>
                <w:lang w:val="es-ES_tradnl"/>
              </w:rPr>
              <w:t>Accountability</w:t>
            </w:r>
            <w:proofErr w:type="spellEnd"/>
            <w:r w:rsidRPr="00715E17">
              <w:rPr>
                <w:lang w:val="es-ES_tradnl"/>
              </w:rPr>
              <w:t xml:space="preserve"> (IFRC) </w:t>
            </w:r>
            <w:hyperlink r:id="rId8" w:history="1">
              <w:r w:rsidRPr="00715E17">
                <w:rPr>
                  <w:rStyle w:val="Hyperlink"/>
                  <w:rFonts w:eastAsia="Times New Roman"/>
                  <w:lang w:val="es-ES_tradnl"/>
                </w:rPr>
                <w:t>www.ifrc.org/PageFiles/94411/IFRC%20BCA%20Lesson%20Learned%20doc_final.pdf</w:t>
              </w:r>
            </w:hyperlink>
            <w:r w:rsidRPr="00715E17">
              <w:rPr>
                <w:lang w:val="es-ES_tradnl"/>
              </w:rPr>
              <w:t xml:space="preserve"> </w:t>
            </w:r>
          </w:p>
        </w:tc>
      </w:tr>
    </w:tbl>
    <w:p w14:paraId="38836B92" w14:textId="77777777" w:rsidR="00F674F8" w:rsidRPr="00715E17" w:rsidRDefault="00F674F8" w:rsidP="003F05A4">
      <w:pPr>
        <w:spacing w:after="0"/>
        <w:rPr>
          <w:lang w:val="es-ES_tradnl"/>
        </w:rPr>
      </w:pPr>
    </w:p>
    <w:sectPr w:rsidR="00F674F8" w:rsidRPr="00715E17" w:rsidSect="0025660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734C" w14:textId="77777777" w:rsidR="00EC4BA3" w:rsidRDefault="00EC4BA3" w:rsidP="00752615">
      <w:pPr>
        <w:spacing w:after="0"/>
      </w:pPr>
      <w:r>
        <w:separator/>
      </w:r>
    </w:p>
  </w:endnote>
  <w:endnote w:type="continuationSeparator" w:id="0">
    <w:p w14:paraId="7B8739D5" w14:textId="77777777" w:rsidR="00EC4BA3" w:rsidRDefault="00EC4BA3" w:rsidP="00752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6638" w14:textId="77777777" w:rsidR="00B42891" w:rsidRDefault="00B42891" w:rsidP="007526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F4871" w14:textId="77777777" w:rsidR="00B42891" w:rsidRDefault="00B42891" w:rsidP="007526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A82F" w14:textId="2436B811" w:rsidR="00F926A6" w:rsidRPr="00B45C74" w:rsidRDefault="00F926A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jc w:val="left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15E17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713B2B3" w14:textId="53F16423" w:rsidR="00F460BD" w:rsidRPr="003A3500" w:rsidRDefault="006E105A" w:rsidP="00F460BD">
    <w:pPr>
      <w:pStyle w:val="Footer"/>
    </w:pPr>
    <w:proofErr w:type="spellStart"/>
    <w:r w:rsidRPr="006E105A">
      <w:rPr>
        <w:b/>
      </w:rPr>
      <w:t>Módulo</w:t>
    </w:r>
    <w:proofErr w:type="spellEnd"/>
    <w:r w:rsidRPr="006E105A">
      <w:rPr>
        <w:b/>
      </w:rPr>
      <w:t xml:space="preserve"> .1 </w:t>
    </w:r>
    <w:proofErr w:type="spellStart"/>
    <w:r w:rsidRPr="006E105A">
      <w:t>Hoja</w:t>
    </w:r>
    <w:proofErr w:type="spellEnd"/>
    <w:r w:rsidRPr="006E105A">
      <w:t xml:space="preserve"> de </w:t>
    </w:r>
    <w:proofErr w:type="spellStart"/>
    <w:r w:rsidRPr="006E105A">
      <w:t>ruta</w:t>
    </w:r>
    <w:proofErr w:type="spellEnd"/>
    <w:r w:rsidRPr="006E105A">
      <w:t xml:space="preserve"> para la </w:t>
    </w:r>
    <w:proofErr w:type="spellStart"/>
    <w:r w:rsidRPr="006E105A">
      <w:t>preparación</w:t>
    </w:r>
    <w:proofErr w:type="spellEnd"/>
    <w:r w:rsidRPr="006E105A">
      <w:t xml:space="preserve"> a </w:t>
    </w:r>
    <w:proofErr w:type="spellStart"/>
    <w:r w:rsidRPr="006E105A">
      <w:t>los</w:t>
    </w:r>
    <w:proofErr w:type="spellEnd"/>
    <w:r w:rsidRPr="006E105A">
      <w:t xml:space="preserve"> PTE</w:t>
    </w:r>
    <w:r w:rsidR="00F460BD" w:rsidRPr="00F460BD">
      <w:fldChar w:fldCharType="begin"/>
    </w:r>
    <w:r w:rsidR="00F460BD" w:rsidRPr="00F460BD">
      <w:instrText xml:space="preserve"> STYLEREF  H1 \t  \* MERGEFORMAT </w:instrText>
    </w:r>
    <w:r w:rsidR="00F460BD" w:rsidRPr="00F460B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D295" w14:textId="419B7033" w:rsidR="00F460BD" w:rsidRPr="00B45C74" w:rsidRDefault="00F460B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15E1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B3E623E" w14:textId="532F0479" w:rsidR="00F460BD" w:rsidRPr="003A3500" w:rsidRDefault="00D85B4D" w:rsidP="00ED1B2B">
    <w:pPr>
      <w:pStyle w:val="Footer"/>
    </w:pPr>
    <w:proofErr w:type="spellStart"/>
    <w:r>
      <w:rPr>
        <w:b/>
      </w:rPr>
      <w:t>Módulo</w:t>
    </w:r>
    <w:proofErr w:type="spellEnd"/>
    <w:r w:rsidR="00F460BD" w:rsidRPr="00107E15">
      <w:rPr>
        <w:b/>
      </w:rPr>
      <w:t xml:space="preserve"> </w:t>
    </w:r>
    <w:r w:rsidR="00F460BD">
      <w:rPr>
        <w:b/>
      </w:rPr>
      <w:t>.1</w:t>
    </w:r>
    <w:r w:rsidR="00F460BD" w:rsidRPr="00F460BD">
      <w:t xml:space="preserve"> </w:t>
    </w:r>
    <w:fldSimple w:instr=" STYLEREF  H1 \t  \* MERGEFORMAT ">
      <w:r w:rsidR="00715E17" w:rsidRPr="00715E17">
        <w:rPr>
          <w:bCs/>
          <w:noProof/>
        </w:rPr>
        <w:t>Hoja de ruta</w:t>
      </w:r>
      <w:r w:rsidR="00715E17">
        <w:rPr>
          <w:noProof/>
        </w:rPr>
        <w:t xml:space="preserve"> para la preparación para los PTE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0808" w14:textId="77777777" w:rsidR="00EC4BA3" w:rsidRDefault="00EC4BA3" w:rsidP="00752615">
      <w:pPr>
        <w:spacing w:after="0"/>
      </w:pPr>
      <w:r>
        <w:separator/>
      </w:r>
    </w:p>
  </w:footnote>
  <w:footnote w:type="continuationSeparator" w:id="0">
    <w:p w14:paraId="4AD32ABB" w14:textId="77777777" w:rsidR="00EC4BA3" w:rsidRDefault="00EC4BA3" w:rsidP="00752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7BC0" w14:textId="7C500641" w:rsidR="00E9144E" w:rsidRPr="000D597D" w:rsidRDefault="000D597D" w:rsidP="00173FF2">
    <w:pPr>
      <w:pStyle w:val="Header"/>
      <w:rPr>
        <w:szCs w:val="16"/>
      </w:rPr>
    </w:pPr>
    <w:proofErr w:type="spellStart"/>
    <w:r>
      <w:rPr>
        <w:rStyle w:val="Pantone485"/>
      </w:rPr>
      <w:t>Federación</w:t>
    </w:r>
    <w:proofErr w:type="spellEnd"/>
    <w:r>
      <w:rPr>
        <w:rStyle w:val="Pantone485"/>
      </w:rPr>
      <w:t xml:space="preserve"> </w:t>
    </w:r>
    <w:proofErr w:type="spellStart"/>
    <w:r w:rsidR="00E9144E" w:rsidRPr="004B5DA9">
      <w:rPr>
        <w:rStyle w:val="Pantone485"/>
      </w:rPr>
      <w:t>Interna</w:t>
    </w:r>
    <w:r>
      <w:rPr>
        <w:rStyle w:val="Pantone485"/>
      </w:rPr>
      <w:t>c</w:t>
    </w:r>
    <w:r w:rsidR="00E9144E" w:rsidRPr="004B5DA9">
      <w:rPr>
        <w:rStyle w:val="Pantone485"/>
      </w:rPr>
      <w:t>ional</w:t>
    </w:r>
    <w:proofErr w:type="spellEnd"/>
    <w:r w:rsidR="00E9144E" w:rsidRPr="004B5DA9">
      <w:rPr>
        <w:rStyle w:val="Pantone485"/>
      </w:rPr>
      <w:t xml:space="preserve"> </w:t>
    </w:r>
    <w:r>
      <w:rPr>
        <w:rStyle w:val="Pantone485"/>
      </w:rPr>
      <w:t xml:space="preserve">de </w:t>
    </w:r>
    <w:proofErr w:type="spellStart"/>
    <w:r>
      <w:rPr>
        <w:rStyle w:val="Pantone485"/>
      </w:rPr>
      <w:t>Sociedades</w:t>
    </w:r>
    <w:proofErr w:type="spellEnd"/>
    <w:r>
      <w:rPr>
        <w:rStyle w:val="Pantone485"/>
      </w:rPr>
      <w:t xml:space="preserve"> de la Cruz Roja y de la Media Luna Roja </w:t>
    </w:r>
    <w:r w:rsidR="00E9144E" w:rsidRPr="002B5D03">
      <w:rPr>
        <w:rStyle w:val="PageNumber"/>
        <w:bCs/>
        <w:szCs w:val="16"/>
      </w:rPr>
      <w:t>I</w:t>
    </w:r>
    <w:r w:rsidR="00E9144E" w:rsidRPr="009F6986">
      <w:rPr>
        <w:rStyle w:val="PageNumber"/>
        <w:color w:val="FF0000"/>
        <w:szCs w:val="16"/>
      </w:rPr>
      <w:t xml:space="preserve"> </w:t>
    </w:r>
    <w:proofErr w:type="spellStart"/>
    <w:r w:rsidRPr="000D597D">
      <w:rPr>
        <w:rStyle w:val="PageNumber"/>
        <w:szCs w:val="16"/>
      </w:rPr>
      <w:t>Caja</w:t>
    </w:r>
    <w:proofErr w:type="spellEnd"/>
    <w:r w:rsidRPr="000D597D">
      <w:rPr>
        <w:rStyle w:val="PageNumber"/>
        <w:szCs w:val="16"/>
      </w:rPr>
      <w:t xml:space="preserve"> de </w:t>
    </w:r>
    <w:proofErr w:type="spellStart"/>
    <w:r w:rsidRPr="000D597D">
      <w:rPr>
        <w:rStyle w:val="PageNumber"/>
        <w:szCs w:val="16"/>
      </w:rPr>
      <w:t>herramientas</w:t>
    </w:r>
    <w:proofErr w:type="spellEnd"/>
    <w:r w:rsidRPr="000D597D">
      <w:rPr>
        <w:rStyle w:val="PageNumber"/>
        <w:szCs w:val="16"/>
      </w:rPr>
      <w:t xml:space="preserve"> para </w:t>
    </w:r>
    <w:r w:rsidR="000C472C">
      <w:rPr>
        <w:rStyle w:val="PageNumber"/>
        <w:szCs w:val="16"/>
      </w:rPr>
      <w:t xml:space="preserve">PTE </w:t>
    </w:r>
    <w:proofErr w:type="spellStart"/>
    <w:r w:rsidRPr="000D597D">
      <w:rPr>
        <w:rStyle w:val="PageNumber"/>
        <w:szCs w:val="16"/>
      </w:rPr>
      <w:t>en</w:t>
    </w:r>
    <w:proofErr w:type="spellEnd"/>
    <w:r w:rsidRPr="000D597D">
      <w:rPr>
        <w:rStyle w:val="PageNumber"/>
        <w:szCs w:val="16"/>
      </w:rPr>
      <w:t xml:space="preserve"> </w:t>
    </w:r>
    <w:proofErr w:type="spellStart"/>
    <w:r w:rsidRPr="000D597D">
      <w:rPr>
        <w:rStyle w:val="PageNumber"/>
        <w:szCs w:val="16"/>
      </w:rPr>
      <w:t>emergencias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6AE0" w14:textId="05D9C6FD" w:rsidR="00E9144E" w:rsidRDefault="00890645" w:rsidP="00050617">
    <w:pPr>
      <w:pStyle w:val="Header1"/>
    </w:pPr>
    <w:r>
      <w:rPr>
        <w:rFonts w:cs="Arial"/>
        <w:noProof/>
        <w:color w:val="1020D0"/>
        <w:lang w:val="en-GB" w:eastAsia="en-GB"/>
      </w:rPr>
      <w:drawing>
        <wp:anchor distT="0" distB="0" distL="114300" distR="114300" simplePos="0" relativeHeight="251662336" behindDoc="0" locked="0" layoutInCell="1" allowOverlap="1" wp14:anchorId="12FB7636" wp14:editId="44F1A87E">
          <wp:simplePos x="0" y="0"/>
          <wp:positionH relativeFrom="column">
            <wp:posOffset>365760</wp:posOffset>
          </wp:positionH>
          <wp:positionV relativeFrom="paragraph">
            <wp:posOffset>7620</wp:posOffset>
          </wp:positionV>
          <wp:extent cx="624205" cy="780415"/>
          <wp:effectExtent l="0" t="0" r="4445" b="635"/>
          <wp:wrapThrough wrapText="bothSides">
            <wp:wrapPolygon edited="0">
              <wp:start x="0" y="0"/>
              <wp:lineTo x="0" y="21090"/>
              <wp:lineTo x="21095" y="21090"/>
              <wp:lineTo x="21095" y="0"/>
              <wp:lineTo x="0" y="0"/>
            </wp:wrapPolygon>
          </wp:wrapThrough>
          <wp:docPr id="2" name="Picture 2" descr="http://tse1.mm.bing.net/th?&amp;id=OIP.M140f58220c8c905dca44060f4c7a17a2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140f58220c8c905dca44060f4c7a17a2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6E653" w14:textId="5173AE2F" w:rsidR="00E9144E" w:rsidRDefault="000B7814" w:rsidP="00050617">
    <w:pPr>
      <w:pStyle w:val="Header1"/>
    </w:pPr>
    <w:r>
      <w:rPr>
        <w:rFonts w:cs="Arial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D6AADFF" wp14:editId="7D2B71A5">
          <wp:simplePos x="0" y="0"/>
          <wp:positionH relativeFrom="column">
            <wp:posOffset>2689859</wp:posOffset>
          </wp:positionH>
          <wp:positionV relativeFrom="paragraph">
            <wp:posOffset>140334</wp:posOffset>
          </wp:positionV>
          <wp:extent cx="3226889" cy="300355"/>
          <wp:effectExtent l="0" t="0" r="0" b="4445"/>
          <wp:wrapNone/>
          <wp:docPr id="1" name="Picture 1" descr="http://www.ifrc.org/Global/ifrc.org/Logos/IFRC-Spanis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rc.org/Global/ifrc.org/Logos/IFRC-Spanish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990" cy="300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EB48C" w14:textId="20526B74" w:rsidR="00E9144E" w:rsidRDefault="00E9144E" w:rsidP="00F27C45">
    <w:pPr>
      <w:pStyle w:val="Header1"/>
    </w:pPr>
  </w:p>
  <w:p w14:paraId="3E915A1E" w14:textId="77777777" w:rsidR="00E9144E" w:rsidRDefault="00E9144E" w:rsidP="00F27C45">
    <w:pPr>
      <w:pStyle w:val="Header1"/>
    </w:pPr>
  </w:p>
  <w:p w14:paraId="693B0318" w14:textId="77777777" w:rsidR="00E9144E" w:rsidRDefault="00E9144E" w:rsidP="00F27C45">
    <w:pPr>
      <w:pStyle w:val="Header1"/>
    </w:pPr>
  </w:p>
  <w:p w14:paraId="17F29387" w14:textId="6B0DC757" w:rsidR="00E9144E" w:rsidRPr="00F27C45" w:rsidRDefault="00E9144E" w:rsidP="00050617">
    <w:pPr>
      <w:pStyle w:val="Header1"/>
      <w:rPr>
        <w:rStyle w:val="Pantone485"/>
      </w:rPr>
    </w:pPr>
    <w:proofErr w:type="spellStart"/>
    <w:r w:rsidRPr="00F27C45">
      <w:rPr>
        <w:rStyle w:val="Pantone485"/>
      </w:rPr>
      <w:t>C</w:t>
    </w:r>
    <w:r w:rsidR="000B7814">
      <w:rPr>
        <w:rStyle w:val="Pantone485"/>
      </w:rPr>
      <w:t>aja</w:t>
    </w:r>
    <w:proofErr w:type="spellEnd"/>
    <w:r w:rsidR="000B7814">
      <w:rPr>
        <w:rStyle w:val="Pantone485"/>
      </w:rPr>
      <w:t xml:space="preserve"> de </w:t>
    </w:r>
    <w:proofErr w:type="spellStart"/>
    <w:r w:rsidR="000B7814">
      <w:rPr>
        <w:rStyle w:val="Pantone485"/>
      </w:rPr>
      <w:t>herramientas</w:t>
    </w:r>
    <w:proofErr w:type="spellEnd"/>
    <w:r w:rsidR="000B7814">
      <w:rPr>
        <w:rStyle w:val="Pantone485"/>
      </w:rPr>
      <w:t xml:space="preserve"> para </w:t>
    </w:r>
    <w:r w:rsidR="000C472C">
      <w:rPr>
        <w:rStyle w:val="Pantone485"/>
      </w:rPr>
      <w:t xml:space="preserve">PTE </w:t>
    </w:r>
    <w:proofErr w:type="spellStart"/>
    <w:r w:rsidR="000B7814">
      <w:rPr>
        <w:rStyle w:val="Pantone485"/>
      </w:rPr>
      <w:t>en</w:t>
    </w:r>
    <w:proofErr w:type="spellEnd"/>
    <w:r w:rsidR="000B7814">
      <w:rPr>
        <w:rStyle w:val="Pantone485"/>
      </w:rPr>
      <w:t xml:space="preserve"> </w:t>
    </w:r>
    <w:proofErr w:type="spellStart"/>
    <w:r w:rsidR="000B7814">
      <w:rPr>
        <w:rStyle w:val="Pantone485"/>
      </w:rPr>
      <w:t>emergencias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5"/>
  </w:num>
  <w:num w:numId="4">
    <w:abstractNumId w:val="26"/>
  </w:num>
  <w:num w:numId="5">
    <w:abstractNumId w:val="41"/>
  </w:num>
  <w:num w:numId="6">
    <w:abstractNumId w:val="25"/>
  </w:num>
  <w:num w:numId="7">
    <w:abstractNumId w:val="30"/>
  </w:num>
  <w:num w:numId="8">
    <w:abstractNumId w:val="20"/>
  </w:num>
  <w:num w:numId="9">
    <w:abstractNumId w:val="43"/>
  </w:num>
  <w:num w:numId="10">
    <w:abstractNumId w:val="33"/>
  </w:num>
  <w:num w:numId="11">
    <w:abstractNumId w:val="34"/>
  </w:num>
  <w:num w:numId="12">
    <w:abstractNumId w:val="38"/>
  </w:num>
  <w:num w:numId="13">
    <w:abstractNumId w:val="40"/>
  </w:num>
  <w:num w:numId="14">
    <w:abstractNumId w:val="18"/>
  </w:num>
  <w:num w:numId="15">
    <w:abstractNumId w:val="39"/>
  </w:num>
  <w:num w:numId="16">
    <w:abstractNumId w:val="14"/>
  </w:num>
  <w:num w:numId="17">
    <w:abstractNumId w:val="13"/>
  </w:num>
  <w:num w:numId="18">
    <w:abstractNumId w:val="42"/>
  </w:num>
  <w:num w:numId="19">
    <w:abstractNumId w:val="29"/>
  </w:num>
  <w:num w:numId="20">
    <w:abstractNumId w:val="21"/>
  </w:num>
  <w:num w:numId="21">
    <w:abstractNumId w:val="16"/>
  </w:num>
  <w:num w:numId="22">
    <w:abstractNumId w:val="22"/>
  </w:num>
  <w:num w:numId="23">
    <w:abstractNumId w:val="27"/>
  </w:num>
  <w:num w:numId="24">
    <w:abstractNumId w:val="19"/>
  </w:num>
  <w:num w:numId="25">
    <w:abstractNumId w:val="17"/>
  </w:num>
  <w:num w:numId="26">
    <w:abstractNumId w:val="23"/>
  </w:num>
  <w:num w:numId="27">
    <w:abstractNumId w:val="44"/>
  </w:num>
  <w:num w:numId="28">
    <w:abstractNumId w:val="10"/>
  </w:num>
  <w:num w:numId="29">
    <w:abstractNumId w:val="28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31"/>
  </w:num>
  <w:num w:numId="43">
    <w:abstractNumId w:val="35"/>
  </w:num>
  <w:num w:numId="44">
    <w:abstractNumId w:val="3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40"/>
    <w:rsid w:val="00013F7A"/>
    <w:rsid w:val="00027A43"/>
    <w:rsid w:val="000438E0"/>
    <w:rsid w:val="00044327"/>
    <w:rsid w:val="00044FF0"/>
    <w:rsid w:val="00046C14"/>
    <w:rsid w:val="00052031"/>
    <w:rsid w:val="000635B8"/>
    <w:rsid w:val="0006571E"/>
    <w:rsid w:val="00076A9D"/>
    <w:rsid w:val="00076D0A"/>
    <w:rsid w:val="00081581"/>
    <w:rsid w:val="00086BFE"/>
    <w:rsid w:val="00090E17"/>
    <w:rsid w:val="00095A26"/>
    <w:rsid w:val="000B082D"/>
    <w:rsid w:val="000B1137"/>
    <w:rsid w:val="000B7814"/>
    <w:rsid w:val="000C472C"/>
    <w:rsid w:val="000D2128"/>
    <w:rsid w:val="000D411A"/>
    <w:rsid w:val="000D597D"/>
    <w:rsid w:val="000D6F20"/>
    <w:rsid w:val="000D763F"/>
    <w:rsid w:val="000E761A"/>
    <w:rsid w:val="000E7D44"/>
    <w:rsid w:val="000F065E"/>
    <w:rsid w:val="000F0CF2"/>
    <w:rsid w:val="000F578B"/>
    <w:rsid w:val="000F63F1"/>
    <w:rsid w:val="00100684"/>
    <w:rsid w:val="0010360C"/>
    <w:rsid w:val="001040D3"/>
    <w:rsid w:val="00105565"/>
    <w:rsid w:val="00114E06"/>
    <w:rsid w:val="0011725B"/>
    <w:rsid w:val="00127341"/>
    <w:rsid w:val="00132856"/>
    <w:rsid w:val="00136DBD"/>
    <w:rsid w:val="0014319C"/>
    <w:rsid w:val="00147BF4"/>
    <w:rsid w:val="00151A19"/>
    <w:rsid w:val="00152F46"/>
    <w:rsid w:val="00153DDA"/>
    <w:rsid w:val="0015456C"/>
    <w:rsid w:val="0016162D"/>
    <w:rsid w:val="00165AA4"/>
    <w:rsid w:val="00171E5B"/>
    <w:rsid w:val="001946D2"/>
    <w:rsid w:val="001A436E"/>
    <w:rsid w:val="001A7AD5"/>
    <w:rsid w:val="001B1F8F"/>
    <w:rsid w:val="001B6CEC"/>
    <w:rsid w:val="001B79C9"/>
    <w:rsid w:val="001C34F7"/>
    <w:rsid w:val="001F46AD"/>
    <w:rsid w:val="001F6441"/>
    <w:rsid w:val="00223CDD"/>
    <w:rsid w:val="00231E3A"/>
    <w:rsid w:val="0025660E"/>
    <w:rsid w:val="00256A0A"/>
    <w:rsid w:val="0026577C"/>
    <w:rsid w:val="00266D12"/>
    <w:rsid w:val="0028405A"/>
    <w:rsid w:val="0029070B"/>
    <w:rsid w:val="0029452B"/>
    <w:rsid w:val="002A2AF0"/>
    <w:rsid w:val="002C07A0"/>
    <w:rsid w:val="002C7778"/>
    <w:rsid w:val="002D0A4B"/>
    <w:rsid w:val="002F25F9"/>
    <w:rsid w:val="002F689F"/>
    <w:rsid w:val="002F7770"/>
    <w:rsid w:val="003106CC"/>
    <w:rsid w:val="00317FAF"/>
    <w:rsid w:val="00325F32"/>
    <w:rsid w:val="00333EA9"/>
    <w:rsid w:val="00337C84"/>
    <w:rsid w:val="0034073E"/>
    <w:rsid w:val="00347951"/>
    <w:rsid w:val="00357105"/>
    <w:rsid w:val="003911BB"/>
    <w:rsid w:val="003D3A8C"/>
    <w:rsid w:val="003E0FFD"/>
    <w:rsid w:val="003E5563"/>
    <w:rsid w:val="003F05A4"/>
    <w:rsid w:val="003F26CB"/>
    <w:rsid w:val="003F3116"/>
    <w:rsid w:val="003F3BDE"/>
    <w:rsid w:val="004460E6"/>
    <w:rsid w:val="00456081"/>
    <w:rsid w:val="004621E6"/>
    <w:rsid w:val="004820CE"/>
    <w:rsid w:val="004948E4"/>
    <w:rsid w:val="004A2AC6"/>
    <w:rsid w:val="004C63D2"/>
    <w:rsid w:val="004D4B69"/>
    <w:rsid w:val="004E5BB5"/>
    <w:rsid w:val="004F3661"/>
    <w:rsid w:val="005158FF"/>
    <w:rsid w:val="005272E2"/>
    <w:rsid w:val="00527882"/>
    <w:rsid w:val="005349AC"/>
    <w:rsid w:val="00543F28"/>
    <w:rsid w:val="00547927"/>
    <w:rsid w:val="00562B4B"/>
    <w:rsid w:val="005653C9"/>
    <w:rsid w:val="00567E06"/>
    <w:rsid w:val="005822D3"/>
    <w:rsid w:val="005838FA"/>
    <w:rsid w:val="00593F9E"/>
    <w:rsid w:val="005A0097"/>
    <w:rsid w:val="005C2480"/>
    <w:rsid w:val="005D170E"/>
    <w:rsid w:val="005E64D2"/>
    <w:rsid w:val="005F155B"/>
    <w:rsid w:val="005F3235"/>
    <w:rsid w:val="00605DB7"/>
    <w:rsid w:val="00613D47"/>
    <w:rsid w:val="0062030E"/>
    <w:rsid w:val="00625E42"/>
    <w:rsid w:val="00627635"/>
    <w:rsid w:val="0063591A"/>
    <w:rsid w:val="006642BE"/>
    <w:rsid w:val="00674833"/>
    <w:rsid w:val="00675145"/>
    <w:rsid w:val="00684D20"/>
    <w:rsid w:val="00687489"/>
    <w:rsid w:val="006A6148"/>
    <w:rsid w:val="006B0B2C"/>
    <w:rsid w:val="006C2161"/>
    <w:rsid w:val="006C279A"/>
    <w:rsid w:val="006C6B8E"/>
    <w:rsid w:val="006D3A93"/>
    <w:rsid w:val="006E105A"/>
    <w:rsid w:val="006F4886"/>
    <w:rsid w:val="00715E17"/>
    <w:rsid w:val="00734ED9"/>
    <w:rsid w:val="00752615"/>
    <w:rsid w:val="00761FE5"/>
    <w:rsid w:val="0078318E"/>
    <w:rsid w:val="007D1A58"/>
    <w:rsid w:val="007E0326"/>
    <w:rsid w:val="007F1ABD"/>
    <w:rsid w:val="0080262C"/>
    <w:rsid w:val="008233E8"/>
    <w:rsid w:val="0084641F"/>
    <w:rsid w:val="00851F43"/>
    <w:rsid w:val="00853516"/>
    <w:rsid w:val="00867C25"/>
    <w:rsid w:val="00871FB1"/>
    <w:rsid w:val="0088306F"/>
    <w:rsid w:val="00887ACD"/>
    <w:rsid w:val="00890645"/>
    <w:rsid w:val="008B379C"/>
    <w:rsid w:val="008C2CBC"/>
    <w:rsid w:val="008D218B"/>
    <w:rsid w:val="008E03B4"/>
    <w:rsid w:val="008F402F"/>
    <w:rsid w:val="008F6786"/>
    <w:rsid w:val="00906ED2"/>
    <w:rsid w:val="00916848"/>
    <w:rsid w:val="00920C12"/>
    <w:rsid w:val="00933BEE"/>
    <w:rsid w:val="00970049"/>
    <w:rsid w:val="0099182F"/>
    <w:rsid w:val="00996780"/>
    <w:rsid w:val="009A193F"/>
    <w:rsid w:val="009A36DA"/>
    <w:rsid w:val="009B5FBB"/>
    <w:rsid w:val="009B6AD5"/>
    <w:rsid w:val="00A15C9A"/>
    <w:rsid w:val="00A24494"/>
    <w:rsid w:val="00A24FD6"/>
    <w:rsid w:val="00A324E8"/>
    <w:rsid w:val="00A336CA"/>
    <w:rsid w:val="00A50796"/>
    <w:rsid w:val="00A72793"/>
    <w:rsid w:val="00A74426"/>
    <w:rsid w:val="00A75317"/>
    <w:rsid w:val="00A80133"/>
    <w:rsid w:val="00A87A26"/>
    <w:rsid w:val="00A92250"/>
    <w:rsid w:val="00A94FC1"/>
    <w:rsid w:val="00AB382D"/>
    <w:rsid w:val="00AB7CDC"/>
    <w:rsid w:val="00AF426C"/>
    <w:rsid w:val="00B00781"/>
    <w:rsid w:val="00B05CE7"/>
    <w:rsid w:val="00B0620E"/>
    <w:rsid w:val="00B21977"/>
    <w:rsid w:val="00B42891"/>
    <w:rsid w:val="00B43740"/>
    <w:rsid w:val="00B4685C"/>
    <w:rsid w:val="00B51A30"/>
    <w:rsid w:val="00B550F3"/>
    <w:rsid w:val="00B66D90"/>
    <w:rsid w:val="00B677EB"/>
    <w:rsid w:val="00B832CB"/>
    <w:rsid w:val="00B85356"/>
    <w:rsid w:val="00B85935"/>
    <w:rsid w:val="00B902E0"/>
    <w:rsid w:val="00BA5742"/>
    <w:rsid w:val="00BA6271"/>
    <w:rsid w:val="00BE6F9F"/>
    <w:rsid w:val="00BF3E68"/>
    <w:rsid w:val="00C46DBB"/>
    <w:rsid w:val="00C77A28"/>
    <w:rsid w:val="00C97F74"/>
    <w:rsid w:val="00CA1870"/>
    <w:rsid w:val="00CA692F"/>
    <w:rsid w:val="00CB564F"/>
    <w:rsid w:val="00CC068F"/>
    <w:rsid w:val="00CD2036"/>
    <w:rsid w:val="00CD55F4"/>
    <w:rsid w:val="00CD67A5"/>
    <w:rsid w:val="00CE15DC"/>
    <w:rsid w:val="00CF6789"/>
    <w:rsid w:val="00CF7B24"/>
    <w:rsid w:val="00D00357"/>
    <w:rsid w:val="00D02F9C"/>
    <w:rsid w:val="00D145C8"/>
    <w:rsid w:val="00D16AA1"/>
    <w:rsid w:val="00D22CA9"/>
    <w:rsid w:val="00D25E2D"/>
    <w:rsid w:val="00D26BFC"/>
    <w:rsid w:val="00D4215A"/>
    <w:rsid w:val="00D436BF"/>
    <w:rsid w:val="00D463BD"/>
    <w:rsid w:val="00D528AB"/>
    <w:rsid w:val="00D53C90"/>
    <w:rsid w:val="00D62AC5"/>
    <w:rsid w:val="00D712BF"/>
    <w:rsid w:val="00D74972"/>
    <w:rsid w:val="00D85B4D"/>
    <w:rsid w:val="00D86541"/>
    <w:rsid w:val="00D93CA6"/>
    <w:rsid w:val="00DB1AE6"/>
    <w:rsid w:val="00DC1372"/>
    <w:rsid w:val="00DD1804"/>
    <w:rsid w:val="00DD662A"/>
    <w:rsid w:val="00DE13F0"/>
    <w:rsid w:val="00DF2816"/>
    <w:rsid w:val="00E01226"/>
    <w:rsid w:val="00E01F01"/>
    <w:rsid w:val="00E03CF1"/>
    <w:rsid w:val="00E0616C"/>
    <w:rsid w:val="00E075B1"/>
    <w:rsid w:val="00E10038"/>
    <w:rsid w:val="00E106A4"/>
    <w:rsid w:val="00E146ED"/>
    <w:rsid w:val="00E26EC7"/>
    <w:rsid w:val="00E37DEA"/>
    <w:rsid w:val="00E430E2"/>
    <w:rsid w:val="00E473A3"/>
    <w:rsid w:val="00E6698A"/>
    <w:rsid w:val="00E77E9D"/>
    <w:rsid w:val="00E9144E"/>
    <w:rsid w:val="00E91929"/>
    <w:rsid w:val="00E97489"/>
    <w:rsid w:val="00EA05FA"/>
    <w:rsid w:val="00EA1FF6"/>
    <w:rsid w:val="00EC4BA3"/>
    <w:rsid w:val="00ED18B8"/>
    <w:rsid w:val="00EF108C"/>
    <w:rsid w:val="00F0073E"/>
    <w:rsid w:val="00F13CF8"/>
    <w:rsid w:val="00F164D6"/>
    <w:rsid w:val="00F22273"/>
    <w:rsid w:val="00F2243B"/>
    <w:rsid w:val="00F27C45"/>
    <w:rsid w:val="00F460BD"/>
    <w:rsid w:val="00F57C12"/>
    <w:rsid w:val="00F674F8"/>
    <w:rsid w:val="00F80A2D"/>
    <w:rsid w:val="00F926A6"/>
    <w:rsid w:val="00F94C90"/>
    <w:rsid w:val="00FA16A0"/>
    <w:rsid w:val="00FB7EB7"/>
    <w:rsid w:val="00FC3568"/>
    <w:rsid w:val="00FC3A56"/>
    <w:rsid w:val="00FD30C8"/>
    <w:rsid w:val="00FD54FA"/>
    <w:rsid w:val="00FF1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89C12"/>
  <w15:docId w15:val="{19F51796-E61C-4740-B093-FFEF71FE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BD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460BD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60B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B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60BD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60BD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F460B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0B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60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9144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44E"/>
    <w:rPr>
      <w:rFonts w:ascii="Arial" w:hAnsi="Arial" w:cs="Arial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460B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460BD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B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B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60BD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60BD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460BD"/>
    <w:rPr>
      <w:b/>
    </w:rPr>
  </w:style>
  <w:style w:type="paragraph" w:styleId="Header">
    <w:name w:val="header"/>
    <w:basedOn w:val="Normal"/>
    <w:link w:val="HeaderChar"/>
    <w:uiPriority w:val="99"/>
    <w:unhideWhenUsed/>
    <w:rsid w:val="00F460BD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460BD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F460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0B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60BD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60BD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460BD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character" w:customStyle="1" w:styleId="abv">
    <w:name w:val="abv"/>
    <w:basedOn w:val="DefaultParagraphFont"/>
    <w:rsid w:val="00A74426"/>
  </w:style>
  <w:style w:type="paragraph" w:styleId="Caption">
    <w:name w:val="caption"/>
    <w:basedOn w:val="Normal"/>
    <w:next w:val="Normal"/>
    <w:uiPriority w:val="35"/>
    <w:unhideWhenUsed/>
    <w:qFormat/>
    <w:rsid w:val="00543F28"/>
    <w:pPr>
      <w:spacing w:before="120"/>
      <w:jc w:val="left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BodyText2">
    <w:name w:val="Body Text 2"/>
    <w:basedOn w:val="Normal"/>
    <w:link w:val="BodyText2Char"/>
    <w:rsid w:val="00933BEE"/>
    <w:pPr>
      <w:spacing w:line="480" w:lineRule="auto"/>
      <w:jc w:val="left"/>
    </w:pPr>
    <w:rPr>
      <w:rFonts w:ascii="Times New Roman" w:eastAsia="Times New Roman" w:hAnsi="Times New Roman"/>
      <w:lang w:val="x-none"/>
    </w:rPr>
  </w:style>
  <w:style w:type="character" w:customStyle="1" w:styleId="BodyText2Char">
    <w:name w:val="Body Text 2 Char"/>
    <w:basedOn w:val="DefaultParagraphFont"/>
    <w:link w:val="BodyText2"/>
    <w:rsid w:val="00933BEE"/>
    <w:rPr>
      <w:rFonts w:ascii="Times New Roman" w:eastAsia="Times New Roman" w:hAnsi="Times New Roman" w:cs="Times New Roman"/>
      <w:lang w:val="x-none"/>
    </w:rPr>
  </w:style>
  <w:style w:type="paragraph" w:styleId="Revision">
    <w:name w:val="Revision"/>
    <w:hidden/>
    <w:uiPriority w:val="99"/>
    <w:semiHidden/>
    <w:rsid w:val="00F460BD"/>
    <w:rPr>
      <w:rFonts w:ascii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460BD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60BD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0BD"/>
    <w:rPr>
      <w:rFonts w:ascii="Arial" w:hAnsi="Arial" w:cs="Times New Roman"/>
      <w:b/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F460B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460B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F460BD"/>
    <w:pPr>
      <w:numPr>
        <w:numId w:val="14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460B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460B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460BD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460BD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460B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460B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460BD"/>
    <w:pPr>
      <w:numPr>
        <w:numId w:val="43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F460BD"/>
    <w:pPr>
      <w:numPr>
        <w:ilvl w:val="1"/>
        <w:numId w:val="4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460BD"/>
    <w:pPr>
      <w:numPr>
        <w:numId w:val="4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460BD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460BD"/>
    <w:pPr>
      <w:ind w:left="567"/>
    </w:pPr>
    <w:rPr>
      <w:rFonts w:cs="Arial"/>
      <w:b/>
    </w:rPr>
  </w:style>
  <w:style w:type="paragraph" w:customStyle="1" w:styleId="Heading3NotBold">
    <w:name w:val="Heading 3 Not Bold"/>
    <w:basedOn w:val="Normal"/>
    <w:qFormat/>
    <w:rsid w:val="00F27C45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Normal"/>
    <w:qFormat/>
    <w:rsid w:val="00F460B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460BD"/>
    <w:pPr>
      <w:keepNext/>
      <w:keepLines/>
      <w:framePr w:hSpace="141" w:wrap="around" w:vAnchor="text" w:hAnchor="margin" w:y="402"/>
      <w:numPr>
        <w:numId w:val="4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c.org/PageFiles/94411/IFRC%20BCA%20Lesson%20Learned%20doc_final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rc.org/eng/assets/files/publications/icrc-002-4200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CICR&amp;view=detailv2&amp;&amp;id=B8F2200A8D1D71B63F2B06CB626363359D63FEEC&amp;selectedIndex=0&amp;ccid=FA9YIgyM&amp;simid=608001068764300521&amp;thid=OIP.M140f58220c8c905dca44060f4c7a17a2H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496</TotalTime>
  <Pages>3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Ines DALMAU i GUTSENS</cp:lastModifiedBy>
  <cp:revision>8</cp:revision>
  <cp:lastPrinted>2015-09-23T00:44:00Z</cp:lastPrinted>
  <dcterms:created xsi:type="dcterms:W3CDTF">2015-11-09T10:28:00Z</dcterms:created>
  <dcterms:modified xsi:type="dcterms:W3CDTF">2016-02-09T20:45:00Z</dcterms:modified>
</cp:coreProperties>
</file>