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B3" w:rsidRPr="00C44271" w:rsidRDefault="00151CF4" w:rsidP="00151CF4">
      <w:pPr>
        <w:pStyle w:val="H1"/>
        <w:rPr>
          <w:lang w:val="fr-FR"/>
        </w:rPr>
      </w:pPr>
      <w:r w:rsidRPr="00C44271">
        <w:rPr>
          <w:lang w:val="fr-FR"/>
        </w:rPr>
        <w:t>Tableau récapitulatif des outils d’évaluation</w:t>
      </w:r>
    </w:p>
    <w:p w:rsidR="00884AB6" w:rsidRPr="00C44271" w:rsidRDefault="00DB1532" w:rsidP="007F3894">
      <w:pPr>
        <w:spacing w:after="240"/>
        <w:rPr>
          <w:lang w:val="fr-FR"/>
        </w:rPr>
      </w:pPr>
      <w:r>
        <w:rPr>
          <w:lang w:val="fr-FR"/>
        </w:rPr>
        <w:t>Le tableau ci-dessous présente d</w:t>
      </w:r>
      <w:r w:rsidR="00151CF4" w:rsidRPr="00C44271">
        <w:rPr>
          <w:lang w:val="fr-FR"/>
        </w:rPr>
        <w:t xml:space="preserve">es outils d’évaluation </w:t>
      </w:r>
      <w:r>
        <w:rPr>
          <w:lang w:val="fr-FR"/>
        </w:rPr>
        <w:t>couramment</w:t>
      </w:r>
      <w:r w:rsidR="00151CF4" w:rsidRPr="00C44271">
        <w:rPr>
          <w:lang w:val="fr-FR"/>
        </w:rPr>
        <w:t xml:space="preserve"> utilisés.</w:t>
      </w:r>
      <w:r w:rsidR="00884AB6" w:rsidRPr="00C44271">
        <w:rPr>
          <w:lang w:val="fr-FR"/>
        </w:rPr>
        <w:t xml:space="preserve"> </w:t>
      </w:r>
      <w:r w:rsidR="00151CF4" w:rsidRPr="00C44271">
        <w:rPr>
          <w:lang w:val="fr-FR"/>
        </w:rPr>
        <w:t>Le choix de l’outil le plus adapté à vos besoins et à votre contexte dépendra des préférences</w:t>
      </w:r>
      <w:r w:rsidR="00247E4B">
        <w:rPr>
          <w:lang w:val="fr-FR"/>
        </w:rPr>
        <w:t xml:space="preserve"> de l’organisation</w:t>
      </w:r>
      <w:r>
        <w:rPr>
          <w:lang w:val="fr-FR"/>
        </w:rPr>
        <w:t>, du secteur, du niveau de détail de l’analyse et de la phase de la situation d’urgence</w:t>
      </w:r>
      <w:r w:rsidR="00546825">
        <w:rPr>
          <w:lang w:val="fr-FR"/>
        </w:rPr>
        <w:t>. L</w:t>
      </w:r>
      <w:r w:rsidR="00151CF4" w:rsidRPr="00C44271">
        <w:rPr>
          <w:lang w:val="fr-FR"/>
        </w:rPr>
        <w:t xml:space="preserve">es </w:t>
      </w:r>
      <w:r w:rsidR="006634CB">
        <w:rPr>
          <w:lang w:val="fr-FR"/>
        </w:rPr>
        <w:t>éléments spécifiques lié</w:t>
      </w:r>
      <w:r w:rsidR="00151CF4" w:rsidRPr="00C44271">
        <w:rPr>
          <w:lang w:val="fr-FR"/>
        </w:rPr>
        <w:t>s aux transferts mo</w:t>
      </w:r>
      <w:r w:rsidR="00546825">
        <w:rPr>
          <w:lang w:val="fr-FR"/>
        </w:rPr>
        <w:t>nétaires n’étant en principe</w:t>
      </w:r>
      <w:r>
        <w:rPr>
          <w:lang w:val="fr-FR"/>
        </w:rPr>
        <w:t xml:space="preserve"> pas </w:t>
      </w:r>
      <w:r w:rsidR="00C30AB9">
        <w:rPr>
          <w:lang w:val="fr-FR"/>
        </w:rPr>
        <w:t>pris</w:t>
      </w:r>
      <w:r w:rsidR="00546825">
        <w:rPr>
          <w:lang w:val="fr-FR"/>
        </w:rPr>
        <w:t xml:space="preserve"> en compte, v</w:t>
      </w:r>
      <w:r>
        <w:rPr>
          <w:lang w:val="fr-FR"/>
        </w:rPr>
        <w:t xml:space="preserve">ous devrez </w:t>
      </w:r>
      <w:r w:rsidR="00151CF4" w:rsidRPr="00C44271">
        <w:rPr>
          <w:lang w:val="fr-FR"/>
        </w:rPr>
        <w:t xml:space="preserve">adapter l’outil que vous aurez choisi </w:t>
      </w:r>
      <w:r w:rsidR="00546825">
        <w:rPr>
          <w:lang w:val="fr-FR"/>
        </w:rPr>
        <w:t>en conséquence</w:t>
      </w:r>
      <w:r w:rsidR="00884AB6" w:rsidRPr="00C44271">
        <w:rPr>
          <w:lang w:val="fr-FR"/>
        </w:rPr>
        <w:t xml:space="preserve">. </w:t>
      </w:r>
      <w:r w:rsidR="00151CF4" w:rsidRPr="00C44271">
        <w:rPr>
          <w:lang w:val="fr-FR"/>
        </w:rPr>
        <w:t>Pour ce faire, vous pouvez vous référer aux étapes, étapes</w:t>
      </w:r>
      <w:r w:rsidR="007F3894">
        <w:rPr>
          <w:lang w:val="fr-FR"/>
        </w:rPr>
        <w:t xml:space="preserve"> subsidiaires</w:t>
      </w:r>
      <w:r w:rsidR="00151CF4" w:rsidRPr="00C44271">
        <w:rPr>
          <w:lang w:val="fr-FR"/>
        </w:rPr>
        <w:t xml:space="preserve"> et outils décrits dans le module </w:t>
      </w:r>
      <w:r w:rsidR="00546825">
        <w:rPr>
          <w:lang w:val="fr-FR"/>
        </w:rPr>
        <w:t xml:space="preserve">de la Boîte à outils </w:t>
      </w:r>
      <w:r w:rsidR="00151CF4" w:rsidRPr="00C44271">
        <w:rPr>
          <w:lang w:val="fr-FR"/>
        </w:rPr>
        <w:t xml:space="preserve">consacré à l’évaluation.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646"/>
        <w:gridCol w:w="1106"/>
        <w:gridCol w:w="1595"/>
        <w:gridCol w:w="1706"/>
      </w:tblGrid>
      <w:tr w:rsidR="009427F7" w:rsidRPr="00AB3705" w:rsidTr="00C46C08">
        <w:trPr>
          <w:trHeight w:val="20"/>
        </w:trPr>
        <w:tc>
          <w:tcPr>
            <w:tcW w:w="9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84AB6" w:rsidRPr="00D013A2" w:rsidRDefault="00C44271" w:rsidP="0066261D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  <w:t>Outil</w:t>
            </w:r>
            <w:proofErr w:type="spellEnd"/>
            <w:r w:rsidR="00884AB6" w:rsidRPr="00D013A2"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  <w:t xml:space="preserve"> (</w:t>
            </w:r>
            <w:r w:rsidR="0066261D"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  <w:t>organisation</w:t>
            </w:r>
            <w:r w:rsidR="00884AB6" w:rsidRPr="00D013A2"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  <w:t>)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84AB6" w:rsidRPr="00D013A2" w:rsidRDefault="00884AB6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</w:pPr>
            <w:r w:rsidRPr="00D013A2"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  <w:t>Description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84AB6" w:rsidRPr="00D013A2" w:rsidRDefault="009427F7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en-GB"/>
              </w:rPr>
            </w:pPr>
            <w:r w:rsidRPr="00653F06"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>Durée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84AB6" w:rsidRPr="009E7A9F" w:rsidRDefault="009427F7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</w:pPr>
            <w:r w:rsidRPr="009E7A9F"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>Secteur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84AB6" w:rsidRPr="00C44271" w:rsidRDefault="009E7A9F" w:rsidP="009E7A9F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</w:pPr>
            <w:r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>S</w:t>
            </w:r>
            <w:r w:rsidR="009427F7"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 xml:space="preserve">pécifiquement </w:t>
            </w:r>
            <w:r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>lié aux</w:t>
            </w:r>
            <w:r w:rsidR="00E3678F"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 xml:space="preserve"> transferts monétaires</w:t>
            </w:r>
          </w:p>
        </w:tc>
      </w:tr>
      <w:tr w:rsidR="009427F7" w:rsidRPr="00B65D5C" w:rsidTr="00C46C08">
        <w:trPr>
          <w:trHeight w:val="839"/>
        </w:trPr>
        <w:tc>
          <w:tcPr>
            <w:tcW w:w="991" w:type="pct"/>
            <w:shd w:val="clear" w:color="000000" w:fill="A6A6A6"/>
            <w:vAlign w:val="center"/>
            <w:hideMark/>
          </w:tcPr>
          <w:p w:rsidR="00884AB6" w:rsidRPr="00B65D5C" w:rsidRDefault="00C44271" w:rsidP="00F24E1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Formulaire d’évaluation</w:t>
            </w:r>
            <w:r w:rsidR="00D013A2" w:rsidRPr="00B65D5C">
              <w:rPr>
                <w:rFonts w:eastAsia="Times New Roman" w:cs="Arial"/>
                <w:lang w:val="fr-FR"/>
              </w:rPr>
              <w:br/>
            </w:r>
            <w:r w:rsidR="00884AB6" w:rsidRPr="00B65D5C">
              <w:rPr>
                <w:rFonts w:eastAsia="Times New Roman" w:cs="Arial"/>
                <w:lang w:val="fr-FR"/>
              </w:rPr>
              <w:t>24</w:t>
            </w:r>
            <w:r w:rsidR="00F24E12">
              <w:rPr>
                <w:rFonts w:eastAsia="Times New Roman" w:cs="Arial"/>
                <w:lang w:val="fr-FR"/>
              </w:rPr>
              <w:t> </w:t>
            </w:r>
            <w:r w:rsidRPr="00B65D5C">
              <w:rPr>
                <w:rFonts w:eastAsia="Times New Roman" w:cs="Arial"/>
                <w:lang w:val="fr-FR"/>
              </w:rPr>
              <w:t>heures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(</w:t>
            </w:r>
            <w:r w:rsidRPr="00B65D5C">
              <w:rPr>
                <w:rFonts w:eastAsia="Times New Roman" w:cs="Arial"/>
                <w:lang w:val="fr-FR"/>
              </w:rPr>
              <w:t>Fédération internationale</w:t>
            </w:r>
            <w:r w:rsidR="00884AB6" w:rsidRPr="00B65D5C">
              <w:rPr>
                <w:rFonts w:eastAsia="Times New Roman" w:cs="Arial"/>
                <w:lang w:val="fr-FR"/>
              </w:rPr>
              <w:t>)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:rsidR="00884AB6" w:rsidRPr="00B65D5C" w:rsidRDefault="00BA5B43" w:rsidP="000D799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>
              <w:rPr>
                <w:rFonts w:eastAsia="Times New Roman" w:cs="Arial"/>
                <w:lang w:val="fr-FR"/>
              </w:rPr>
              <w:t>Ce formulaire</w:t>
            </w:r>
            <w:r w:rsidR="00707C2F" w:rsidRPr="00B65D5C">
              <w:rPr>
                <w:rFonts w:eastAsia="Times New Roman" w:cs="Arial"/>
                <w:lang w:val="fr-FR"/>
              </w:rPr>
              <w:t xml:space="preserve"> </w:t>
            </w:r>
            <w:r w:rsidR="007F3894">
              <w:rPr>
                <w:rFonts w:eastAsia="Times New Roman" w:cs="Arial"/>
                <w:lang w:val="fr-FR"/>
              </w:rPr>
              <w:t xml:space="preserve">intersectoriel </w:t>
            </w:r>
            <w:r w:rsidR="00F24E12" w:rsidRPr="00B65D5C">
              <w:rPr>
                <w:rFonts w:eastAsia="Times New Roman" w:cs="Arial"/>
                <w:lang w:val="fr-FR"/>
              </w:rPr>
              <w:t xml:space="preserve">de deux pages </w:t>
            </w:r>
            <w:r w:rsidR="00707C2F" w:rsidRPr="00B65D5C">
              <w:rPr>
                <w:rFonts w:eastAsia="Times New Roman" w:cs="Arial"/>
                <w:lang w:val="fr-FR"/>
              </w:rPr>
              <w:t xml:space="preserve">peut être utilisé par des employés non spécialisés. </w:t>
            </w:r>
            <w:r w:rsidR="00AB3705">
              <w:rPr>
                <w:rFonts w:eastAsia="Times New Roman" w:cs="Arial"/>
                <w:lang w:val="fr-FR"/>
              </w:rPr>
              <w:t xml:space="preserve">L’accent </w:t>
            </w:r>
            <w:r w:rsidR="00707C2F" w:rsidRPr="009E7A9F">
              <w:rPr>
                <w:rFonts w:eastAsia="Times New Roman" w:cs="Arial"/>
                <w:lang w:val="fr-FR"/>
              </w:rPr>
              <w:t xml:space="preserve">est mis sur les besoins </w:t>
            </w:r>
            <w:r w:rsidR="009427F7" w:rsidRPr="009E7A9F">
              <w:rPr>
                <w:rFonts w:eastAsia="Times New Roman" w:cs="Arial"/>
                <w:lang w:val="fr-FR"/>
              </w:rPr>
              <w:t xml:space="preserve">auxquels </w:t>
            </w:r>
            <w:r w:rsidR="00B15A4C">
              <w:rPr>
                <w:rFonts w:eastAsia="Times New Roman" w:cs="Arial"/>
                <w:lang w:val="fr-FR"/>
              </w:rPr>
              <w:t xml:space="preserve">l’aide de première </w:t>
            </w:r>
            <w:r w:rsidR="000D7992">
              <w:rPr>
                <w:rFonts w:eastAsia="Times New Roman" w:cs="Arial"/>
                <w:lang w:val="fr-FR"/>
              </w:rPr>
              <w:t>urgence doi</w:t>
            </w:r>
            <w:r w:rsidR="009427F7" w:rsidRPr="009E7A9F">
              <w:rPr>
                <w:rFonts w:eastAsia="Times New Roman" w:cs="Arial"/>
                <w:lang w:val="fr-FR"/>
              </w:rPr>
              <w:t>t répondre</w:t>
            </w:r>
            <w:r w:rsidR="00707C2F" w:rsidRPr="009E7A9F">
              <w:rPr>
                <w:rFonts w:eastAsia="Times New Roman" w:cs="Arial"/>
                <w:lang w:val="fr-FR"/>
              </w:rPr>
              <w:t>.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</w:p>
        </w:tc>
        <w:tc>
          <w:tcPr>
            <w:tcW w:w="661" w:type="pct"/>
            <w:shd w:val="clear" w:color="auto" w:fill="E6E6E6"/>
          </w:tcPr>
          <w:p w:rsidR="00884AB6" w:rsidRPr="00B65D5C" w:rsidRDefault="00B65D5C" w:rsidP="0061102D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Rapide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– </w:t>
            </w:r>
            <w:r w:rsidR="00180E43" w:rsidRPr="00B65D5C">
              <w:rPr>
                <w:rFonts w:eastAsia="Times New Roman" w:cs="Arial"/>
                <w:lang w:val="fr-FR"/>
              </w:rPr>
              <w:br/>
            </w:r>
            <w:r w:rsidR="009427F7">
              <w:rPr>
                <w:rFonts w:eastAsia="Times New Roman" w:cs="Arial"/>
                <w:lang w:val="fr-FR"/>
              </w:rPr>
              <w:t>24 </w:t>
            </w:r>
            <w:r w:rsidR="0061102D" w:rsidRPr="00B65D5C">
              <w:rPr>
                <w:rFonts w:eastAsia="Times New Roman" w:cs="Arial"/>
                <w:lang w:val="fr-FR"/>
              </w:rPr>
              <w:t>heures</w:t>
            </w:r>
          </w:p>
        </w:tc>
        <w:tc>
          <w:tcPr>
            <w:tcW w:w="754" w:type="pct"/>
            <w:shd w:val="clear" w:color="auto" w:fill="E6E6E6"/>
          </w:tcPr>
          <w:p w:rsidR="00884AB6" w:rsidRPr="00B65D5C" w:rsidRDefault="00707C2F" w:rsidP="00136A67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Multisectoriel</w:t>
            </w:r>
          </w:p>
        </w:tc>
        <w:tc>
          <w:tcPr>
            <w:tcW w:w="517" w:type="pct"/>
            <w:shd w:val="clear" w:color="auto" w:fill="F3F3F3"/>
          </w:tcPr>
          <w:p w:rsidR="00884AB6" w:rsidRPr="00B65D5C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No</w:t>
            </w:r>
            <w:r w:rsidR="0061102D" w:rsidRPr="00B65D5C">
              <w:rPr>
                <w:rFonts w:eastAsia="Times New Roman" w:cs="Arial"/>
                <w:lang w:val="fr-FR"/>
              </w:rPr>
              <w:t>n</w:t>
            </w:r>
          </w:p>
        </w:tc>
      </w:tr>
      <w:tr w:rsidR="009427F7" w:rsidRPr="00B65D5C" w:rsidTr="00C46C08">
        <w:trPr>
          <w:trHeight w:val="1262"/>
        </w:trPr>
        <w:tc>
          <w:tcPr>
            <w:tcW w:w="991" w:type="pct"/>
            <w:shd w:val="clear" w:color="000000" w:fill="A6A6A6"/>
            <w:vAlign w:val="center"/>
            <w:hideMark/>
          </w:tcPr>
          <w:p w:rsidR="00884AB6" w:rsidRPr="00B65D5C" w:rsidRDefault="00C44271" w:rsidP="00C44271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Outil de l’Oxfam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="00D013A2" w:rsidRPr="00B65D5C">
              <w:rPr>
                <w:rFonts w:eastAsia="Times New Roman" w:cs="Arial"/>
                <w:lang w:val="fr-FR"/>
              </w:rPr>
              <w:br/>
            </w:r>
            <w:r w:rsidR="00884AB6" w:rsidRPr="00B65D5C">
              <w:rPr>
                <w:rFonts w:eastAsia="Times New Roman" w:cs="Arial"/>
                <w:lang w:val="fr-FR"/>
              </w:rPr>
              <w:t>48</w:t>
            </w:r>
            <w:r w:rsidR="00F24E12">
              <w:rPr>
                <w:rFonts w:eastAsia="Times New Roman" w:cs="Arial"/>
                <w:lang w:val="fr-FR"/>
              </w:rPr>
              <w:t> </w:t>
            </w:r>
            <w:r w:rsidRPr="00B65D5C">
              <w:rPr>
                <w:rFonts w:eastAsia="Times New Roman" w:cs="Arial"/>
                <w:lang w:val="fr-FR"/>
              </w:rPr>
              <w:t>heures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(O</w:t>
            </w:r>
            <w:r w:rsidRPr="00B65D5C">
              <w:rPr>
                <w:rFonts w:eastAsia="Times New Roman" w:cs="Arial"/>
                <w:lang w:val="fr-FR"/>
              </w:rPr>
              <w:t>xfam Grande-Bretagne)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:rsidR="00884AB6" w:rsidRPr="00B65D5C" w:rsidRDefault="00707C2F" w:rsidP="000D799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 xml:space="preserve">Cet outil </w:t>
            </w:r>
            <w:r w:rsidR="00F24E12">
              <w:rPr>
                <w:rFonts w:eastAsia="Times New Roman" w:cs="Arial"/>
                <w:lang w:val="fr-FR"/>
              </w:rPr>
              <w:t>d’évaluation</w:t>
            </w:r>
            <w:r w:rsidR="009427F7">
              <w:rPr>
                <w:rFonts w:eastAsia="Times New Roman" w:cs="Arial"/>
                <w:lang w:val="fr-FR"/>
              </w:rPr>
              <w:t xml:space="preserve"> et </w:t>
            </w:r>
            <w:r w:rsidR="00395467">
              <w:rPr>
                <w:rFonts w:eastAsia="Times New Roman" w:cs="Arial"/>
                <w:lang w:val="fr-FR"/>
              </w:rPr>
              <w:t>d’analyse</w:t>
            </w:r>
            <w:r w:rsidRPr="00B65D5C">
              <w:rPr>
                <w:rFonts w:eastAsia="Times New Roman" w:cs="Arial"/>
                <w:lang w:val="fr-FR"/>
              </w:rPr>
              <w:t xml:space="preserve"> rapide</w:t>
            </w:r>
            <w:r w:rsidR="009E7A9F">
              <w:rPr>
                <w:rFonts w:eastAsia="Times New Roman" w:cs="Arial"/>
                <w:lang w:val="fr-FR"/>
              </w:rPr>
              <w:t>s</w:t>
            </w:r>
            <w:r w:rsidRPr="00B65D5C">
              <w:rPr>
                <w:rFonts w:eastAsia="Times New Roman" w:cs="Arial"/>
                <w:lang w:val="fr-FR"/>
              </w:rPr>
              <w:t xml:space="preserve"> peut être utilisé par des employés non spécialisés. Il comprend des conseils techniques, un arbre de décision et un modèle de compte rendu. L’outil est </w:t>
            </w:r>
            <w:r w:rsidR="00395467">
              <w:rPr>
                <w:rFonts w:eastAsia="Times New Roman" w:cs="Arial"/>
                <w:lang w:val="fr-FR"/>
              </w:rPr>
              <w:t>surtout</w:t>
            </w:r>
            <w:r w:rsidRPr="00B65D5C">
              <w:rPr>
                <w:rFonts w:eastAsia="Times New Roman" w:cs="Arial"/>
                <w:lang w:val="fr-FR"/>
              </w:rPr>
              <w:t xml:space="preserve"> axé sur la sécurité alimentaire et les moyens de subsistance,</w:t>
            </w:r>
            <w:r w:rsidR="000D7992">
              <w:rPr>
                <w:rFonts w:eastAsia="Times New Roman" w:cs="Arial"/>
                <w:lang w:val="fr-FR"/>
              </w:rPr>
              <w:t xml:space="preserve"> et</w:t>
            </w:r>
            <w:r w:rsidRPr="00B65D5C">
              <w:rPr>
                <w:rFonts w:eastAsia="Times New Roman" w:cs="Arial"/>
                <w:lang w:val="fr-FR"/>
              </w:rPr>
              <w:t xml:space="preserve"> ne compren</w:t>
            </w:r>
            <w:r w:rsidR="000D7992">
              <w:rPr>
                <w:rFonts w:eastAsia="Times New Roman" w:cs="Arial"/>
                <w:lang w:val="fr-FR"/>
              </w:rPr>
              <w:t>d</w:t>
            </w:r>
            <w:r w:rsidRPr="00B65D5C">
              <w:rPr>
                <w:rFonts w:eastAsia="Times New Roman" w:cs="Arial"/>
                <w:lang w:val="fr-FR"/>
              </w:rPr>
              <w:t xml:space="preserve"> que quelques questions sur la santé, l’eau et l’assainissement. </w:t>
            </w:r>
          </w:p>
        </w:tc>
        <w:tc>
          <w:tcPr>
            <w:tcW w:w="661" w:type="pct"/>
            <w:shd w:val="clear" w:color="auto" w:fill="E6E6E6"/>
          </w:tcPr>
          <w:p w:rsidR="00884AB6" w:rsidRPr="00B65D5C" w:rsidRDefault="00B65D5C" w:rsidP="00E04D67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Rapide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– </w:t>
            </w:r>
            <w:r w:rsidR="00180E43" w:rsidRPr="00B65D5C">
              <w:rPr>
                <w:rFonts w:eastAsia="Times New Roman" w:cs="Arial"/>
                <w:lang w:val="fr-FR"/>
              </w:rPr>
              <w:br/>
            </w:r>
            <w:r w:rsidR="009427F7">
              <w:rPr>
                <w:rFonts w:eastAsia="Times New Roman" w:cs="Arial"/>
                <w:lang w:val="fr-FR"/>
              </w:rPr>
              <w:t>48 </w:t>
            </w:r>
            <w:r w:rsidR="00E04D67" w:rsidRPr="00B65D5C">
              <w:rPr>
                <w:rFonts w:eastAsia="Times New Roman" w:cs="Arial"/>
                <w:lang w:val="fr-FR"/>
              </w:rPr>
              <w:t>heures</w:t>
            </w:r>
          </w:p>
        </w:tc>
        <w:tc>
          <w:tcPr>
            <w:tcW w:w="754" w:type="pct"/>
            <w:shd w:val="clear" w:color="auto" w:fill="E6E6E6"/>
          </w:tcPr>
          <w:p w:rsidR="00884AB6" w:rsidRPr="00B65D5C" w:rsidRDefault="00136A67" w:rsidP="009427F7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Sécurité alimentaire, moyens de subsistance, santé, eau et assainissement</w:t>
            </w:r>
          </w:p>
        </w:tc>
        <w:tc>
          <w:tcPr>
            <w:tcW w:w="517" w:type="pct"/>
            <w:shd w:val="clear" w:color="auto" w:fill="F3F3F3"/>
          </w:tcPr>
          <w:p w:rsidR="00884AB6" w:rsidRPr="00B65D5C" w:rsidRDefault="0061102D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Oui</w:t>
            </w:r>
          </w:p>
        </w:tc>
      </w:tr>
      <w:tr w:rsidR="009427F7" w:rsidRPr="00B65D5C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:rsidR="00884AB6" w:rsidRPr="00B65D5C" w:rsidRDefault="00C44271" w:rsidP="00C44271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Formulaire d’évaluation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="00D013A2" w:rsidRPr="00B65D5C">
              <w:rPr>
                <w:rFonts w:eastAsia="Times New Roman" w:cs="Arial"/>
                <w:lang w:val="fr-FR"/>
              </w:rPr>
              <w:br/>
            </w:r>
            <w:r w:rsidR="00F24E12">
              <w:rPr>
                <w:rFonts w:eastAsia="Times New Roman" w:cs="Arial"/>
                <w:lang w:val="fr-FR"/>
              </w:rPr>
              <w:t>72 </w:t>
            </w:r>
            <w:r w:rsidRPr="00B65D5C">
              <w:rPr>
                <w:rFonts w:eastAsia="Times New Roman" w:cs="Arial"/>
                <w:lang w:val="fr-FR"/>
              </w:rPr>
              <w:t>heures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(</w:t>
            </w:r>
            <w:r w:rsidRPr="00B65D5C">
              <w:rPr>
                <w:rFonts w:eastAsia="Times New Roman" w:cs="Arial"/>
                <w:lang w:val="fr-FR"/>
              </w:rPr>
              <w:t>Fédération internationale</w:t>
            </w:r>
            <w:r w:rsidR="00884AB6" w:rsidRPr="00B65D5C">
              <w:rPr>
                <w:rFonts w:eastAsia="Times New Roman" w:cs="Arial"/>
                <w:lang w:val="fr-FR"/>
              </w:rPr>
              <w:t>)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:rsidR="00884AB6" w:rsidRPr="00B65D5C" w:rsidRDefault="00136A67" w:rsidP="00996060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Ce</w:t>
            </w:r>
            <w:r w:rsidR="00395467">
              <w:rPr>
                <w:rFonts w:eastAsia="Times New Roman" w:cs="Arial"/>
                <w:lang w:val="fr-FR"/>
              </w:rPr>
              <w:t xml:space="preserve"> formulaire</w:t>
            </w:r>
            <w:r w:rsidRPr="00B65D5C">
              <w:rPr>
                <w:rFonts w:eastAsia="Times New Roman" w:cs="Arial"/>
                <w:lang w:val="fr-FR"/>
              </w:rPr>
              <w:t xml:space="preserve"> d’évaluation </w:t>
            </w:r>
            <w:r w:rsidR="00395467">
              <w:rPr>
                <w:rFonts w:eastAsia="Times New Roman" w:cs="Arial"/>
                <w:lang w:val="fr-FR"/>
              </w:rPr>
              <w:t xml:space="preserve">rapide et intersectorielle </w:t>
            </w:r>
            <w:r w:rsidRPr="00B65D5C">
              <w:rPr>
                <w:rFonts w:eastAsia="Times New Roman" w:cs="Arial"/>
                <w:lang w:val="fr-FR"/>
              </w:rPr>
              <w:t xml:space="preserve">de quatre pages </w:t>
            </w:r>
            <w:r w:rsidR="009E7A9F">
              <w:rPr>
                <w:rFonts w:eastAsia="Times New Roman" w:cs="Arial"/>
                <w:lang w:val="fr-FR"/>
              </w:rPr>
              <w:t>est plus détaillé</w:t>
            </w:r>
            <w:r w:rsidR="00395467">
              <w:rPr>
                <w:rFonts w:eastAsia="Times New Roman" w:cs="Arial"/>
                <w:lang w:val="fr-FR"/>
              </w:rPr>
              <w:t xml:space="preserve"> que le formulaire </w:t>
            </w:r>
            <w:r w:rsidR="009E7A9F">
              <w:rPr>
                <w:rFonts w:eastAsia="Times New Roman" w:cs="Arial"/>
                <w:lang w:val="fr-FR"/>
              </w:rPr>
              <w:t>« </w:t>
            </w:r>
            <w:r w:rsidR="00395467">
              <w:rPr>
                <w:rFonts w:eastAsia="Times New Roman" w:cs="Arial"/>
                <w:lang w:val="fr-FR"/>
              </w:rPr>
              <w:t>24 </w:t>
            </w:r>
            <w:r w:rsidRPr="00B65D5C">
              <w:rPr>
                <w:rFonts w:eastAsia="Times New Roman" w:cs="Arial"/>
                <w:lang w:val="fr-FR"/>
              </w:rPr>
              <w:t>heures</w:t>
            </w:r>
            <w:r w:rsidR="009E7A9F">
              <w:rPr>
                <w:rFonts w:eastAsia="Times New Roman" w:cs="Arial"/>
                <w:lang w:val="fr-FR"/>
              </w:rPr>
              <w:t> »</w:t>
            </w:r>
            <w:r w:rsidR="00AB3705">
              <w:rPr>
                <w:rFonts w:eastAsia="Times New Roman" w:cs="Arial"/>
                <w:lang w:val="fr-FR"/>
              </w:rPr>
              <w:t xml:space="preserve">. L’accent </w:t>
            </w:r>
            <w:r w:rsidRPr="00B65D5C">
              <w:rPr>
                <w:rFonts w:eastAsia="Times New Roman" w:cs="Arial"/>
                <w:lang w:val="fr-FR"/>
              </w:rPr>
              <w:t xml:space="preserve">est mis sur </w:t>
            </w:r>
            <w:r w:rsidR="000D7992">
              <w:rPr>
                <w:rFonts w:eastAsia="Times New Roman" w:cs="Arial"/>
                <w:lang w:val="fr-FR"/>
              </w:rPr>
              <w:t>la compréhension plus approfondie du</w:t>
            </w:r>
            <w:r w:rsidRPr="00B65D5C">
              <w:rPr>
                <w:rFonts w:eastAsia="Times New Roman" w:cs="Arial"/>
                <w:lang w:val="fr-FR"/>
              </w:rPr>
              <w:t xml:space="preserve"> contexte de la région touché</w:t>
            </w:r>
            <w:r w:rsidR="00395467">
              <w:rPr>
                <w:rFonts w:eastAsia="Times New Roman" w:cs="Arial"/>
                <w:lang w:val="fr-FR"/>
              </w:rPr>
              <w:t>e par le choc</w:t>
            </w:r>
            <w:r w:rsidRPr="00B65D5C">
              <w:rPr>
                <w:rFonts w:eastAsia="Times New Roman" w:cs="Arial"/>
                <w:lang w:val="fr-FR"/>
              </w:rPr>
              <w:t xml:space="preserve"> et sur l’identification des besoins </w:t>
            </w:r>
            <w:r w:rsidR="00395467">
              <w:rPr>
                <w:rFonts w:eastAsia="Times New Roman" w:cs="Arial"/>
                <w:lang w:val="fr-FR"/>
              </w:rPr>
              <w:t xml:space="preserve">auxquels </w:t>
            </w:r>
            <w:r w:rsidR="00996060" w:rsidRPr="00996060">
              <w:rPr>
                <w:rFonts w:eastAsia="Times New Roman" w:cs="Arial"/>
                <w:lang w:val="fr-FR"/>
              </w:rPr>
              <w:t>l’aide de première urgence doit répondre</w:t>
            </w:r>
            <w:r w:rsidRPr="00B65D5C">
              <w:rPr>
                <w:rFonts w:eastAsia="Times New Roman" w:cs="Arial"/>
                <w:lang w:val="fr-FR"/>
              </w:rPr>
              <w:t xml:space="preserve">. </w:t>
            </w:r>
          </w:p>
        </w:tc>
        <w:tc>
          <w:tcPr>
            <w:tcW w:w="661" w:type="pct"/>
            <w:shd w:val="clear" w:color="auto" w:fill="E6E6E6"/>
          </w:tcPr>
          <w:p w:rsidR="00884AB6" w:rsidRPr="00B65D5C" w:rsidRDefault="00B65D5C" w:rsidP="009427F7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Rapide</w:t>
            </w:r>
            <w:r w:rsidR="00E04D67" w:rsidRPr="00B65D5C">
              <w:rPr>
                <w:rFonts w:eastAsia="Times New Roman" w:cs="Arial"/>
                <w:lang w:val="fr-FR"/>
              </w:rPr>
              <w:t xml:space="preserve"> </w:t>
            </w:r>
            <w:r w:rsidR="00884AB6" w:rsidRPr="00B65D5C">
              <w:rPr>
                <w:rFonts w:eastAsia="Times New Roman" w:cs="Arial"/>
                <w:lang w:val="fr-FR"/>
              </w:rPr>
              <w:t xml:space="preserve">– </w:t>
            </w:r>
            <w:r w:rsidR="00180E43" w:rsidRPr="00B65D5C">
              <w:rPr>
                <w:rFonts w:eastAsia="Times New Roman" w:cs="Arial"/>
                <w:lang w:val="fr-FR"/>
              </w:rPr>
              <w:br/>
            </w:r>
            <w:r w:rsidR="00884AB6" w:rsidRPr="00B65D5C">
              <w:rPr>
                <w:rFonts w:eastAsia="Times New Roman" w:cs="Arial"/>
                <w:lang w:val="fr-FR"/>
              </w:rPr>
              <w:t>72</w:t>
            </w:r>
            <w:r w:rsidR="009427F7">
              <w:rPr>
                <w:rFonts w:eastAsia="Times New Roman" w:cs="Arial"/>
                <w:lang w:val="fr-FR"/>
              </w:rPr>
              <w:t> </w:t>
            </w:r>
            <w:r w:rsidR="00E04D67" w:rsidRPr="00B65D5C">
              <w:rPr>
                <w:rFonts w:eastAsia="Times New Roman" w:cs="Arial"/>
                <w:lang w:val="fr-FR"/>
              </w:rPr>
              <w:t>heures</w:t>
            </w:r>
          </w:p>
        </w:tc>
        <w:tc>
          <w:tcPr>
            <w:tcW w:w="754" w:type="pct"/>
            <w:shd w:val="clear" w:color="auto" w:fill="E6E6E6"/>
          </w:tcPr>
          <w:p w:rsidR="00884AB6" w:rsidRPr="00B65D5C" w:rsidRDefault="00136A67" w:rsidP="00D013A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Multisectoriel</w:t>
            </w:r>
          </w:p>
        </w:tc>
        <w:tc>
          <w:tcPr>
            <w:tcW w:w="517" w:type="pct"/>
            <w:shd w:val="clear" w:color="auto" w:fill="F3F3F3"/>
          </w:tcPr>
          <w:p w:rsidR="00884AB6" w:rsidRPr="00B65D5C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No</w:t>
            </w:r>
            <w:r w:rsidR="0061102D" w:rsidRPr="00B65D5C">
              <w:rPr>
                <w:rFonts w:eastAsia="Times New Roman" w:cs="Arial"/>
                <w:lang w:val="fr-FR"/>
              </w:rPr>
              <w:t>n</w:t>
            </w:r>
          </w:p>
        </w:tc>
      </w:tr>
      <w:tr w:rsidR="009427F7" w:rsidRPr="00B65D5C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:rsidR="00884AB6" w:rsidRPr="00B65D5C" w:rsidRDefault="00C44271" w:rsidP="00C44271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Outil d’évaluation rapide de la Fédération internationale au Népal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:rsidR="00884AB6" w:rsidRPr="00B65D5C" w:rsidRDefault="00136A67" w:rsidP="002E65F8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Cet outil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Pr="00B65D5C">
              <w:rPr>
                <w:rFonts w:eastAsia="Times New Roman" w:cs="Arial"/>
                <w:lang w:val="fr-FR"/>
              </w:rPr>
              <w:t>d’</w:t>
            </w:r>
            <w:r w:rsidR="00884AB6" w:rsidRPr="00B65D5C">
              <w:rPr>
                <w:rFonts w:eastAsia="Times New Roman" w:cs="Arial"/>
                <w:lang w:val="fr-FR"/>
              </w:rPr>
              <w:t xml:space="preserve">observation </w:t>
            </w:r>
            <w:r w:rsidRPr="00B65D5C">
              <w:rPr>
                <w:rFonts w:eastAsia="Times New Roman" w:cs="Arial"/>
                <w:lang w:val="fr-FR"/>
              </w:rPr>
              <w:t>peut être utilisé</w:t>
            </w:r>
            <w:r w:rsidR="005F1FB8" w:rsidRPr="00B65D5C">
              <w:rPr>
                <w:rFonts w:eastAsia="Times New Roman" w:cs="Arial"/>
                <w:lang w:val="fr-FR"/>
              </w:rPr>
              <w:t xml:space="preserve"> pour </w:t>
            </w:r>
            <w:r w:rsidR="00280622">
              <w:rPr>
                <w:rFonts w:eastAsia="Times New Roman" w:cs="Arial"/>
                <w:lang w:val="fr-FR"/>
              </w:rPr>
              <w:t xml:space="preserve">réaliser </w:t>
            </w:r>
            <w:r w:rsidR="005F1FB8" w:rsidRPr="00B65D5C">
              <w:rPr>
                <w:rFonts w:eastAsia="Times New Roman" w:cs="Arial"/>
                <w:lang w:val="fr-FR"/>
              </w:rPr>
              <w:t>une analyse subjective</w:t>
            </w:r>
            <w:r w:rsidRPr="00B65D5C">
              <w:rPr>
                <w:rFonts w:eastAsia="Times New Roman" w:cs="Arial"/>
                <w:lang w:val="fr-FR"/>
              </w:rPr>
              <w:t xml:space="preserve"> durant les visites de terrain</w:t>
            </w:r>
            <w:r w:rsidR="005F1FB8" w:rsidRPr="00B65D5C">
              <w:rPr>
                <w:rFonts w:eastAsia="Times New Roman" w:cs="Arial"/>
                <w:lang w:val="fr-FR"/>
              </w:rPr>
              <w:t xml:space="preserve">. Trois questions </w:t>
            </w:r>
            <w:r w:rsidR="00395467">
              <w:rPr>
                <w:rFonts w:eastAsia="Times New Roman" w:cs="Arial"/>
                <w:lang w:val="fr-FR"/>
              </w:rPr>
              <w:t xml:space="preserve">liées </w:t>
            </w:r>
            <w:r w:rsidR="002E65F8">
              <w:rPr>
                <w:rFonts w:eastAsia="Times New Roman" w:cs="Arial"/>
                <w:lang w:val="fr-FR"/>
              </w:rPr>
              <w:t>aux transferts monétaires</w:t>
            </w:r>
            <w:r w:rsidR="00F30AE0">
              <w:rPr>
                <w:rFonts w:eastAsia="Times New Roman" w:cs="Arial"/>
                <w:lang w:val="fr-FR"/>
              </w:rPr>
              <w:t xml:space="preserve"> </w:t>
            </w:r>
            <w:r w:rsidR="009A4DD1">
              <w:rPr>
                <w:rFonts w:eastAsia="Times New Roman" w:cs="Arial"/>
                <w:lang w:val="fr-FR"/>
              </w:rPr>
              <w:t xml:space="preserve">et </w:t>
            </w:r>
            <w:r w:rsidR="00F30AE0">
              <w:rPr>
                <w:rFonts w:eastAsia="Times New Roman" w:cs="Arial"/>
                <w:lang w:val="fr-FR"/>
              </w:rPr>
              <w:t xml:space="preserve">s’adressant à des non-spécialistes </w:t>
            </w:r>
            <w:r w:rsidR="005F1FB8" w:rsidRPr="00B65D5C">
              <w:rPr>
                <w:rFonts w:eastAsia="Times New Roman" w:cs="Arial"/>
                <w:lang w:val="fr-FR"/>
              </w:rPr>
              <w:t xml:space="preserve">y sont incluses. Elles </w:t>
            </w:r>
            <w:r w:rsidR="00395467">
              <w:rPr>
                <w:rFonts w:eastAsia="Times New Roman" w:cs="Arial"/>
                <w:lang w:val="fr-FR"/>
              </w:rPr>
              <w:t>portent sur</w:t>
            </w:r>
            <w:r w:rsidR="005F1FB8" w:rsidRPr="00B65D5C">
              <w:rPr>
                <w:rFonts w:eastAsia="Times New Roman" w:cs="Arial"/>
                <w:lang w:val="fr-FR"/>
              </w:rPr>
              <w:t xml:space="preserve"> les produits de base, les marc</w:t>
            </w:r>
            <w:r w:rsidR="00256714" w:rsidRPr="00B65D5C">
              <w:rPr>
                <w:rFonts w:eastAsia="Times New Roman" w:cs="Arial"/>
                <w:lang w:val="fr-FR"/>
              </w:rPr>
              <w:t>hés financiers et le marché du travail.</w:t>
            </w:r>
          </w:p>
        </w:tc>
        <w:tc>
          <w:tcPr>
            <w:tcW w:w="661" w:type="pct"/>
            <w:shd w:val="clear" w:color="auto" w:fill="E6E6E6"/>
          </w:tcPr>
          <w:p w:rsidR="00884AB6" w:rsidRPr="00B65D5C" w:rsidRDefault="00B65D5C" w:rsidP="00E04D67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Rapide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– </w:t>
            </w:r>
            <w:r w:rsidR="00180E43" w:rsidRPr="00B65D5C">
              <w:rPr>
                <w:rFonts w:eastAsia="Times New Roman" w:cs="Arial"/>
                <w:lang w:val="fr-FR"/>
              </w:rPr>
              <w:br/>
            </w:r>
            <w:r w:rsidR="009427F7">
              <w:rPr>
                <w:rFonts w:eastAsia="Times New Roman" w:cs="Arial"/>
                <w:lang w:val="fr-FR"/>
              </w:rPr>
              <w:t>24 </w:t>
            </w:r>
            <w:r w:rsidR="00E04D67" w:rsidRPr="00B65D5C">
              <w:rPr>
                <w:rFonts w:eastAsia="Times New Roman" w:cs="Arial"/>
                <w:lang w:val="fr-FR"/>
              </w:rPr>
              <w:t>heures</w:t>
            </w:r>
          </w:p>
        </w:tc>
        <w:tc>
          <w:tcPr>
            <w:tcW w:w="754" w:type="pct"/>
            <w:shd w:val="clear" w:color="auto" w:fill="E6E6E6"/>
          </w:tcPr>
          <w:p w:rsidR="00884AB6" w:rsidRPr="00B65D5C" w:rsidRDefault="00BB3EF1" w:rsidP="002E65F8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Multisectoriel</w:t>
            </w:r>
            <w:r w:rsidR="00884AB6" w:rsidRPr="00B65D5C">
              <w:rPr>
                <w:rFonts w:eastAsia="Times New Roman" w:cs="Arial"/>
                <w:lang w:val="fr-FR"/>
              </w:rPr>
              <w:t xml:space="preserve">, </w:t>
            </w:r>
            <w:r w:rsidRPr="00B65D5C">
              <w:rPr>
                <w:rFonts w:eastAsia="Times New Roman" w:cs="Arial"/>
                <w:lang w:val="fr-FR"/>
              </w:rPr>
              <w:t xml:space="preserve">comprend </w:t>
            </w:r>
            <w:r w:rsidR="009A4DD1">
              <w:rPr>
                <w:rFonts w:eastAsia="Times New Roman" w:cs="Arial"/>
                <w:lang w:val="fr-FR"/>
              </w:rPr>
              <w:t xml:space="preserve">une partie sur </w:t>
            </w:r>
            <w:r w:rsidR="002E65F8">
              <w:rPr>
                <w:rFonts w:eastAsia="Times New Roman" w:cs="Arial"/>
                <w:lang w:val="fr-FR"/>
              </w:rPr>
              <w:t>les transferts monétaires</w:t>
            </w:r>
          </w:p>
        </w:tc>
        <w:tc>
          <w:tcPr>
            <w:tcW w:w="517" w:type="pct"/>
            <w:shd w:val="clear" w:color="auto" w:fill="F3F3F3"/>
          </w:tcPr>
          <w:p w:rsidR="00884AB6" w:rsidRPr="00B65D5C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No</w:t>
            </w:r>
            <w:r w:rsidR="0061102D" w:rsidRPr="00B65D5C">
              <w:rPr>
                <w:rFonts w:eastAsia="Times New Roman" w:cs="Arial"/>
                <w:lang w:val="fr-FR"/>
              </w:rPr>
              <w:t>n</w:t>
            </w:r>
          </w:p>
        </w:tc>
      </w:tr>
      <w:tr w:rsidR="009427F7" w:rsidRPr="00B65D5C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:rsidR="00884AB6" w:rsidRPr="00B65D5C" w:rsidRDefault="00C44271" w:rsidP="0061102D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 xml:space="preserve">Formulaire d’évaluation rapide </w:t>
            </w:r>
            <w:proofErr w:type="spellStart"/>
            <w:r w:rsidR="0061102D" w:rsidRPr="00B65D5C">
              <w:rPr>
                <w:rFonts w:eastAsia="Times New Roman" w:cs="Arial"/>
                <w:lang w:val="fr-FR"/>
              </w:rPr>
              <w:t>interorganisations</w:t>
            </w:r>
            <w:proofErr w:type="spellEnd"/>
            <w:r w:rsidR="0061102D" w:rsidRPr="00B65D5C">
              <w:rPr>
                <w:rFonts w:eastAsia="Times New Roman" w:cs="Arial"/>
                <w:lang w:val="fr-FR"/>
              </w:rPr>
              <w:t xml:space="preserve"> en matière d’hébergement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="00256714" w:rsidRPr="00B65D5C">
              <w:rPr>
                <w:rFonts w:eastAsia="Times New Roman" w:cs="Arial"/>
                <w:lang w:val="fr-FR"/>
              </w:rPr>
              <w:t xml:space="preserve">d’urgence </w:t>
            </w:r>
            <w:r w:rsidR="00884AB6" w:rsidRPr="00B65D5C">
              <w:rPr>
                <w:rFonts w:eastAsia="Times New Roman" w:cs="Arial"/>
                <w:lang w:val="fr-FR"/>
              </w:rPr>
              <w:t xml:space="preserve">(Philippines) 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:rsidR="00884AB6" w:rsidRPr="00B65D5C" w:rsidRDefault="00256714" w:rsidP="00BC49E7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Ce formulaire</w:t>
            </w:r>
            <w:r w:rsidR="00BC49E7">
              <w:rPr>
                <w:rFonts w:eastAsia="Times New Roman" w:cs="Arial"/>
                <w:lang w:val="fr-FR"/>
              </w:rPr>
              <w:t xml:space="preserve"> prévu</w:t>
            </w:r>
            <w:r w:rsidRPr="00B65D5C">
              <w:rPr>
                <w:rFonts w:eastAsia="Times New Roman" w:cs="Arial"/>
                <w:lang w:val="fr-FR"/>
              </w:rPr>
              <w:t xml:space="preserve"> pour les discussions thématiques de groupe et les évaluations a été utilisé après le passage du typhon </w:t>
            </w:r>
            <w:proofErr w:type="spellStart"/>
            <w:r w:rsidRPr="00B65D5C">
              <w:rPr>
                <w:rFonts w:eastAsia="Times New Roman" w:cs="Arial"/>
                <w:lang w:val="fr-FR"/>
              </w:rPr>
              <w:t>Hai</w:t>
            </w:r>
            <w:r w:rsidR="00BC49E7">
              <w:rPr>
                <w:rFonts w:eastAsia="Times New Roman" w:cs="Arial"/>
                <w:lang w:val="fr-FR"/>
              </w:rPr>
              <w:t>yan</w:t>
            </w:r>
            <w:proofErr w:type="spellEnd"/>
            <w:r w:rsidR="00BC49E7">
              <w:rPr>
                <w:rFonts w:eastAsia="Times New Roman" w:cs="Arial"/>
                <w:lang w:val="fr-FR"/>
              </w:rPr>
              <w:t xml:space="preserve"> pour mener des </w:t>
            </w:r>
            <w:r w:rsidRPr="00B65D5C">
              <w:rPr>
                <w:rFonts w:eastAsia="Times New Roman" w:cs="Arial"/>
                <w:lang w:val="fr-FR"/>
              </w:rPr>
              <w:t xml:space="preserve">évaluations </w:t>
            </w:r>
            <w:proofErr w:type="spellStart"/>
            <w:r w:rsidRPr="00B65D5C">
              <w:rPr>
                <w:rFonts w:eastAsia="Times New Roman" w:cs="Arial"/>
                <w:lang w:val="fr-FR"/>
              </w:rPr>
              <w:t>interorganisations</w:t>
            </w:r>
            <w:proofErr w:type="spellEnd"/>
            <w:r w:rsidRPr="00B65D5C">
              <w:rPr>
                <w:rFonts w:eastAsia="Times New Roman" w:cs="Arial"/>
                <w:lang w:val="fr-FR"/>
              </w:rPr>
              <w:t>.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="00BC49E7">
              <w:rPr>
                <w:rFonts w:eastAsia="Times New Roman" w:cs="Arial"/>
                <w:lang w:val="fr-FR"/>
              </w:rPr>
              <w:t>Il permet</w:t>
            </w:r>
            <w:r w:rsidRPr="00B65D5C">
              <w:rPr>
                <w:rFonts w:eastAsia="Times New Roman" w:cs="Arial"/>
                <w:lang w:val="fr-FR"/>
              </w:rPr>
              <w:t xml:space="preserve"> de collecter des informations relatives à l’hébergement d’urgence et aux moyens de subsistance.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</w:p>
        </w:tc>
        <w:tc>
          <w:tcPr>
            <w:tcW w:w="661" w:type="pct"/>
            <w:shd w:val="clear" w:color="auto" w:fill="E6E6E6"/>
          </w:tcPr>
          <w:p w:rsidR="00884AB6" w:rsidRPr="00B65D5C" w:rsidRDefault="00B65D5C" w:rsidP="00D013A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Rapide</w:t>
            </w:r>
          </w:p>
        </w:tc>
        <w:tc>
          <w:tcPr>
            <w:tcW w:w="754" w:type="pct"/>
            <w:shd w:val="clear" w:color="auto" w:fill="E6E6E6"/>
          </w:tcPr>
          <w:p w:rsidR="00884AB6" w:rsidRPr="00B65D5C" w:rsidRDefault="00BB3EF1" w:rsidP="00D013A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Hébergement d’urgence</w:t>
            </w:r>
          </w:p>
        </w:tc>
        <w:tc>
          <w:tcPr>
            <w:tcW w:w="517" w:type="pct"/>
            <w:shd w:val="clear" w:color="auto" w:fill="F3F3F3"/>
          </w:tcPr>
          <w:p w:rsidR="00884AB6" w:rsidRPr="00B65D5C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No</w:t>
            </w:r>
            <w:r w:rsidR="0061102D" w:rsidRPr="00B65D5C">
              <w:rPr>
                <w:rFonts w:eastAsia="Times New Roman" w:cs="Arial"/>
                <w:lang w:val="fr-FR"/>
              </w:rPr>
              <w:t>n</w:t>
            </w:r>
          </w:p>
        </w:tc>
      </w:tr>
      <w:tr w:rsidR="009427F7" w:rsidRPr="00AB3705" w:rsidTr="00C46C08">
        <w:trPr>
          <w:trHeight w:val="980"/>
        </w:trPr>
        <w:tc>
          <w:tcPr>
            <w:tcW w:w="991" w:type="pct"/>
            <w:shd w:val="clear" w:color="000000" w:fill="A6A6A6"/>
            <w:vAlign w:val="center"/>
            <w:hideMark/>
          </w:tcPr>
          <w:p w:rsidR="00884AB6" w:rsidRPr="00B65D5C" w:rsidRDefault="00E04D67" w:rsidP="00BC49E7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lastRenderedPageBreak/>
              <w:t xml:space="preserve">Manuel sur les programmes de transferts monétaires dans les situations d’urgence </w:t>
            </w:r>
            <w:r w:rsidR="00BC49E7">
              <w:rPr>
                <w:rFonts w:eastAsia="Times New Roman" w:cs="Arial"/>
                <w:lang w:val="fr-FR"/>
              </w:rPr>
              <w:t>urbaine</w:t>
            </w:r>
            <w:r w:rsidRPr="00B65D5C">
              <w:rPr>
                <w:rFonts w:eastAsia="Times New Roman" w:cs="Arial"/>
                <w:lang w:val="fr-FR"/>
              </w:rPr>
              <w:t xml:space="preserve"> (</w:t>
            </w:r>
            <w:proofErr w:type="spellStart"/>
            <w:r w:rsidRPr="00C62700">
              <w:rPr>
                <w:rFonts w:eastAsia="Times New Roman" w:cs="Arial"/>
                <w:i/>
                <w:iCs/>
                <w:lang w:val="fr-FR"/>
              </w:rPr>
              <w:t>CaLP</w:t>
            </w:r>
            <w:proofErr w:type="spellEnd"/>
            <w:r w:rsidRPr="00C62700">
              <w:rPr>
                <w:rFonts w:eastAsia="Times New Roman" w:cs="Arial"/>
                <w:i/>
                <w:iCs/>
                <w:lang w:val="fr-FR"/>
              </w:rPr>
              <w:t xml:space="preserve"> </w:t>
            </w:r>
            <w:proofErr w:type="spellStart"/>
            <w:r w:rsidRPr="00C62700">
              <w:rPr>
                <w:rFonts w:eastAsia="Times New Roman" w:cs="Arial"/>
                <w:i/>
                <w:iCs/>
                <w:lang w:val="fr-FR"/>
              </w:rPr>
              <w:t>toolkit</w:t>
            </w:r>
            <w:proofErr w:type="spellEnd"/>
            <w:r w:rsidRPr="00B65D5C">
              <w:rPr>
                <w:rFonts w:eastAsia="Times New Roman" w:cs="Arial"/>
                <w:lang w:val="fr-FR"/>
              </w:rPr>
              <w:t>)</w:t>
            </w:r>
          </w:p>
        </w:tc>
        <w:tc>
          <w:tcPr>
            <w:tcW w:w="2077" w:type="pct"/>
            <w:shd w:val="clear" w:color="auto" w:fill="E6E6E6"/>
            <w:vAlign w:val="center"/>
            <w:hideMark/>
          </w:tcPr>
          <w:p w:rsidR="00884AB6" w:rsidRPr="00B65D5C" w:rsidRDefault="00BB3EF1" w:rsidP="00280622">
            <w:pPr>
              <w:spacing w:before="40" w:after="40"/>
              <w:jc w:val="left"/>
              <w:rPr>
                <w:rFonts w:eastAsia="Times New Roman" w:cs="Arial"/>
                <w:shd w:val="clear" w:color="auto" w:fill="FFFFFF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Ce</w:t>
            </w:r>
            <w:r w:rsidR="009A4DD1">
              <w:rPr>
                <w:rFonts w:eastAsia="Times New Roman" w:cs="Arial"/>
                <w:lang w:val="fr-FR"/>
              </w:rPr>
              <w:t>t outil, qui comprend un</w:t>
            </w:r>
            <w:r w:rsidRPr="00B65D5C">
              <w:rPr>
                <w:rFonts w:eastAsia="Times New Roman" w:cs="Arial"/>
                <w:lang w:val="fr-FR"/>
              </w:rPr>
              <w:t xml:space="preserve"> questionnaire pour les discussions thématiques de groupe et </w:t>
            </w:r>
            <w:r w:rsidR="009A4DD1">
              <w:rPr>
                <w:rFonts w:eastAsia="Times New Roman" w:cs="Arial"/>
                <w:lang w:val="fr-FR"/>
              </w:rPr>
              <w:t>un</w:t>
            </w:r>
            <w:r w:rsidR="00280622">
              <w:rPr>
                <w:rFonts w:eastAsia="Times New Roman" w:cs="Arial"/>
                <w:lang w:val="fr-FR"/>
              </w:rPr>
              <w:t>e enquête</w:t>
            </w:r>
            <w:r w:rsidRPr="00B65D5C">
              <w:rPr>
                <w:rFonts w:eastAsia="Times New Roman" w:cs="Arial"/>
                <w:lang w:val="fr-FR"/>
              </w:rPr>
              <w:t xml:space="preserve"> </w:t>
            </w:r>
            <w:r w:rsidR="009A4DD1">
              <w:rPr>
                <w:rFonts w:eastAsia="Times New Roman" w:cs="Arial"/>
                <w:lang w:val="fr-FR"/>
              </w:rPr>
              <w:t>à mener</w:t>
            </w:r>
            <w:r w:rsidRPr="00B65D5C">
              <w:rPr>
                <w:rFonts w:eastAsia="Times New Roman" w:cs="Arial"/>
                <w:lang w:val="fr-FR"/>
              </w:rPr>
              <w:t xml:space="preserve"> auprès des ménages</w:t>
            </w:r>
            <w:r w:rsidR="009A4DD1">
              <w:rPr>
                <w:rFonts w:eastAsia="Times New Roman" w:cs="Arial"/>
                <w:lang w:val="fr-FR"/>
              </w:rPr>
              <w:t>,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Pr="00B65D5C">
              <w:rPr>
                <w:rFonts w:eastAsia="Times New Roman" w:cs="Arial"/>
                <w:lang w:val="fr-FR"/>
              </w:rPr>
              <w:t xml:space="preserve">a été conçu pour </w:t>
            </w:r>
            <w:r w:rsidR="00BC49E7">
              <w:rPr>
                <w:rFonts w:eastAsia="Times New Roman" w:cs="Arial"/>
                <w:lang w:val="fr-FR"/>
              </w:rPr>
              <w:t xml:space="preserve">les </w:t>
            </w:r>
            <w:r w:rsidR="0009731D">
              <w:rPr>
                <w:rFonts w:eastAsia="Times New Roman" w:cs="Arial"/>
                <w:lang w:val="fr-FR"/>
              </w:rPr>
              <w:t>contextes</w:t>
            </w:r>
            <w:r w:rsidR="00BC49E7">
              <w:rPr>
                <w:rFonts w:eastAsia="Times New Roman" w:cs="Arial"/>
                <w:lang w:val="fr-FR"/>
              </w:rPr>
              <w:t xml:space="preserve"> urbains</w:t>
            </w:r>
            <w:r w:rsidRPr="00B65D5C">
              <w:rPr>
                <w:rFonts w:eastAsia="Times New Roman" w:cs="Arial"/>
                <w:lang w:val="fr-FR"/>
              </w:rPr>
              <w:t xml:space="preserve">. Les questions qui y sont posées portent en particulier sur </w:t>
            </w:r>
            <w:r w:rsidR="009A4DD1">
              <w:rPr>
                <w:rFonts w:eastAsia="Times New Roman" w:cs="Arial"/>
                <w:lang w:val="fr-FR"/>
              </w:rPr>
              <w:t xml:space="preserve">les </w:t>
            </w:r>
            <w:r w:rsidR="000F0589">
              <w:rPr>
                <w:rFonts w:eastAsia="Times New Roman" w:cs="Arial"/>
                <w:lang w:val="fr-FR"/>
              </w:rPr>
              <w:t>milieux</w:t>
            </w:r>
            <w:r w:rsidR="009A4DD1">
              <w:rPr>
                <w:rFonts w:eastAsia="Times New Roman" w:cs="Arial"/>
                <w:lang w:val="fr-FR"/>
              </w:rPr>
              <w:t xml:space="preserve"> urbains</w:t>
            </w:r>
            <w:r w:rsidR="00451D6C">
              <w:rPr>
                <w:rFonts w:eastAsia="Times New Roman" w:cs="Arial"/>
                <w:lang w:val="fr-FR"/>
              </w:rPr>
              <w:t xml:space="preserve"> (voisinage, réseaux sociaux et </w:t>
            </w:r>
            <w:r w:rsidRPr="00B65D5C">
              <w:rPr>
                <w:rFonts w:eastAsia="Times New Roman" w:cs="Arial"/>
                <w:lang w:val="fr-FR"/>
              </w:rPr>
              <w:t xml:space="preserve">dynamique), la sécurité alimentaire, </w:t>
            </w:r>
            <w:r w:rsidR="009A4DD1">
              <w:rPr>
                <w:rFonts w:eastAsia="Times New Roman" w:cs="Arial"/>
                <w:lang w:val="fr-FR"/>
              </w:rPr>
              <w:t>les</w:t>
            </w:r>
            <w:r w:rsidRPr="00B65D5C">
              <w:rPr>
                <w:rFonts w:eastAsia="Times New Roman" w:cs="Arial"/>
                <w:lang w:val="fr-FR"/>
              </w:rPr>
              <w:t xml:space="preserve"> moyens de subsistance et l’hébergement d’urgence. </w:t>
            </w:r>
          </w:p>
        </w:tc>
        <w:tc>
          <w:tcPr>
            <w:tcW w:w="661" w:type="pct"/>
            <w:shd w:val="clear" w:color="auto" w:fill="E6E6E6"/>
          </w:tcPr>
          <w:p w:rsidR="00884AB6" w:rsidRPr="00B65D5C" w:rsidRDefault="00B65D5C" w:rsidP="00BB3EF1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Rapide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="00BB3EF1" w:rsidRPr="00B65D5C">
              <w:rPr>
                <w:rFonts w:eastAsia="Times New Roman" w:cs="Arial"/>
                <w:lang w:val="fr-FR"/>
              </w:rPr>
              <w:t>et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</w:t>
            </w:r>
            <w:r w:rsidR="00BB3EF1" w:rsidRPr="00B65D5C">
              <w:rPr>
                <w:rFonts w:eastAsia="Times New Roman" w:cs="Arial"/>
                <w:lang w:val="fr-FR"/>
              </w:rPr>
              <w:t>détaillé</w:t>
            </w:r>
          </w:p>
        </w:tc>
        <w:tc>
          <w:tcPr>
            <w:tcW w:w="754" w:type="pct"/>
            <w:shd w:val="clear" w:color="auto" w:fill="E6E6E6"/>
          </w:tcPr>
          <w:p w:rsidR="00884AB6" w:rsidRPr="00B65D5C" w:rsidRDefault="00BB3EF1" w:rsidP="00BB3EF1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Contexte urbain, sécurité alimentaire, moyens de subsistance et hébergement d’urgence</w:t>
            </w:r>
          </w:p>
        </w:tc>
        <w:tc>
          <w:tcPr>
            <w:tcW w:w="517" w:type="pct"/>
            <w:shd w:val="clear" w:color="auto" w:fill="F3F3F3"/>
          </w:tcPr>
          <w:p w:rsidR="00884AB6" w:rsidRPr="00B65D5C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</w:p>
        </w:tc>
      </w:tr>
    </w:tbl>
    <w:p w:rsidR="00180E43" w:rsidRDefault="00180E43">
      <w:pPr>
        <w:spacing w:after="0"/>
        <w:jc w:val="left"/>
        <w:rPr>
          <w:lang w:val="fr-FR"/>
        </w:rPr>
      </w:pPr>
    </w:p>
    <w:p w:rsidR="00280622" w:rsidRPr="00B65D5C" w:rsidRDefault="00280622">
      <w:pPr>
        <w:spacing w:after="0"/>
        <w:jc w:val="left"/>
        <w:rPr>
          <w:lang w:val="fr-FR"/>
        </w:rPr>
      </w:pP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687"/>
        <w:gridCol w:w="1419"/>
        <w:gridCol w:w="1419"/>
        <w:gridCol w:w="1838"/>
      </w:tblGrid>
      <w:tr w:rsidR="00180E43" w:rsidRPr="00AB3705" w:rsidTr="00451D6C">
        <w:trPr>
          <w:trHeight w:val="2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884AB6" w:rsidRPr="007B4199" w:rsidRDefault="00180E43" w:rsidP="002A3D7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bCs/>
                <w:color w:val="FFFFFF" w:themeColor="background1"/>
                <w:lang w:val="fr-FR"/>
              </w:rPr>
            </w:pPr>
            <w:r w:rsidRPr="007B4199">
              <w:rPr>
                <w:lang w:val="fr-FR"/>
              </w:rPr>
              <w:br w:type="page"/>
            </w:r>
            <w:r w:rsidR="002A3D71">
              <w:rPr>
                <w:rFonts w:ascii="Arial Bold" w:hAnsi="Arial Bold" w:cs="Arial"/>
                <w:b/>
                <w:bCs/>
                <w:color w:val="FFFFFF" w:themeColor="background1"/>
                <w:lang w:val="fr-FR"/>
              </w:rPr>
              <w:t>Lignes directrices</w:t>
            </w:r>
            <w:r w:rsidR="00884AB6" w:rsidRPr="007B4199">
              <w:rPr>
                <w:rFonts w:ascii="Arial Bold" w:hAnsi="Arial Bold" w:cs="Arial"/>
                <w:b/>
                <w:bCs/>
                <w:color w:val="FFFFFF" w:themeColor="background1"/>
                <w:lang w:val="fr-FR"/>
              </w:rPr>
              <w:t xml:space="preserve"> (</w:t>
            </w:r>
            <w:r w:rsidR="00E3678F" w:rsidRPr="007B4199">
              <w:rPr>
                <w:rFonts w:ascii="Arial Bold" w:hAnsi="Arial Bold" w:cs="Arial"/>
                <w:b/>
                <w:bCs/>
                <w:color w:val="FFFFFF" w:themeColor="background1"/>
                <w:lang w:val="fr-FR"/>
              </w:rPr>
              <w:t>organisation</w:t>
            </w:r>
            <w:r w:rsidR="00884AB6" w:rsidRPr="007B4199">
              <w:rPr>
                <w:rFonts w:ascii="Arial Bold" w:hAnsi="Arial Bold" w:cs="Arial"/>
                <w:b/>
                <w:bCs/>
                <w:color w:val="FFFFFF" w:themeColor="background1"/>
                <w:lang w:val="fr-FR"/>
              </w:rPr>
              <w:t>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884AB6" w:rsidRPr="007B4199" w:rsidRDefault="00884AB6" w:rsidP="00D013A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fr-FR"/>
              </w:rPr>
            </w:pPr>
            <w:r w:rsidRPr="007B4199">
              <w:rPr>
                <w:rFonts w:ascii="Arial Bold" w:hAnsi="Arial Bold" w:cs="Arial"/>
                <w:b/>
                <w:color w:val="FFFFFF" w:themeColor="background1"/>
                <w:lang w:val="fr-FR"/>
              </w:rPr>
              <w:t>Description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884AB6" w:rsidRPr="007B4199" w:rsidRDefault="00B739A9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</w:pPr>
            <w:r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>Durée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884AB6" w:rsidRPr="007B4199" w:rsidRDefault="00B739A9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</w:pPr>
            <w:r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>Secteur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:rsidR="00884AB6" w:rsidRPr="007B4199" w:rsidRDefault="00E3678F" w:rsidP="00D013A2">
            <w:pPr>
              <w:spacing w:before="120"/>
              <w:jc w:val="center"/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</w:pPr>
            <w:r w:rsidRPr="007B4199"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 xml:space="preserve">Spécifiquement </w:t>
            </w:r>
            <w:r w:rsidR="00213BAA" w:rsidRPr="007B4199"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>lié</w:t>
            </w:r>
            <w:r w:rsidRPr="007B4199">
              <w:rPr>
                <w:rFonts w:ascii="Arial Bold" w:eastAsia="Times New Roman" w:hAnsi="Arial Bold" w:cs="Arial"/>
                <w:b/>
                <w:color w:val="FFFFFF" w:themeColor="background1"/>
                <w:lang w:val="fr-FR"/>
              </w:rPr>
              <w:t xml:space="preserve"> aux transferts monétaires</w:t>
            </w:r>
          </w:p>
        </w:tc>
      </w:tr>
      <w:tr w:rsidR="00A574AB" w:rsidRPr="00D013A2" w:rsidTr="00451D6C">
        <w:trPr>
          <w:trHeight w:val="1689"/>
        </w:trPr>
        <w:tc>
          <w:tcPr>
            <w:tcW w:w="946" w:type="pct"/>
            <w:shd w:val="clear" w:color="000000" w:fill="A6A6A6"/>
            <w:vAlign w:val="center"/>
          </w:tcPr>
          <w:p w:rsidR="00884AB6" w:rsidRPr="00E3678F" w:rsidRDefault="002A3D71" w:rsidP="002A3D7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bCs/>
                <w:lang w:val="fr-FR"/>
              </w:rPr>
              <w:t>Lignes directrices</w:t>
            </w:r>
            <w:r w:rsidR="00E3678F" w:rsidRPr="00E3678F">
              <w:rPr>
                <w:rFonts w:cs="Arial"/>
                <w:bCs/>
                <w:lang w:val="fr-FR"/>
              </w:rPr>
              <w:t xml:space="preserve"> opérationnelles : évaluation </w:t>
            </w:r>
            <w:r w:rsidRPr="00E3678F">
              <w:rPr>
                <w:rFonts w:cs="Arial"/>
                <w:bCs/>
                <w:lang w:val="fr-FR"/>
              </w:rPr>
              <w:t xml:space="preserve">multisectorielle </w:t>
            </w:r>
            <w:r w:rsidR="00E3678F" w:rsidRPr="00E3678F">
              <w:rPr>
                <w:rFonts w:cs="Arial"/>
                <w:bCs/>
                <w:lang w:val="fr-FR"/>
              </w:rPr>
              <w:t>initiale rapide</w:t>
            </w:r>
            <w:r w:rsidR="00E3678F">
              <w:rPr>
                <w:rFonts w:cs="Arial"/>
                <w:bCs/>
                <w:lang w:val="fr-FR"/>
              </w:rPr>
              <w:t xml:space="preserve"> </w:t>
            </w:r>
            <w:r w:rsidR="00884AB6" w:rsidRPr="00E3678F">
              <w:rPr>
                <w:rFonts w:cs="Arial"/>
                <w:bCs/>
                <w:lang w:val="fr-FR"/>
              </w:rPr>
              <w:t>(</w:t>
            </w:r>
            <w:r w:rsidR="00E3678F">
              <w:rPr>
                <w:rFonts w:cs="Arial"/>
                <w:bCs/>
                <w:lang w:val="fr-FR"/>
              </w:rPr>
              <w:t>Fédération internationale</w:t>
            </w:r>
            <w:r w:rsidR="00884AB6" w:rsidRPr="00E3678F">
              <w:rPr>
                <w:rFonts w:cs="Arial"/>
                <w:bCs/>
                <w:lang w:val="fr-FR"/>
              </w:rPr>
              <w:t>)</w:t>
            </w:r>
          </w:p>
        </w:tc>
        <w:tc>
          <w:tcPr>
            <w:tcW w:w="1787" w:type="pct"/>
            <w:shd w:val="clear" w:color="auto" w:fill="E6E6E6"/>
            <w:vAlign w:val="center"/>
          </w:tcPr>
          <w:p w:rsidR="00884AB6" w:rsidRPr="007F165F" w:rsidRDefault="002A3D71" w:rsidP="00AB370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Ce lignes </w:t>
            </w:r>
            <w:r w:rsidRPr="00AB3705">
              <w:rPr>
                <w:rFonts w:cs="Arial"/>
                <w:lang w:val="fr-FR"/>
              </w:rPr>
              <w:t>directrices</w:t>
            </w:r>
            <w:r w:rsidR="00781192" w:rsidRPr="00781192">
              <w:rPr>
                <w:rFonts w:cs="Arial"/>
                <w:lang w:val="fr-FR"/>
              </w:rPr>
              <w:t xml:space="preserve"> opérationnelles</w:t>
            </w:r>
            <w:r w:rsidR="00781192">
              <w:rPr>
                <w:rFonts w:cs="Arial"/>
                <w:lang w:val="fr-FR"/>
              </w:rPr>
              <w:t>, qui</w:t>
            </w:r>
            <w:r w:rsidR="00781192" w:rsidRPr="00781192">
              <w:rPr>
                <w:rFonts w:cs="Arial"/>
                <w:lang w:val="fr-FR"/>
              </w:rPr>
              <w:t xml:space="preserve"> prennent appui sur les</w:t>
            </w:r>
            <w:r w:rsidR="00781192">
              <w:rPr>
                <w:rFonts w:cs="Arial"/>
                <w:lang w:val="fr-FR"/>
              </w:rPr>
              <w:t xml:space="preserve"> </w:t>
            </w:r>
            <w:r w:rsidR="00AB3705">
              <w:rPr>
                <w:rFonts w:cs="Arial"/>
                <w:i/>
                <w:iCs/>
                <w:lang w:val="fr-FR"/>
              </w:rPr>
              <w:t xml:space="preserve">Lignes directrices </w:t>
            </w:r>
            <w:r w:rsidR="00781192">
              <w:rPr>
                <w:rFonts w:cs="Arial"/>
                <w:i/>
                <w:iCs/>
                <w:lang w:val="fr-FR"/>
              </w:rPr>
              <w:t>pour l’évaluatio</w:t>
            </w:r>
            <w:r w:rsidR="00AB3705">
              <w:rPr>
                <w:rFonts w:cs="Arial"/>
                <w:i/>
                <w:iCs/>
                <w:lang w:val="fr-FR"/>
              </w:rPr>
              <w:t>n dans les situations d’urgence</w:t>
            </w:r>
            <w:r w:rsidR="00451D6C">
              <w:rPr>
                <w:rFonts w:cs="Arial"/>
                <w:iCs/>
                <w:lang w:val="fr-FR"/>
              </w:rPr>
              <w:t>,</w:t>
            </w:r>
            <w:r w:rsidR="00781192">
              <w:rPr>
                <w:rFonts w:cs="Arial"/>
                <w:iCs/>
                <w:lang w:val="fr-FR"/>
              </w:rPr>
              <w:t xml:space="preserve"> renforcent les bonnes pratiques des spécialistes. Elles fournissent un cadre et proposent des étapes clés pour mener des évaluations multisectorielles dans les deux semaines qui suivent un</w:t>
            </w:r>
            <w:r w:rsidR="00AB3705">
              <w:rPr>
                <w:rFonts w:cs="Arial"/>
                <w:iCs/>
                <w:lang w:val="fr-FR"/>
              </w:rPr>
              <w:t xml:space="preserve"> choc</w:t>
            </w:r>
            <w:r w:rsidR="00781192">
              <w:rPr>
                <w:rFonts w:cs="Arial"/>
                <w:iCs/>
                <w:lang w:val="fr-FR"/>
              </w:rPr>
              <w:t xml:space="preserve">. </w:t>
            </w:r>
          </w:p>
        </w:tc>
        <w:tc>
          <w:tcPr>
            <w:tcW w:w="688" w:type="pct"/>
            <w:shd w:val="clear" w:color="auto" w:fill="E6E6E6"/>
          </w:tcPr>
          <w:p w:rsidR="00884AB6" w:rsidRPr="00781192" w:rsidRDefault="00781192" w:rsidP="0078119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781192">
              <w:rPr>
                <w:rFonts w:eastAsia="Times New Roman" w:cs="Arial"/>
                <w:lang w:val="fr-FR"/>
              </w:rPr>
              <w:t>Dans les deux semaines</w:t>
            </w:r>
          </w:p>
        </w:tc>
        <w:tc>
          <w:tcPr>
            <w:tcW w:w="688" w:type="pct"/>
            <w:shd w:val="clear" w:color="auto" w:fill="E6E6E6"/>
          </w:tcPr>
          <w:p w:rsidR="00884AB6" w:rsidRPr="00D013A2" w:rsidRDefault="00781192" w:rsidP="00D013A2">
            <w:pPr>
              <w:spacing w:before="40" w:after="40"/>
              <w:jc w:val="left"/>
              <w:rPr>
                <w:rFonts w:eastAsia="Times New Roman" w:cs="Arial"/>
                <w:lang w:val="en-GB"/>
              </w:rPr>
            </w:pPr>
            <w:r w:rsidRPr="00136A67">
              <w:rPr>
                <w:rFonts w:eastAsia="Times New Roman" w:cs="Arial"/>
                <w:lang w:val="fr-FR"/>
              </w:rPr>
              <w:t>Multisectoriel</w:t>
            </w:r>
          </w:p>
        </w:tc>
        <w:tc>
          <w:tcPr>
            <w:tcW w:w="892" w:type="pct"/>
            <w:shd w:val="clear" w:color="auto" w:fill="F3F3F3"/>
          </w:tcPr>
          <w:p w:rsidR="00884AB6" w:rsidRPr="00D013A2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en-GB"/>
              </w:rPr>
            </w:pPr>
            <w:r w:rsidRPr="00D013A2">
              <w:rPr>
                <w:rFonts w:eastAsia="Times New Roman" w:cs="Arial"/>
                <w:lang w:val="en-GB"/>
              </w:rPr>
              <w:t>No</w:t>
            </w:r>
            <w:r w:rsidR="0061102D">
              <w:rPr>
                <w:rFonts w:eastAsia="Times New Roman" w:cs="Arial"/>
                <w:lang w:val="en-GB"/>
              </w:rPr>
              <w:t>n</w:t>
            </w:r>
          </w:p>
        </w:tc>
      </w:tr>
      <w:tr w:rsidR="00A574AB" w:rsidRPr="00D013A2" w:rsidTr="00451D6C">
        <w:trPr>
          <w:trHeight w:val="1050"/>
        </w:trPr>
        <w:tc>
          <w:tcPr>
            <w:tcW w:w="946" w:type="pct"/>
            <w:shd w:val="clear" w:color="000000" w:fill="A6A6A6"/>
            <w:vAlign w:val="center"/>
          </w:tcPr>
          <w:p w:rsidR="00884AB6" w:rsidRPr="00213666" w:rsidRDefault="00AB3705" w:rsidP="00AB3705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>
              <w:rPr>
                <w:lang w:val="fr-FR"/>
              </w:rPr>
              <w:t xml:space="preserve">Évaluation initiale rapide et </w:t>
            </w:r>
            <w:proofErr w:type="spellStart"/>
            <w:r w:rsidR="00213666">
              <w:rPr>
                <w:lang w:val="fr-FR"/>
              </w:rPr>
              <w:t>multisec</w:t>
            </w:r>
            <w:r w:rsidR="00451D6C">
              <w:rPr>
                <w:lang w:val="fr-FR"/>
              </w:rPr>
              <w:t>-</w:t>
            </w:r>
            <w:r w:rsidR="00213666">
              <w:rPr>
                <w:lang w:val="fr-FR"/>
              </w:rPr>
              <w:t>torielle</w:t>
            </w:r>
            <w:proofErr w:type="spellEnd"/>
            <w:r w:rsidR="00213666">
              <w:rPr>
                <w:lang w:val="fr-FR"/>
              </w:rPr>
              <w:t xml:space="preserve"> </w:t>
            </w:r>
            <w:r w:rsidR="00213666" w:rsidRPr="00C62700">
              <w:rPr>
                <w:lang w:val="fr-FR"/>
              </w:rPr>
              <w:t>(</w:t>
            </w:r>
            <w:r w:rsidR="00213666" w:rsidRPr="006172A8">
              <w:rPr>
                <w:i/>
                <w:iCs/>
                <w:lang w:val="fr-FR"/>
              </w:rPr>
              <w:t>Multi-cluster/</w:t>
            </w:r>
            <w:proofErr w:type="spellStart"/>
            <w:r w:rsidR="00213666" w:rsidRPr="006172A8">
              <w:rPr>
                <w:i/>
                <w:iCs/>
                <w:lang w:val="fr-FR"/>
              </w:rPr>
              <w:t>sector</w:t>
            </w:r>
            <w:proofErr w:type="spellEnd"/>
            <w:r w:rsidR="00213666" w:rsidRPr="006172A8">
              <w:rPr>
                <w:i/>
                <w:iCs/>
                <w:lang w:val="fr-FR"/>
              </w:rPr>
              <w:t xml:space="preserve"> Initial Rapid </w:t>
            </w:r>
            <w:proofErr w:type="spellStart"/>
            <w:r w:rsidR="00213666" w:rsidRPr="006172A8">
              <w:rPr>
                <w:i/>
                <w:iCs/>
                <w:lang w:val="fr-FR"/>
              </w:rPr>
              <w:t>Assessment</w:t>
            </w:r>
            <w:proofErr w:type="spellEnd"/>
            <w:r w:rsidR="00213666" w:rsidRPr="006172A8">
              <w:rPr>
                <w:i/>
                <w:iCs/>
                <w:lang w:val="fr-FR"/>
              </w:rPr>
              <w:t xml:space="preserve"> (MIRA)</w:t>
            </w:r>
            <w:r w:rsidR="00213666" w:rsidRPr="00C62700">
              <w:rPr>
                <w:lang w:val="fr-FR"/>
              </w:rPr>
              <w:t>)</w:t>
            </w:r>
            <w:r w:rsidR="00884AB6" w:rsidRPr="00C62700">
              <w:rPr>
                <w:rFonts w:eastAsia="Times New Roman" w:cs="Arial"/>
                <w:lang w:val="fr-FR"/>
              </w:rPr>
              <w:t xml:space="preserve"> </w:t>
            </w:r>
            <w:r w:rsidR="00213666" w:rsidRPr="0077799D">
              <w:rPr>
                <w:lang w:val="fr-FR"/>
              </w:rPr>
              <w:t>(Bureau de la coordination des affaires humanitaires des Nations Unies)</w:t>
            </w:r>
          </w:p>
        </w:tc>
        <w:tc>
          <w:tcPr>
            <w:tcW w:w="1787" w:type="pct"/>
            <w:shd w:val="clear" w:color="auto" w:fill="E6E6E6"/>
            <w:vAlign w:val="center"/>
          </w:tcPr>
          <w:p w:rsidR="00884AB6" w:rsidRPr="0061575E" w:rsidRDefault="00B65D5C" w:rsidP="00451D6C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 xml:space="preserve">Cet outil mis au point par les Nations Unies doit être </w:t>
            </w:r>
            <w:r w:rsidR="0061575E">
              <w:rPr>
                <w:rFonts w:eastAsia="Times New Roman" w:cs="Arial"/>
                <w:lang w:val="fr-FR"/>
              </w:rPr>
              <w:t>utilisé</w:t>
            </w:r>
            <w:r w:rsidRPr="00B65D5C">
              <w:rPr>
                <w:rFonts w:eastAsia="Times New Roman" w:cs="Arial"/>
                <w:lang w:val="fr-FR"/>
              </w:rPr>
              <w:t xml:space="preserve"> immédiatement après </w:t>
            </w:r>
            <w:r w:rsidR="00451D6C">
              <w:rPr>
                <w:rFonts w:eastAsia="Times New Roman" w:cs="Arial"/>
                <w:lang w:val="fr-FR"/>
              </w:rPr>
              <w:t>un choc</w:t>
            </w:r>
            <w:r>
              <w:rPr>
                <w:rFonts w:eastAsia="Times New Roman" w:cs="Arial"/>
                <w:lang w:val="fr-FR"/>
              </w:rPr>
              <w:t xml:space="preserve"> pour définir les </w:t>
            </w:r>
            <w:r w:rsidR="0061575E">
              <w:rPr>
                <w:rFonts w:eastAsia="Times New Roman" w:cs="Arial"/>
                <w:lang w:val="fr-FR"/>
              </w:rPr>
              <w:t xml:space="preserve">priorités humanitaires stratégiques. </w:t>
            </w:r>
            <w:r w:rsidR="0061575E" w:rsidRPr="0061575E">
              <w:rPr>
                <w:rFonts w:eastAsia="Times New Roman" w:cs="Arial"/>
                <w:lang w:val="fr-FR"/>
              </w:rPr>
              <w:t>Il permet de faire un premier point sur la situation (</w:t>
            </w:r>
            <w:proofErr w:type="spellStart"/>
            <w:r w:rsidR="0061575E" w:rsidRPr="0061575E">
              <w:rPr>
                <w:rFonts w:eastAsia="Times New Roman" w:cs="Arial"/>
                <w:i/>
                <w:iCs/>
                <w:lang w:val="fr-FR"/>
              </w:rPr>
              <w:t>Preliminary</w:t>
            </w:r>
            <w:proofErr w:type="spellEnd"/>
            <w:r w:rsidR="0061575E" w:rsidRPr="0061575E">
              <w:rPr>
                <w:rFonts w:eastAsia="Times New Roman" w:cs="Arial"/>
                <w:i/>
                <w:iCs/>
                <w:lang w:val="fr-FR"/>
              </w:rPr>
              <w:t xml:space="preserve"> Scenario </w:t>
            </w:r>
            <w:proofErr w:type="spellStart"/>
            <w:r w:rsidR="0061575E" w:rsidRPr="0061575E">
              <w:rPr>
                <w:rFonts w:eastAsia="Times New Roman" w:cs="Arial"/>
                <w:i/>
                <w:iCs/>
                <w:lang w:val="fr-FR"/>
              </w:rPr>
              <w:t>Definition</w:t>
            </w:r>
            <w:proofErr w:type="spellEnd"/>
            <w:r w:rsidR="0061575E" w:rsidRPr="0061575E">
              <w:rPr>
                <w:rFonts w:eastAsia="Times New Roman" w:cs="Arial"/>
                <w:i/>
                <w:iCs/>
                <w:lang w:val="fr-FR"/>
              </w:rPr>
              <w:t>)</w:t>
            </w:r>
            <w:r w:rsidR="0061575E" w:rsidRPr="0061575E">
              <w:rPr>
                <w:rFonts w:eastAsia="Times New Roman" w:cs="Arial"/>
                <w:lang w:val="fr-FR"/>
              </w:rPr>
              <w:t xml:space="preserve"> 72 heures après </w:t>
            </w:r>
            <w:r w:rsidR="00451D6C">
              <w:rPr>
                <w:rFonts w:eastAsia="Times New Roman" w:cs="Arial"/>
                <w:lang w:val="fr-FR"/>
              </w:rPr>
              <w:t>le choc</w:t>
            </w:r>
            <w:r w:rsidR="0061575E" w:rsidRPr="0061575E">
              <w:rPr>
                <w:rFonts w:eastAsia="Times New Roman" w:cs="Arial"/>
                <w:lang w:val="fr-FR"/>
              </w:rPr>
              <w:t xml:space="preserve"> et d’établir un rapport deux semaines après</w:t>
            </w:r>
            <w:r w:rsidR="0061575E">
              <w:rPr>
                <w:rFonts w:eastAsia="Times New Roman" w:cs="Arial"/>
                <w:lang w:val="fr-FR"/>
              </w:rPr>
              <w:t xml:space="preserve"> l’événement. </w:t>
            </w:r>
            <w:r w:rsidR="0061575E" w:rsidRPr="0061575E">
              <w:rPr>
                <w:rFonts w:eastAsia="Times New Roman" w:cs="Arial"/>
                <w:lang w:val="fr-FR"/>
              </w:rPr>
              <w:t xml:space="preserve">Cette évaluation doit être menée par une équipe </w:t>
            </w:r>
            <w:proofErr w:type="spellStart"/>
            <w:r w:rsidR="0061575E" w:rsidRPr="0061575E">
              <w:rPr>
                <w:rFonts w:eastAsia="Times New Roman" w:cs="Arial"/>
                <w:lang w:val="fr-FR"/>
              </w:rPr>
              <w:t>interorganisations</w:t>
            </w:r>
            <w:proofErr w:type="spellEnd"/>
            <w:r w:rsidR="0061575E" w:rsidRPr="0061575E">
              <w:rPr>
                <w:rFonts w:eastAsia="Times New Roman" w:cs="Arial"/>
                <w:lang w:val="fr-FR"/>
              </w:rPr>
              <w:t xml:space="preserve"> de spécialistes </w:t>
            </w:r>
            <w:r w:rsidR="0061575E">
              <w:rPr>
                <w:rFonts w:eastAsia="Times New Roman" w:cs="Arial"/>
                <w:lang w:val="fr-FR"/>
              </w:rPr>
              <w:t>des situations d</w:t>
            </w:r>
            <w:r w:rsidR="005319E8">
              <w:rPr>
                <w:rFonts w:eastAsia="Times New Roman" w:cs="Arial"/>
                <w:lang w:val="fr-FR"/>
              </w:rPr>
              <w:t xml:space="preserve">’urgence issus </w:t>
            </w:r>
            <w:r w:rsidR="0061575E">
              <w:rPr>
                <w:rFonts w:eastAsia="Times New Roman" w:cs="Arial"/>
                <w:lang w:val="fr-FR"/>
              </w:rPr>
              <w:t xml:space="preserve">de différents </w:t>
            </w:r>
            <w:r w:rsidR="00451D6C">
              <w:rPr>
                <w:rFonts w:eastAsia="Times New Roman" w:cs="Arial"/>
                <w:lang w:val="fr-FR"/>
              </w:rPr>
              <w:t>secteurs</w:t>
            </w:r>
            <w:r w:rsidR="0061575E">
              <w:rPr>
                <w:rFonts w:eastAsia="Times New Roman" w:cs="Arial"/>
                <w:lang w:val="fr-FR"/>
              </w:rPr>
              <w:t>.</w:t>
            </w:r>
          </w:p>
        </w:tc>
        <w:tc>
          <w:tcPr>
            <w:tcW w:w="688" w:type="pct"/>
            <w:shd w:val="clear" w:color="auto" w:fill="E6E6E6"/>
          </w:tcPr>
          <w:p w:rsidR="00884AB6" w:rsidRPr="00B65D5C" w:rsidRDefault="00B65D5C" w:rsidP="0078119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Rapide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– </w:t>
            </w:r>
            <w:r w:rsidR="00180E43" w:rsidRPr="00B65D5C">
              <w:rPr>
                <w:rFonts w:eastAsia="Times New Roman" w:cs="Arial"/>
                <w:lang w:val="fr-FR"/>
              </w:rPr>
              <w:br/>
            </w:r>
            <w:r w:rsidR="00781192" w:rsidRPr="00B65D5C">
              <w:rPr>
                <w:rFonts w:eastAsia="Times New Roman" w:cs="Arial"/>
                <w:lang w:val="fr-FR"/>
              </w:rPr>
              <w:t>premières semaines</w:t>
            </w:r>
          </w:p>
        </w:tc>
        <w:tc>
          <w:tcPr>
            <w:tcW w:w="688" w:type="pct"/>
            <w:shd w:val="clear" w:color="auto" w:fill="E6E6E6"/>
          </w:tcPr>
          <w:p w:rsidR="00884AB6" w:rsidRPr="00D013A2" w:rsidRDefault="00781192" w:rsidP="00D013A2">
            <w:pPr>
              <w:spacing w:before="40" w:after="40"/>
              <w:jc w:val="left"/>
              <w:rPr>
                <w:rFonts w:eastAsia="Times New Roman" w:cs="Arial"/>
                <w:lang w:val="en-GB"/>
              </w:rPr>
            </w:pPr>
            <w:r w:rsidRPr="00136A67">
              <w:rPr>
                <w:rFonts w:eastAsia="Times New Roman" w:cs="Arial"/>
                <w:lang w:val="fr-FR"/>
              </w:rPr>
              <w:t>Multisectoriel</w:t>
            </w:r>
          </w:p>
        </w:tc>
        <w:tc>
          <w:tcPr>
            <w:tcW w:w="892" w:type="pct"/>
            <w:shd w:val="clear" w:color="auto" w:fill="F3F3F3"/>
          </w:tcPr>
          <w:p w:rsidR="00884AB6" w:rsidRPr="00D013A2" w:rsidRDefault="00884AB6" w:rsidP="00180E43">
            <w:pPr>
              <w:spacing w:before="40" w:after="40"/>
              <w:jc w:val="center"/>
              <w:rPr>
                <w:rFonts w:eastAsia="Times New Roman" w:cs="Arial"/>
                <w:lang w:val="en-GB"/>
              </w:rPr>
            </w:pPr>
            <w:r w:rsidRPr="00D013A2">
              <w:rPr>
                <w:rFonts w:eastAsia="Times New Roman" w:cs="Arial"/>
                <w:lang w:val="en-GB"/>
              </w:rPr>
              <w:t>No</w:t>
            </w:r>
            <w:r w:rsidR="0061102D">
              <w:rPr>
                <w:rFonts w:eastAsia="Times New Roman" w:cs="Arial"/>
                <w:lang w:val="en-GB"/>
              </w:rPr>
              <w:t>n</w:t>
            </w:r>
          </w:p>
        </w:tc>
      </w:tr>
      <w:tr w:rsidR="00A574AB" w:rsidRPr="00D013A2" w:rsidTr="00451D6C">
        <w:trPr>
          <w:trHeight w:val="419"/>
        </w:trPr>
        <w:tc>
          <w:tcPr>
            <w:tcW w:w="946" w:type="pct"/>
            <w:shd w:val="clear" w:color="000000" w:fill="A6A6A6"/>
            <w:vAlign w:val="center"/>
            <w:hideMark/>
          </w:tcPr>
          <w:p w:rsidR="00884AB6" w:rsidRPr="00B65D5C" w:rsidRDefault="000B2E74" w:rsidP="00B65D5C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É</w:t>
            </w:r>
            <w:r w:rsidR="00B65D5C" w:rsidRPr="00B65D5C">
              <w:rPr>
                <w:rFonts w:eastAsia="Times New Roman" w:cs="Arial"/>
                <w:lang w:val="fr-FR"/>
              </w:rPr>
              <w:t>valuation de la sécurité économique</w:t>
            </w:r>
            <w:r w:rsidR="00884AB6" w:rsidRPr="00B65D5C">
              <w:rPr>
                <w:rFonts w:eastAsia="Times New Roman" w:cs="Arial"/>
                <w:lang w:val="fr-FR"/>
              </w:rPr>
              <w:t xml:space="preserve"> (</w:t>
            </w:r>
            <w:r w:rsidR="00B65D5C">
              <w:rPr>
                <w:rFonts w:eastAsia="Times New Roman" w:cs="Arial"/>
                <w:lang w:val="fr-FR"/>
              </w:rPr>
              <w:t>CICR</w:t>
            </w:r>
            <w:r w:rsidR="00884AB6" w:rsidRPr="00B65D5C">
              <w:rPr>
                <w:rFonts w:eastAsia="Times New Roman" w:cs="Arial"/>
                <w:lang w:val="fr-FR"/>
              </w:rPr>
              <w:t>)</w:t>
            </w:r>
          </w:p>
        </w:tc>
        <w:tc>
          <w:tcPr>
            <w:tcW w:w="1787" w:type="pct"/>
            <w:shd w:val="clear" w:color="auto" w:fill="E6E6E6"/>
            <w:vAlign w:val="center"/>
            <w:hideMark/>
          </w:tcPr>
          <w:p w:rsidR="00884AB6" w:rsidRPr="00561979" w:rsidRDefault="008A55EC" w:rsidP="00AB3705">
            <w:pPr>
              <w:spacing w:before="40" w:after="40"/>
              <w:jc w:val="left"/>
              <w:rPr>
                <w:rFonts w:cs="Arial"/>
                <w:iCs/>
                <w:lang w:val="fr-FR"/>
              </w:rPr>
            </w:pPr>
            <w:r w:rsidRPr="006C0FF3">
              <w:rPr>
                <w:rFonts w:eastAsia="Times New Roman" w:cs="Arial"/>
                <w:lang w:val="fr-FR"/>
              </w:rPr>
              <w:t>L’évaluation de la sécurité</w:t>
            </w:r>
            <w:r w:rsidRPr="008A55EC">
              <w:rPr>
                <w:rFonts w:eastAsia="Times New Roman" w:cs="Arial"/>
                <w:lang w:val="fr-FR"/>
              </w:rPr>
              <w:t xml:space="preserve"> économique</w:t>
            </w:r>
            <w:r w:rsidR="00884AB6" w:rsidRPr="008A55EC">
              <w:rPr>
                <w:rFonts w:eastAsia="Times New Roman" w:cs="Arial"/>
                <w:lang w:val="fr-FR"/>
              </w:rPr>
              <w:t xml:space="preserve"> </w:t>
            </w:r>
            <w:r w:rsidR="00AB3705">
              <w:rPr>
                <w:rFonts w:eastAsia="Times New Roman" w:cs="Arial"/>
                <w:lang w:val="fr-FR"/>
              </w:rPr>
              <w:t>se fonde</w:t>
            </w:r>
            <w:r w:rsidRPr="008A55EC">
              <w:rPr>
                <w:rFonts w:eastAsia="Times New Roman" w:cs="Arial"/>
                <w:lang w:val="fr-FR"/>
              </w:rPr>
              <w:t xml:space="preserve"> su</w:t>
            </w:r>
            <w:r>
              <w:rPr>
                <w:rFonts w:eastAsia="Times New Roman" w:cs="Arial"/>
                <w:lang w:val="fr-FR"/>
              </w:rPr>
              <w:t xml:space="preserve">r le cadre des moyens de subsistance </w:t>
            </w:r>
            <w:r w:rsidR="00451D6C">
              <w:rPr>
                <w:rFonts w:eastAsia="Times New Roman" w:cs="Arial"/>
                <w:lang w:val="fr-FR"/>
              </w:rPr>
              <w:t>durables et porte sur les problèmes lié</w:t>
            </w:r>
            <w:r>
              <w:rPr>
                <w:rFonts w:eastAsia="Times New Roman" w:cs="Arial"/>
                <w:lang w:val="fr-FR"/>
              </w:rPr>
              <w:t xml:space="preserve">s aux marchés et à la nutrition. </w:t>
            </w:r>
            <w:r w:rsidRPr="008A55EC">
              <w:rPr>
                <w:rFonts w:eastAsia="Times New Roman" w:cs="Arial"/>
                <w:lang w:val="fr-FR"/>
              </w:rPr>
              <w:t>Elle peut être menée dans le cadre d’évaluations rapides</w:t>
            </w:r>
            <w:r>
              <w:rPr>
                <w:rFonts w:eastAsia="Times New Roman" w:cs="Arial"/>
                <w:lang w:val="fr-FR"/>
              </w:rPr>
              <w:t xml:space="preserve"> ou approfondies, d’enquêtes de référence ou d’un suivi continu. Un ensemble d’outils,</w:t>
            </w:r>
            <w:r w:rsidR="00561979">
              <w:rPr>
                <w:rFonts w:eastAsia="Times New Roman" w:cs="Arial"/>
                <w:lang w:val="fr-FR"/>
              </w:rPr>
              <w:t xml:space="preserve"> </w:t>
            </w:r>
            <w:r>
              <w:rPr>
                <w:rFonts w:eastAsia="Times New Roman" w:cs="Arial"/>
                <w:lang w:val="fr-FR"/>
              </w:rPr>
              <w:t>y compris du matériel de formation, des modèles de com</w:t>
            </w:r>
            <w:r w:rsidR="00561979">
              <w:rPr>
                <w:rFonts w:eastAsia="Times New Roman" w:cs="Arial"/>
                <w:lang w:val="fr-FR"/>
              </w:rPr>
              <w:t>pte rendu et des questionnaires élaborés pour différents pays,</w:t>
            </w:r>
            <w:r>
              <w:rPr>
                <w:rFonts w:eastAsia="Times New Roman" w:cs="Arial"/>
                <w:lang w:val="fr-FR"/>
              </w:rPr>
              <w:t xml:space="preserve"> </w:t>
            </w:r>
            <w:r w:rsidR="00561979">
              <w:rPr>
                <w:rFonts w:eastAsia="Times New Roman" w:cs="Arial"/>
                <w:lang w:val="fr-FR"/>
              </w:rPr>
              <w:t xml:space="preserve">sont disponibles. </w:t>
            </w:r>
            <w:r w:rsidR="00561979" w:rsidRPr="00561979">
              <w:rPr>
                <w:rFonts w:eastAsia="Times New Roman" w:cs="Arial"/>
                <w:lang w:val="fr-FR"/>
              </w:rPr>
              <w:t>La liste de questions élaborées pour le Soudan du Sud est particulière</w:t>
            </w:r>
            <w:r w:rsidR="00451D6C">
              <w:rPr>
                <w:rFonts w:eastAsia="Times New Roman" w:cs="Arial"/>
                <w:lang w:val="fr-FR"/>
              </w:rPr>
              <w:t>ment</w:t>
            </w:r>
            <w:r w:rsidR="00561979" w:rsidRPr="00561979">
              <w:rPr>
                <w:rFonts w:eastAsia="Times New Roman" w:cs="Arial"/>
                <w:lang w:val="fr-FR"/>
              </w:rPr>
              <w:t xml:space="preserve"> utile </w:t>
            </w:r>
            <w:r w:rsidR="00561979">
              <w:rPr>
                <w:rFonts w:eastAsia="Times New Roman" w:cs="Arial"/>
                <w:lang w:val="fr-FR"/>
              </w:rPr>
              <w:t xml:space="preserve">car elle est directement </w:t>
            </w:r>
            <w:r w:rsidR="00213BAA">
              <w:rPr>
                <w:rFonts w:eastAsia="Times New Roman" w:cs="Arial"/>
                <w:lang w:val="fr-FR"/>
              </w:rPr>
              <w:t>en lien avec les</w:t>
            </w:r>
            <w:r w:rsidR="00561979">
              <w:rPr>
                <w:rFonts w:eastAsia="Times New Roman" w:cs="Arial"/>
                <w:lang w:val="fr-FR"/>
              </w:rPr>
              <w:t xml:space="preserve"> transferts monétaires</w:t>
            </w:r>
            <w:r w:rsidR="00884AB6" w:rsidRPr="00561979">
              <w:rPr>
                <w:rFonts w:cs="Arial"/>
                <w:lang w:val="fr-FR"/>
              </w:rPr>
              <w:t>.</w:t>
            </w:r>
          </w:p>
        </w:tc>
        <w:tc>
          <w:tcPr>
            <w:tcW w:w="688" w:type="pct"/>
            <w:shd w:val="clear" w:color="auto" w:fill="E6E6E6"/>
          </w:tcPr>
          <w:p w:rsidR="00884AB6" w:rsidRPr="00B65D5C" w:rsidRDefault="00B65D5C" w:rsidP="00B65D5C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>
              <w:rPr>
                <w:rFonts w:eastAsia="Times New Roman" w:cs="Arial"/>
                <w:lang w:val="fr-FR"/>
              </w:rPr>
              <w:t>Rapide</w:t>
            </w:r>
            <w:r w:rsidR="00884AB6" w:rsidRPr="00B65D5C">
              <w:rPr>
                <w:rFonts w:eastAsia="Times New Roman" w:cs="Arial"/>
                <w:lang w:val="fr-FR"/>
              </w:rPr>
              <w:t xml:space="preserve">, </w:t>
            </w:r>
            <w:r w:rsidRPr="00B65D5C">
              <w:rPr>
                <w:rFonts w:eastAsia="Times New Roman" w:cs="Arial"/>
                <w:lang w:val="fr-FR"/>
              </w:rPr>
              <w:t>initial</w:t>
            </w:r>
            <w:r w:rsidR="00884AB6" w:rsidRPr="00B65D5C">
              <w:rPr>
                <w:rFonts w:eastAsia="Times New Roman" w:cs="Arial"/>
                <w:lang w:val="fr-FR"/>
              </w:rPr>
              <w:t>,</w:t>
            </w:r>
            <w:r w:rsidRPr="00B65D5C">
              <w:rPr>
                <w:rFonts w:eastAsia="Times New Roman" w:cs="Arial"/>
                <w:lang w:val="fr-FR"/>
              </w:rPr>
              <w:t xml:space="preserve"> approfondi </w:t>
            </w:r>
            <w:r w:rsidR="00884AB6" w:rsidRPr="00B65D5C">
              <w:rPr>
                <w:rFonts w:eastAsia="Times New Roman" w:cs="Arial"/>
                <w:lang w:val="fr-FR"/>
              </w:rPr>
              <w:t>(</w:t>
            </w:r>
            <w:r w:rsidRPr="00B65D5C">
              <w:rPr>
                <w:rFonts w:eastAsia="Times New Roman" w:cs="Arial"/>
                <w:lang w:val="fr-FR"/>
              </w:rPr>
              <w:t>et suivi continu</w:t>
            </w:r>
            <w:r w:rsidR="00884AB6" w:rsidRPr="00B65D5C">
              <w:rPr>
                <w:rFonts w:eastAsia="Times New Roman" w:cs="Arial"/>
                <w:lang w:val="fr-FR"/>
              </w:rPr>
              <w:t>)</w:t>
            </w:r>
          </w:p>
        </w:tc>
        <w:tc>
          <w:tcPr>
            <w:tcW w:w="688" w:type="pct"/>
            <w:shd w:val="clear" w:color="auto" w:fill="E6E6E6"/>
          </w:tcPr>
          <w:p w:rsidR="00884AB6" w:rsidRPr="00B65D5C" w:rsidRDefault="00B65D5C" w:rsidP="00B65D5C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Sécurité économique</w:t>
            </w:r>
            <w:r w:rsidR="00884AB6" w:rsidRPr="00B65D5C">
              <w:rPr>
                <w:rFonts w:eastAsia="Times New Roman" w:cs="Arial"/>
                <w:lang w:val="fr-FR"/>
              </w:rPr>
              <w:t>,</w:t>
            </w:r>
            <w:r w:rsidRPr="00B65D5C">
              <w:rPr>
                <w:rFonts w:eastAsia="Times New Roman" w:cs="Arial"/>
                <w:lang w:val="fr-FR"/>
              </w:rPr>
              <w:t xml:space="preserve"> moyens de subsistance et nutrition</w:t>
            </w:r>
          </w:p>
        </w:tc>
        <w:tc>
          <w:tcPr>
            <w:tcW w:w="892" w:type="pct"/>
            <w:shd w:val="clear" w:color="auto" w:fill="F3F3F3"/>
          </w:tcPr>
          <w:p w:rsidR="00884AB6" w:rsidRPr="00CD686B" w:rsidRDefault="0061102D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  <w:r w:rsidRPr="00CD686B">
              <w:rPr>
                <w:rFonts w:eastAsia="Times New Roman" w:cs="Arial"/>
                <w:lang w:val="fr-FR"/>
              </w:rPr>
              <w:t>Oui</w:t>
            </w:r>
          </w:p>
        </w:tc>
      </w:tr>
      <w:tr w:rsidR="00A574AB" w:rsidRPr="00D013A2" w:rsidTr="00451D6C">
        <w:trPr>
          <w:trHeight w:val="1050"/>
        </w:trPr>
        <w:tc>
          <w:tcPr>
            <w:tcW w:w="946" w:type="pct"/>
            <w:shd w:val="clear" w:color="000000" w:fill="A6A6A6"/>
            <w:vAlign w:val="center"/>
          </w:tcPr>
          <w:p w:rsidR="00884AB6" w:rsidRPr="00213BAA" w:rsidRDefault="000B27F5" w:rsidP="000B27F5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>
              <w:rPr>
                <w:rFonts w:eastAsia="Times New Roman" w:cs="Arial"/>
                <w:lang w:val="fr-FR"/>
              </w:rPr>
              <w:lastRenderedPageBreak/>
              <w:t>Lignes directrices relatives à la</w:t>
            </w:r>
            <w:r w:rsidR="00213BAA" w:rsidRPr="00213BAA">
              <w:rPr>
                <w:rFonts w:eastAsia="Times New Roman" w:cs="Arial"/>
                <w:lang w:val="fr-FR"/>
              </w:rPr>
              <w:t xml:space="preserve"> sécurité économique des ménages (</w:t>
            </w:r>
            <w:r w:rsidR="00213BAA" w:rsidRPr="00213BAA">
              <w:rPr>
                <w:rFonts w:eastAsia="Times New Roman" w:cs="Arial"/>
                <w:i/>
                <w:iCs/>
                <w:lang w:val="fr-FR"/>
              </w:rPr>
              <w:t xml:space="preserve">en anglais, </w:t>
            </w:r>
            <w:proofErr w:type="spellStart"/>
            <w:r w:rsidR="00213BAA" w:rsidRPr="00213BAA">
              <w:rPr>
                <w:rFonts w:eastAsia="Times New Roman" w:cs="Arial"/>
                <w:i/>
                <w:iCs/>
                <w:lang w:val="fr-FR"/>
              </w:rPr>
              <w:t>Household</w:t>
            </w:r>
            <w:proofErr w:type="spellEnd"/>
            <w:r w:rsidR="00213BAA" w:rsidRPr="00213BAA">
              <w:rPr>
                <w:rFonts w:eastAsia="Times New Roman" w:cs="Arial"/>
                <w:i/>
                <w:iCs/>
                <w:lang w:val="fr-FR"/>
              </w:rPr>
              <w:t xml:space="preserve"> </w:t>
            </w:r>
            <w:proofErr w:type="spellStart"/>
            <w:r w:rsidR="00213BAA" w:rsidRPr="00213BAA">
              <w:rPr>
                <w:rFonts w:eastAsia="Times New Roman" w:cs="Arial"/>
                <w:i/>
                <w:iCs/>
                <w:lang w:val="fr-FR"/>
              </w:rPr>
              <w:t>Economic</w:t>
            </w:r>
            <w:proofErr w:type="spellEnd"/>
            <w:r w:rsidR="00213BAA" w:rsidRPr="00213BAA">
              <w:rPr>
                <w:rFonts w:eastAsia="Times New Roman" w:cs="Arial"/>
                <w:i/>
                <w:iCs/>
                <w:lang w:val="fr-FR"/>
              </w:rPr>
              <w:t xml:space="preserve"> Security (HES) Guidelines</w:t>
            </w:r>
            <w:r w:rsidR="00213BAA">
              <w:rPr>
                <w:rFonts w:eastAsia="Times New Roman" w:cs="Arial"/>
                <w:lang w:val="fr-FR"/>
              </w:rPr>
              <w:t>)</w:t>
            </w:r>
            <w:r w:rsidR="00213BAA" w:rsidRPr="00213BAA">
              <w:rPr>
                <w:rFonts w:eastAsia="Times New Roman" w:cs="Arial"/>
                <w:lang w:val="fr-FR"/>
              </w:rPr>
              <w:t xml:space="preserve"> </w:t>
            </w:r>
            <w:r w:rsidR="00213BAA">
              <w:rPr>
                <w:rFonts w:eastAsia="Times New Roman" w:cs="Arial"/>
                <w:lang w:val="fr-FR"/>
              </w:rPr>
              <w:t>(Croix-Rouge britannique)</w:t>
            </w:r>
          </w:p>
        </w:tc>
        <w:tc>
          <w:tcPr>
            <w:tcW w:w="1787" w:type="pct"/>
            <w:shd w:val="clear" w:color="auto" w:fill="E6E6E6"/>
            <w:vAlign w:val="center"/>
          </w:tcPr>
          <w:p w:rsidR="00884AB6" w:rsidRPr="007F165F" w:rsidRDefault="000B27F5" w:rsidP="000B27F5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>
              <w:rPr>
                <w:rFonts w:eastAsia="Times New Roman" w:cs="Arial"/>
                <w:lang w:val="fr-FR"/>
              </w:rPr>
              <w:t xml:space="preserve">Les </w:t>
            </w:r>
            <w:r w:rsidRPr="000B27F5">
              <w:rPr>
                <w:rFonts w:eastAsia="Times New Roman" w:cs="Arial"/>
                <w:lang w:val="fr-FR"/>
              </w:rPr>
              <w:t xml:space="preserve">Lignes directrices relatives à la </w:t>
            </w:r>
            <w:r w:rsidR="00241D19" w:rsidRPr="00241D19">
              <w:rPr>
                <w:rFonts w:eastAsia="Times New Roman" w:cs="Arial"/>
                <w:lang w:val="fr-FR"/>
              </w:rPr>
              <w:t>sécurité économique</w:t>
            </w:r>
            <w:r w:rsidR="00884AB6" w:rsidRPr="00241D19">
              <w:rPr>
                <w:rFonts w:eastAsia="Times New Roman" w:cs="Arial"/>
                <w:lang w:val="fr-FR"/>
              </w:rPr>
              <w:t xml:space="preserve"> </w:t>
            </w:r>
            <w:r w:rsidR="00241D19" w:rsidRPr="00241D19">
              <w:rPr>
                <w:rFonts w:eastAsia="Times New Roman" w:cs="Arial"/>
                <w:lang w:val="fr-FR"/>
              </w:rPr>
              <w:t xml:space="preserve">des ménages </w:t>
            </w:r>
            <w:r w:rsidR="00C83D9B">
              <w:rPr>
                <w:rFonts w:eastAsia="Times New Roman" w:cs="Arial"/>
                <w:lang w:val="fr-FR"/>
              </w:rPr>
              <w:t xml:space="preserve">expliquent étape par étape comment effectuer une </w:t>
            </w:r>
            <w:r w:rsidR="00B739A9">
              <w:rPr>
                <w:rFonts w:eastAsia="Times New Roman" w:cs="Arial"/>
                <w:lang w:val="fr-FR"/>
              </w:rPr>
              <w:t>analyse de la situation après-choc</w:t>
            </w:r>
            <w:r w:rsidR="00C83D9B">
              <w:rPr>
                <w:rFonts w:eastAsia="Times New Roman" w:cs="Arial"/>
                <w:lang w:val="fr-FR"/>
              </w:rPr>
              <w:t xml:space="preserve"> axée sur les moyens de subsistance. </w:t>
            </w:r>
            <w:r w:rsidR="00C83D9B" w:rsidRPr="00C83D9B">
              <w:rPr>
                <w:rFonts w:eastAsia="Times New Roman" w:cs="Arial"/>
                <w:lang w:val="fr-FR"/>
              </w:rPr>
              <w:t>Elles peuvent être utilisées</w:t>
            </w:r>
            <w:r w:rsidR="00884AB6" w:rsidRPr="00C83D9B">
              <w:rPr>
                <w:rFonts w:eastAsia="Times New Roman" w:cs="Arial"/>
                <w:lang w:val="fr-FR"/>
              </w:rPr>
              <w:t xml:space="preserve"> </w:t>
            </w:r>
            <w:r w:rsidR="00C83D9B" w:rsidRPr="00C83D9B">
              <w:rPr>
                <w:rFonts w:eastAsia="Times New Roman" w:cs="Arial"/>
                <w:lang w:val="fr-FR"/>
              </w:rPr>
              <w:t>dans les situations de catastrophe soudaine</w:t>
            </w:r>
            <w:r w:rsidR="00C83D9B">
              <w:rPr>
                <w:rFonts w:eastAsia="Times New Roman" w:cs="Arial"/>
                <w:lang w:val="fr-FR"/>
              </w:rPr>
              <w:t xml:space="preserve"> ou à évolution lente et le</w:t>
            </w:r>
            <w:r w:rsidR="00E16245">
              <w:rPr>
                <w:rFonts w:eastAsia="Times New Roman" w:cs="Arial"/>
                <w:lang w:val="fr-FR"/>
              </w:rPr>
              <w:t>s situations d’urgence liées à un conflit</w:t>
            </w:r>
            <w:r w:rsidR="00C83D9B">
              <w:rPr>
                <w:rFonts w:eastAsia="Times New Roman" w:cs="Arial"/>
                <w:lang w:val="fr-FR"/>
              </w:rPr>
              <w:t>.</w:t>
            </w:r>
            <w:r w:rsidR="00C83D9B" w:rsidRPr="00C83D9B">
              <w:rPr>
                <w:rFonts w:eastAsia="Times New Roman" w:cs="Arial"/>
                <w:lang w:val="fr-FR"/>
              </w:rPr>
              <w:t xml:space="preserve"> </w:t>
            </w:r>
          </w:p>
        </w:tc>
        <w:tc>
          <w:tcPr>
            <w:tcW w:w="688" w:type="pct"/>
            <w:shd w:val="clear" w:color="auto" w:fill="E6E6E6"/>
          </w:tcPr>
          <w:p w:rsidR="00884AB6" w:rsidRPr="00B65D5C" w:rsidRDefault="00884AB6" w:rsidP="00B65D5C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</w:t>
            </w:r>
            <w:r w:rsidR="00B65D5C" w:rsidRPr="00B65D5C">
              <w:rPr>
                <w:rFonts w:eastAsia="Times New Roman" w:cs="Arial"/>
                <w:lang w:val="fr-FR"/>
              </w:rPr>
              <w:t>e</w:t>
            </w:r>
            <w:r w:rsidRPr="00B65D5C">
              <w:rPr>
                <w:rFonts w:eastAsia="Times New Roman" w:cs="Arial"/>
                <w:lang w:val="fr-FR"/>
              </w:rPr>
              <w:t xml:space="preserve"> </w:t>
            </w:r>
            <w:r w:rsidR="00B65D5C" w:rsidRPr="00B65D5C">
              <w:rPr>
                <w:rFonts w:eastAsia="Times New Roman" w:cs="Arial"/>
                <w:lang w:val="fr-FR"/>
              </w:rPr>
              <w:t>et approfondi</w:t>
            </w:r>
          </w:p>
        </w:tc>
        <w:tc>
          <w:tcPr>
            <w:tcW w:w="688" w:type="pct"/>
            <w:shd w:val="clear" w:color="auto" w:fill="E6E6E6"/>
          </w:tcPr>
          <w:p w:rsidR="00884AB6" w:rsidRPr="00B65D5C" w:rsidRDefault="00B65D5C" w:rsidP="00D013A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Sécurité alimentaire et moyens de subsistance</w:t>
            </w:r>
          </w:p>
        </w:tc>
        <w:tc>
          <w:tcPr>
            <w:tcW w:w="892" w:type="pct"/>
            <w:shd w:val="clear" w:color="auto" w:fill="F3F3F3"/>
          </w:tcPr>
          <w:p w:rsidR="00884AB6" w:rsidRPr="00D013A2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en-GB"/>
              </w:rPr>
            </w:pPr>
            <w:r w:rsidRPr="00D013A2">
              <w:rPr>
                <w:rFonts w:eastAsia="Times New Roman" w:cs="Arial"/>
                <w:lang w:val="en-GB"/>
              </w:rPr>
              <w:t>No</w:t>
            </w:r>
            <w:r w:rsidR="0061102D">
              <w:rPr>
                <w:rFonts w:eastAsia="Times New Roman" w:cs="Arial"/>
                <w:lang w:val="en-GB"/>
              </w:rPr>
              <w:t>n</w:t>
            </w:r>
          </w:p>
        </w:tc>
      </w:tr>
      <w:tr w:rsidR="00A574AB" w:rsidRPr="00D013A2" w:rsidTr="00451D6C">
        <w:trPr>
          <w:trHeight w:val="2353"/>
        </w:trPr>
        <w:tc>
          <w:tcPr>
            <w:tcW w:w="946" w:type="pct"/>
            <w:shd w:val="clear" w:color="000000" w:fill="A6A6A6"/>
            <w:vAlign w:val="center"/>
          </w:tcPr>
          <w:p w:rsidR="00884AB6" w:rsidRPr="00E12755" w:rsidRDefault="000B27F5" w:rsidP="000B27F5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>
              <w:rPr>
                <w:rFonts w:eastAsia="Times New Roman" w:cs="Arial"/>
                <w:lang w:val="fr-FR"/>
              </w:rPr>
              <w:t xml:space="preserve">Manuel pratique pour les </w:t>
            </w:r>
            <w:r w:rsidR="00E12755" w:rsidRPr="00E12755">
              <w:rPr>
                <w:rFonts w:eastAsia="Times New Roman" w:cs="Arial"/>
                <w:lang w:val="fr-FR"/>
              </w:rPr>
              <w:t>unité</w:t>
            </w:r>
            <w:r>
              <w:rPr>
                <w:rFonts w:eastAsia="Times New Roman" w:cs="Arial"/>
                <w:lang w:val="fr-FR"/>
              </w:rPr>
              <w:t>s</w:t>
            </w:r>
            <w:r w:rsidR="00E12755">
              <w:rPr>
                <w:rFonts w:eastAsia="Times New Roman" w:cs="Arial"/>
                <w:lang w:val="fr-FR"/>
              </w:rPr>
              <w:t xml:space="preserve"> d’intervention d’urgence (ERU)</w:t>
            </w:r>
            <w:r w:rsidR="00E12755" w:rsidRPr="00E12755">
              <w:rPr>
                <w:rFonts w:eastAsia="Times New Roman" w:cs="Arial"/>
                <w:lang w:val="fr-FR"/>
              </w:rPr>
              <w:t xml:space="preserve"> </w:t>
            </w:r>
            <w:r w:rsidR="00884AB6" w:rsidRPr="00E12755">
              <w:rPr>
                <w:rFonts w:eastAsia="Times New Roman" w:cs="Arial"/>
                <w:lang w:val="fr-FR"/>
              </w:rPr>
              <w:t>(</w:t>
            </w:r>
            <w:r w:rsidR="00E12755">
              <w:rPr>
                <w:rFonts w:eastAsia="Times New Roman" w:cs="Arial"/>
                <w:lang w:val="fr-FR"/>
              </w:rPr>
              <w:t>Société</w:t>
            </w:r>
            <w:r>
              <w:rPr>
                <w:rFonts w:eastAsia="Times New Roman" w:cs="Arial"/>
                <w:lang w:val="fr-FR"/>
              </w:rPr>
              <w:t>s</w:t>
            </w:r>
            <w:r w:rsidR="00E12755">
              <w:rPr>
                <w:rFonts w:eastAsia="Times New Roman" w:cs="Arial"/>
                <w:lang w:val="fr-FR"/>
              </w:rPr>
              <w:t xml:space="preserve"> nationale</w:t>
            </w:r>
            <w:r>
              <w:rPr>
                <w:rFonts w:eastAsia="Times New Roman" w:cs="Arial"/>
                <w:lang w:val="fr-FR"/>
              </w:rPr>
              <w:t>s, ERU</w:t>
            </w:r>
            <w:r w:rsidR="00884AB6" w:rsidRPr="00E12755">
              <w:rPr>
                <w:rFonts w:eastAsia="Times New Roman" w:cs="Arial"/>
                <w:lang w:val="fr-FR"/>
              </w:rPr>
              <w:t>)</w:t>
            </w:r>
          </w:p>
        </w:tc>
        <w:tc>
          <w:tcPr>
            <w:tcW w:w="1787" w:type="pct"/>
            <w:shd w:val="clear" w:color="auto" w:fill="E6E6E6"/>
            <w:vAlign w:val="center"/>
          </w:tcPr>
          <w:p w:rsidR="00884AB6" w:rsidRPr="007F165F" w:rsidRDefault="00E12755" w:rsidP="000B27F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lang w:val="fr-FR"/>
              </w:rPr>
            </w:pPr>
            <w:r w:rsidRPr="00E12755">
              <w:rPr>
                <w:rFonts w:cs="Arial"/>
                <w:lang w:val="fr-FR"/>
              </w:rPr>
              <w:t>Le manuel couvre les différentes phases du cycle d’un projet.</w:t>
            </w:r>
            <w:r w:rsidR="00884AB6" w:rsidRPr="00E12755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La méthode d’</w:t>
            </w:r>
            <w:r w:rsidR="00A94269">
              <w:rPr>
                <w:rFonts w:cs="Arial"/>
                <w:lang w:val="fr-FR"/>
              </w:rPr>
              <w:t>évaluation</w:t>
            </w:r>
            <w:r>
              <w:rPr>
                <w:rFonts w:cs="Arial"/>
                <w:lang w:val="fr-FR"/>
              </w:rPr>
              <w:t xml:space="preserve"> utilisée s’appuie sur le cadre pour l’analyse de la vulnérabilité et des capacités. Il fournit u</w:t>
            </w:r>
            <w:r w:rsidRPr="00E12755">
              <w:rPr>
                <w:rFonts w:cs="Arial"/>
                <w:lang w:val="fr-FR"/>
              </w:rPr>
              <w:t xml:space="preserve">ne liste de contrôle </w:t>
            </w:r>
            <w:r w:rsidR="00E46FBB">
              <w:rPr>
                <w:rFonts w:cs="Arial"/>
                <w:lang w:val="fr-FR"/>
              </w:rPr>
              <w:t xml:space="preserve">pour les évaluations rapides </w:t>
            </w:r>
            <w:r w:rsidR="00B739A9">
              <w:rPr>
                <w:rFonts w:cs="Arial"/>
                <w:lang w:val="fr-FR"/>
              </w:rPr>
              <w:t>qui porte</w:t>
            </w:r>
            <w:r w:rsidRPr="00E12755">
              <w:rPr>
                <w:rFonts w:cs="Arial"/>
                <w:lang w:val="fr-FR"/>
              </w:rPr>
              <w:t xml:space="preserve"> sur des questions clés </w:t>
            </w:r>
            <w:r>
              <w:rPr>
                <w:rFonts w:cs="Arial"/>
                <w:lang w:val="fr-FR"/>
              </w:rPr>
              <w:t xml:space="preserve">liées aux capacités, aux articles de secours non alimentaires, à l’hygiène, </w:t>
            </w:r>
            <w:r w:rsidR="000B27F5">
              <w:rPr>
                <w:rFonts w:cs="Arial"/>
                <w:lang w:val="fr-FR"/>
              </w:rPr>
              <w:t>au logement</w:t>
            </w:r>
            <w:r>
              <w:rPr>
                <w:rFonts w:cs="Arial"/>
                <w:lang w:val="fr-FR"/>
              </w:rPr>
              <w:t xml:space="preserve">, à l’alimentation et à la nutrition, à l’eau </w:t>
            </w:r>
            <w:r w:rsidR="00B37F18">
              <w:rPr>
                <w:rFonts w:cs="Arial"/>
                <w:lang w:val="fr-FR"/>
              </w:rPr>
              <w:t xml:space="preserve">et </w:t>
            </w:r>
            <w:r>
              <w:rPr>
                <w:rFonts w:cs="Arial"/>
                <w:lang w:val="fr-FR"/>
              </w:rPr>
              <w:t>à l’</w:t>
            </w:r>
            <w:r w:rsidR="00B37F18">
              <w:rPr>
                <w:rFonts w:cs="Arial"/>
                <w:lang w:val="fr-FR"/>
              </w:rPr>
              <w:t>assainissement</w:t>
            </w:r>
            <w:r>
              <w:rPr>
                <w:rFonts w:cs="Arial"/>
                <w:lang w:val="fr-FR"/>
              </w:rPr>
              <w:t>, à la santé</w:t>
            </w:r>
            <w:r w:rsidR="00B37F18">
              <w:rPr>
                <w:rFonts w:cs="Arial"/>
                <w:lang w:val="fr-FR"/>
              </w:rPr>
              <w:t xml:space="preserve"> et à l’analyse de marché. </w:t>
            </w:r>
          </w:p>
        </w:tc>
        <w:tc>
          <w:tcPr>
            <w:tcW w:w="688" w:type="pct"/>
            <w:shd w:val="clear" w:color="auto" w:fill="E6E6E6"/>
          </w:tcPr>
          <w:p w:rsidR="00884AB6" w:rsidRPr="00B65D5C" w:rsidRDefault="00884AB6" w:rsidP="00B65D5C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B65D5C">
              <w:rPr>
                <w:rFonts w:eastAsia="Times New Roman" w:cs="Arial"/>
                <w:lang w:val="fr-FR"/>
              </w:rPr>
              <w:t>Rapid</w:t>
            </w:r>
            <w:r w:rsidR="00B65D5C" w:rsidRPr="00B65D5C">
              <w:rPr>
                <w:rFonts w:eastAsia="Times New Roman" w:cs="Arial"/>
                <w:lang w:val="fr-FR"/>
              </w:rPr>
              <w:t>e</w:t>
            </w:r>
            <w:r w:rsidRPr="00B65D5C">
              <w:rPr>
                <w:rFonts w:eastAsia="Times New Roman" w:cs="Arial"/>
                <w:lang w:val="fr-FR"/>
              </w:rPr>
              <w:t xml:space="preserve"> </w:t>
            </w:r>
            <w:r w:rsidR="00B65D5C" w:rsidRPr="00B65D5C">
              <w:rPr>
                <w:rFonts w:eastAsia="Times New Roman" w:cs="Arial"/>
                <w:lang w:val="fr-FR"/>
              </w:rPr>
              <w:t>et approfondi</w:t>
            </w:r>
          </w:p>
        </w:tc>
        <w:tc>
          <w:tcPr>
            <w:tcW w:w="688" w:type="pct"/>
            <w:shd w:val="clear" w:color="auto" w:fill="E6E6E6"/>
          </w:tcPr>
          <w:p w:rsidR="00884AB6" w:rsidRPr="00D013A2" w:rsidRDefault="00B65D5C" w:rsidP="00D013A2">
            <w:pPr>
              <w:spacing w:before="40" w:after="40"/>
              <w:jc w:val="left"/>
              <w:rPr>
                <w:rFonts w:eastAsia="Times New Roman" w:cs="Arial"/>
                <w:lang w:val="en-GB"/>
              </w:rPr>
            </w:pPr>
            <w:r w:rsidRPr="00136A67">
              <w:rPr>
                <w:rFonts w:eastAsia="Times New Roman" w:cs="Arial"/>
                <w:lang w:val="fr-FR"/>
              </w:rPr>
              <w:t>Multisectoriel</w:t>
            </w:r>
          </w:p>
        </w:tc>
        <w:tc>
          <w:tcPr>
            <w:tcW w:w="892" w:type="pct"/>
            <w:shd w:val="clear" w:color="auto" w:fill="F3F3F3"/>
          </w:tcPr>
          <w:p w:rsidR="00884AB6" w:rsidRPr="00D013A2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en-GB"/>
              </w:rPr>
            </w:pPr>
            <w:r w:rsidRPr="00D013A2">
              <w:rPr>
                <w:rFonts w:eastAsia="Times New Roman" w:cs="Arial"/>
                <w:lang w:val="en-GB"/>
              </w:rPr>
              <w:t>No</w:t>
            </w:r>
            <w:r w:rsidR="0061102D">
              <w:rPr>
                <w:rFonts w:eastAsia="Times New Roman" w:cs="Arial"/>
                <w:lang w:val="en-GB"/>
              </w:rPr>
              <w:t>n</w:t>
            </w:r>
          </w:p>
        </w:tc>
      </w:tr>
      <w:tr w:rsidR="00A574AB" w:rsidRPr="00D013A2" w:rsidTr="00451D6C">
        <w:trPr>
          <w:trHeight w:val="1050"/>
        </w:trPr>
        <w:tc>
          <w:tcPr>
            <w:tcW w:w="946" w:type="pct"/>
            <w:shd w:val="clear" w:color="000000" w:fill="A6A6A6"/>
            <w:vAlign w:val="center"/>
          </w:tcPr>
          <w:p w:rsidR="00884AB6" w:rsidRPr="00E12755" w:rsidRDefault="00E12755" w:rsidP="00E1275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E12755">
              <w:rPr>
                <w:rFonts w:cs="Arial"/>
                <w:bCs/>
                <w:lang w:val="fr-FR"/>
              </w:rPr>
              <w:t>Évaluation de la vulnérabilité et des capacités</w:t>
            </w:r>
            <w:r w:rsidR="00884AB6" w:rsidRPr="00E12755">
              <w:rPr>
                <w:rFonts w:cs="Arial"/>
                <w:bCs/>
                <w:lang w:val="fr-FR"/>
              </w:rPr>
              <w:t xml:space="preserve"> (</w:t>
            </w:r>
            <w:r>
              <w:rPr>
                <w:rFonts w:cs="Arial"/>
                <w:bCs/>
                <w:lang w:val="fr-FR"/>
              </w:rPr>
              <w:t>EVC</w:t>
            </w:r>
            <w:r w:rsidR="00884AB6" w:rsidRPr="00E12755">
              <w:rPr>
                <w:rFonts w:cs="Arial"/>
                <w:bCs/>
                <w:lang w:val="fr-FR"/>
              </w:rPr>
              <w:t>) (</w:t>
            </w:r>
            <w:r>
              <w:rPr>
                <w:rFonts w:cs="Arial"/>
                <w:bCs/>
                <w:lang w:val="fr-FR"/>
              </w:rPr>
              <w:t>Fédération internationale et Société</w:t>
            </w:r>
            <w:r w:rsidR="000B27F5">
              <w:rPr>
                <w:rFonts w:cs="Arial"/>
                <w:bCs/>
                <w:lang w:val="fr-FR"/>
              </w:rPr>
              <w:t>s</w:t>
            </w:r>
            <w:r>
              <w:rPr>
                <w:rFonts w:cs="Arial"/>
                <w:bCs/>
                <w:lang w:val="fr-FR"/>
              </w:rPr>
              <w:t xml:space="preserve"> nationale</w:t>
            </w:r>
            <w:r w:rsidR="000B27F5">
              <w:rPr>
                <w:rFonts w:cs="Arial"/>
                <w:bCs/>
                <w:lang w:val="fr-FR"/>
              </w:rPr>
              <w:t>s</w:t>
            </w:r>
            <w:r w:rsidR="00884AB6" w:rsidRPr="00E12755">
              <w:rPr>
                <w:rFonts w:cs="Arial"/>
                <w:bCs/>
                <w:lang w:val="fr-FR"/>
              </w:rPr>
              <w:t>)</w:t>
            </w:r>
          </w:p>
        </w:tc>
        <w:tc>
          <w:tcPr>
            <w:tcW w:w="1787" w:type="pct"/>
            <w:shd w:val="clear" w:color="auto" w:fill="E6E6E6"/>
            <w:vAlign w:val="center"/>
          </w:tcPr>
          <w:p w:rsidR="00884AB6" w:rsidRPr="00052B32" w:rsidRDefault="007F165F" w:rsidP="000B27F5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>
              <w:rPr>
                <w:rFonts w:eastAsia="Times New Roman" w:cs="Arial"/>
                <w:lang w:val="fr-FR"/>
              </w:rPr>
              <w:t>L’EVC repose sur l’utilisation de d</w:t>
            </w:r>
            <w:r w:rsidRPr="007F165F">
              <w:rPr>
                <w:rFonts w:eastAsia="Times New Roman" w:cs="Arial"/>
                <w:lang w:val="fr-FR"/>
              </w:rPr>
              <w:t xml:space="preserve">ifférents outils participatifs </w:t>
            </w:r>
            <w:r>
              <w:rPr>
                <w:rFonts w:eastAsia="Times New Roman" w:cs="Arial"/>
                <w:lang w:val="fr-FR"/>
              </w:rPr>
              <w:t xml:space="preserve">pour analyser la vulnérabilité des </w:t>
            </w:r>
            <w:r w:rsidR="000B27F5">
              <w:rPr>
                <w:rFonts w:eastAsia="Times New Roman" w:cs="Arial"/>
                <w:lang w:val="fr-FR"/>
              </w:rPr>
              <w:t>individus</w:t>
            </w:r>
            <w:bookmarkStart w:id="0" w:name="_GoBack"/>
            <w:bookmarkEnd w:id="0"/>
            <w:r>
              <w:rPr>
                <w:rFonts w:eastAsia="Times New Roman" w:cs="Arial"/>
                <w:lang w:val="fr-FR"/>
              </w:rPr>
              <w:t xml:space="preserve"> face aux dangers naturels et leur capacité d’y faire face. </w:t>
            </w:r>
            <w:r w:rsidRPr="007F165F">
              <w:rPr>
                <w:rFonts w:eastAsia="Times New Roman" w:cs="Arial"/>
                <w:lang w:val="fr-FR"/>
              </w:rPr>
              <w:t>Elle fait partie intégrante de la préparation aux catastrophe</w:t>
            </w:r>
            <w:r w:rsidR="00B739A9">
              <w:rPr>
                <w:rFonts w:eastAsia="Times New Roman" w:cs="Arial"/>
                <w:lang w:val="fr-FR"/>
              </w:rPr>
              <w:t>s</w:t>
            </w:r>
            <w:r w:rsidRPr="007F165F">
              <w:rPr>
                <w:rFonts w:eastAsia="Times New Roman" w:cs="Arial"/>
                <w:lang w:val="fr-FR"/>
              </w:rPr>
              <w:t xml:space="preserve"> et favorise la mise sur pied de programmes à base communautaire de préparation aux catastrophes.</w:t>
            </w:r>
            <w:r>
              <w:rPr>
                <w:rFonts w:eastAsia="Times New Roman" w:cs="Arial"/>
                <w:lang w:val="fr-FR"/>
              </w:rPr>
              <w:t xml:space="preserve"> </w:t>
            </w:r>
            <w:r w:rsidR="00B739A9">
              <w:rPr>
                <w:rFonts w:eastAsia="Times New Roman" w:cs="Arial"/>
                <w:lang w:val="fr-FR"/>
              </w:rPr>
              <w:t>L</w:t>
            </w:r>
            <w:r w:rsidR="00052B32" w:rsidRPr="00052B32">
              <w:rPr>
                <w:rFonts w:eastAsia="Times New Roman" w:cs="Arial"/>
                <w:lang w:val="fr-FR"/>
              </w:rPr>
              <w:t xml:space="preserve">es outils de l’EVC </w:t>
            </w:r>
            <w:r w:rsidR="00B739A9">
              <w:rPr>
                <w:rFonts w:eastAsia="Times New Roman" w:cs="Arial"/>
                <w:lang w:val="fr-FR"/>
              </w:rPr>
              <w:t>sont fréquemment utilisés</w:t>
            </w:r>
            <w:r w:rsidR="00052B32" w:rsidRPr="00052B32">
              <w:rPr>
                <w:rFonts w:eastAsia="Times New Roman" w:cs="Arial"/>
                <w:lang w:val="fr-FR"/>
              </w:rPr>
              <w:t xml:space="preserve"> dans le cadre des évaluations</w:t>
            </w:r>
            <w:r w:rsidR="00280E65">
              <w:rPr>
                <w:rFonts w:eastAsia="Times New Roman" w:cs="Arial"/>
                <w:lang w:val="fr-FR"/>
              </w:rPr>
              <w:t xml:space="preserve"> approfondies de</w:t>
            </w:r>
            <w:r w:rsidR="00052B32">
              <w:rPr>
                <w:rFonts w:eastAsia="Times New Roman" w:cs="Arial"/>
                <w:lang w:val="fr-FR"/>
              </w:rPr>
              <w:t xml:space="preserve"> situations d’urgence.</w:t>
            </w:r>
          </w:p>
        </w:tc>
        <w:tc>
          <w:tcPr>
            <w:tcW w:w="688" w:type="pct"/>
            <w:shd w:val="clear" w:color="auto" w:fill="E6E6E6"/>
          </w:tcPr>
          <w:p w:rsidR="00884AB6" w:rsidRPr="00CD686B" w:rsidRDefault="00B65D5C" w:rsidP="00D013A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CD686B">
              <w:rPr>
                <w:rFonts w:eastAsia="Times New Roman" w:cs="Arial"/>
                <w:lang w:val="fr-FR"/>
              </w:rPr>
              <w:t>Approfondi</w:t>
            </w:r>
          </w:p>
        </w:tc>
        <w:tc>
          <w:tcPr>
            <w:tcW w:w="688" w:type="pct"/>
            <w:shd w:val="clear" w:color="auto" w:fill="E6E6E6"/>
          </w:tcPr>
          <w:p w:rsidR="00884AB6" w:rsidRPr="00CD686B" w:rsidRDefault="00B65D5C" w:rsidP="00D013A2">
            <w:pPr>
              <w:spacing w:before="40" w:after="40"/>
              <w:jc w:val="left"/>
              <w:rPr>
                <w:rFonts w:eastAsia="Times New Roman" w:cs="Arial"/>
                <w:lang w:val="fr-FR"/>
              </w:rPr>
            </w:pPr>
            <w:r w:rsidRPr="00CD686B">
              <w:rPr>
                <w:rFonts w:eastAsia="Times New Roman" w:cs="Arial"/>
                <w:lang w:val="fr-FR"/>
              </w:rPr>
              <w:t>Multisectoriel</w:t>
            </w:r>
          </w:p>
        </w:tc>
        <w:tc>
          <w:tcPr>
            <w:tcW w:w="892" w:type="pct"/>
            <w:shd w:val="clear" w:color="auto" w:fill="F3F3F3"/>
          </w:tcPr>
          <w:p w:rsidR="00884AB6" w:rsidRPr="00CD686B" w:rsidRDefault="00884AB6" w:rsidP="00D013A2">
            <w:pPr>
              <w:spacing w:before="40" w:after="40"/>
              <w:jc w:val="center"/>
              <w:rPr>
                <w:rFonts w:eastAsia="Times New Roman" w:cs="Arial"/>
                <w:lang w:val="fr-FR"/>
              </w:rPr>
            </w:pPr>
            <w:r w:rsidRPr="00CD686B">
              <w:rPr>
                <w:rFonts w:eastAsia="Times New Roman" w:cs="Arial"/>
                <w:lang w:val="fr-FR"/>
              </w:rPr>
              <w:t>No</w:t>
            </w:r>
            <w:r w:rsidR="0061102D" w:rsidRPr="00CD686B">
              <w:rPr>
                <w:rFonts w:eastAsia="Times New Roman" w:cs="Arial"/>
                <w:lang w:val="fr-FR"/>
              </w:rPr>
              <w:t>n</w:t>
            </w:r>
          </w:p>
        </w:tc>
      </w:tr>
    </w:tbl>
    <w:p w:rsidR="00884AB6" w:rsidRPr="00CB1A2F" w:rsidRDefault="00884AB6" w:rsidP="00884AB6">
      <w:pPr>
        <w:rPr>
          <w:lang w:val="en-GB"/>
        </w:rPr>
      </w:pPr>
    </w:p>
    <w:sectPr w:rsidR="00884AB6" w:rsidRPr="00CB1A2F" w:rsidSect="0091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E3" w:rsidRDefault="001378E3" w:rsidP="004D4921">
      <w:r>
        <w:separator/>
      </w:r>
    </w:p>
  </w:endnote>
  <w:endnote w:type="continuationSeparator" w:id="0">
    <w:p w:rsidR="001378E3" w:rsidRDefault="001378E3" w:rsidP="004D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21" w:rsidRDefault="00A323A3" w:rsidP="00E46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9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921" w:rsidRDefault="004D4921" w:rsidP="004D49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B6" w:rsidRPr="00B45C74" w:rsidRDefault="009167B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B27F5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167B6" w:rsidRPr="003A3500" w:rsidRDefault="009167B6" w:rsidP="00EB3090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 w:rsidR="00D2524C" w:rsidRPr="002E65F8">
      <w:rPr>
        <w:lang w:val="fr-FR"/>
      </w:rPr>
      <w:t>Étape</w:t>
    </w:r>
    <w:r w:rsidRPr="002E65F8">
      <w:rPr>
        <w:lang w:val="fr-FR"/>
      </w:rPr>
      <w:t xml:space="preserve"> 1. </w:t>
    </w:r>
    <w:r w:rsidR="00EB3090" w:rsidRPr="00EB3090">
      <w:rPr>
        <w:lang w:val="fr-FR"/>
      </w:rPr>
      <w:t xml:space="preserve">Étape subsidiaire </w:t>
    </w:r>
    <w:r w:rsidRPr="002E65F8">
      <w:rPr>
        <w:lang w:val="fr-FR"/>
      </w:rPr>
      <w:t xml:space="preserve">2. </w:t>
    </w:r>
    <w:r w:rsidR="006C0FF3" w:rsidRPr="002E65F8">
      <w:rPr>
        <w:lang w:val="fr-FR"/>
      </w:rPr>
      <w:fldChar w:fldCharType="begin"/>
    </w:r>
    <w:r w:rsidR="006C0FF3" w:rsidRPr="002E65F8">
      <w:rPr>
        <w:lang w:val="fr-FR"/>
      </w:rPr>
      <w:instrText xml:space="preserve"> STYLEREF  H1 \t  \* MERGEFORMAT </w:instrText>
    </w:r>
    <w:r w:rsidR="006C0FF3" w:rsidRPr="002E65F8">
      <w:rPr>
        <w:lang w:val="fr-FR"/>
      </w:rPr>
      <w:fldChar w:fldCharType="separate"/>
    </w:r>
    <w:r w:rsidR="000B27F5" w:rsidRPr="000B27F5">
      <w:rPr>
        <w:bCs/>
        <w:noProof/>
        <w:lang w:val="fr-FR"/>
      </w:rPr>
      <w:t>Tableau récapitulatif des outils</w:t>
    </w:r>
    <w:r w:rsidR="000B27F5">
      <w:rPr>
        <w:noProof/>
        <w:lang w:val="fr-FR"/>
      </w:rPr>
      <w:t xml:space="preserve"> d’évaluation</w:t>
    </w:r>
    <w:r w:rsidR="006C0FF3" w:rsidRPr="002E65F8">
      <w:rPr>
        <w:noProof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B4" w:rsidRDefault="00EF3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E3" w:rsidRDefault="001378E3" w:rsidP="004D4921">
      <w:r>
        <w:separator/>
      </w:r>
    </w:p>
  </w:footnote>
  <w:footnote w:type="continuationSeparator" w:id="0">
    <w:p w:rsidR="001378E3" w:rsidRDefault="001378E3" w:rsidP="004D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B4" w:rsidRDefault="00EF3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B6" w:rsidRPr="00EF37B4" w:rsidRDefault="00151CF4" w:rsidP="00F44FB9">
    <w:pPr>
      <w:pStyle w:val="Header"/>
      <w:rPr>
        <w:sz w:val="14"/>
        <w:szCs w:val="14"/>
        <w:lang w:val="fr-FR"/>
      </w:rPr>
    </w:pPr>
    <w:r w:rsidRPr="00EF37B4">
      <w:rPr>
        <w:rStyle w:val="Pantone485"/>
        <w:sz w:val="14"/>
        <w:szCs w:val="14"/>
        <w:lang w:val="fr-FR"/>
      </w:rPr>
      <w:t>Mouvement international de la Croix-Rouge et du Croissant-Rouge</w:t>
    </w:r>
    <w:r w:rsidR="009167B6" w:rsidRPr="00EF37B4">
      <w:rPr>
        <w:rFonts w:cs="Caecilia-Light"/>
        <w:color w:val="FF0000"/>
        <w:sz w:val="14"/>
        <w:szCs w:val="14"/>
        <w:lang w:val="fr-FR"/>
      </w:rPr>
      <w:t xml:space="preserve"> </w:t>
    </w:r>
    <w:r w:rsidR="009167B6" w:rsidRPr="00EF37B4">
      <w:rPr>
        <w:rStyle w:val="PageNumber"/>
        <w:bCs/>
        <w:sz w:val="14"/>
        <w:szCs w:val="14"/>
        <w:lang w:val="fr-FR"/>
      </w:rPr>
      <w:t>I</w:t>
    </w:r>
    <w:r w:rsidRPr="00EF37B4">
      <w:rPr>
        <w:rStyle w:val="PageNumber"/>
        <w:bCs/>
        <w:sz w:val="14"/>
        <w:szCs w:val="14"/>
        <w:lang w:val="fr-FR"/>
      </w:rPr>
      <w:t xml:space="preserve"> </w:t>
    </w:r>
    <w:r w:rsidR="00210354" w:rsidRPr="00EF37B4">
      <w:rPr>
        <w:rStyle w:val="PageNumber"/>
        <w:bCs/>
        <w:sz w:val="14"/>
        <w:szCs w:val="14"/>
        <w:lang w:val="fr-FR"/>
      </w:rPr>
      <w:t xml:space="preserve">Boîte à outils pour </w:t>
    </w:r>
    <w:r w:rsidR="00F44FB9" w:rsidRPr="00EF37B4">
      <w:rPr>
        <w:rStyle w:val="PageNumber"/>
        <w:bCs/>
        <w:sz w:val="14"/>
        <w:szCs w:val="14"/>
        <w:lang w:val="fr-FR"/>
      </w:rPr>
      <w:t>les transferts monétaires</w:t>
    </w:r>
    <w:r w:rsidR="00611C3C" w:rsidRPr="00EF37B4">
      <w:rPr>
        <w:rStyle w:val="PageNumber"/>
        <w:bCs/>
        <w:sz w:val="14"/>
        <w:szCs w:val="14"/>
        <w:lang w:val="fr-FR"/>
      </w:rPr>
      <w:t xml:space="preserve"> </w:t>
    </w:r>
    <w:r w:rsidRPr="00EF37B4">
      <w:rPr>
        <w:b/>
        <w:sz w:val="14"/>
        <w:szCs w:val="14"/>
        <w:lang w:val="fr-FR"/>
      </w:rPr>
      <w:t>dans les situations d’urgence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B4" w:rsidRDefault="00EF3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linkStyle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4E"/>
    <w:rsid w:val="00011159"/>
    <w:rsid w:val="000429CE"/>
    <w:rsid w:val="00052B32"/>
    <w:rsid w:val="00057389"/>
    <w:rsid w:val="00091734"/>
    <w:rsid w:val="0009731D"/>
    <w:rsid w:val="000B27F5"/>
    <w:rsid w:val="000B2E74"/>
    <w:rsid w:val="000D7992"/>
    <w:rsid w:val="000F0589"/>
    <w:rsid w:val="00136A67"/>
    <w:rsid w:val="001372F2"/>
    <w:rsid w:val="001378E3"/>
    <w:rsid w:val="00151CF4"/>
    <w:rsid w:val="001618AA"/>
    <w:rsid w:val="001674FC"/>
    <w:rsid w:val="00180E43"/>
    <w:rsid w:val="001A0F98"/>
    <w:rsid w:val="00210354"/>
    <w:rsid w:val="00213666"/>
    <w:rsid w:val="00213BAA"/>
    <w:rsid w:val="00241D19"/>
    <w:rsid w:val="00247E4B"/>
    <w:rsid w:val="00256714"/>
    <w:rsid w:val="00280622"/>
    <w:rsid w:val="00280E65"/>
    <w:rsid w:val="0029658A"/>
    <w:rsid w:val="002A3D71"/>
    <w:rsid w:val="002C0913"/>
    <w:rsid w:val="002E65F8"/>
    <w:rsid w:val="003314FE"/>
    <w:rsid w:val="00350A3E"/>
    <w:rsid w:val="0035606E"/>
    <w:rsid w:val="00387C21"/>
    <w:rsid w:val="00395467"/>
    <w:rsid w:val="003A2F66"/>
    <w:rsid w:val="003B36B3"/>
    <w:rsid w:val="004174EB"/>
    <w:rsid w:val="0042788F"/>
    <w:rsid w:val="00451D6C"/>
    <w:rsid w:val="004A2B9E"/>
    <w:rsid w:val="004D4921"/>
    <w:rsid w:val="004E719A"/>
    <w:rsid w:val="004F51EF"/>
    <w:rsid w:val="00512A9A"/>
    <w:rsid w:val="005319E8"/>
    <w:rsid w:val="0053325A"/>
    <w:rsid w:val="00546825"/>
    <w:rsid w:val="00561979"/>
    <w:rsid w:val="0058094E"/>
    <w:rsid w:val="005A56D7"/>
    <w:rsid w:val="005F1FB8"/>
    <w:rsid w:val="00606831"/>
    <w:rsid w:val="0061102D"/>
    <w:rsid w:val="00611C3C"/>
    <w:rsid w:val="0061575E"/>
    <w:rsid w:val="00633A46"/>
    <w:rsid w:val="0065114E"/>
    <w:rsid w:val="00653F06"/>
    <w:rsid w:val="0066261D"/>
    <w:rsid w:val="006634CB"/>
    <w:rsid w:val="0067110C"/>
    <w:rsid w:val="006C0562"/>
    <w:rsid w:val="006C0FF3"/>
    <w:rsid w:val="006C1F44"/>
    <w:rsid w:val="00707C2F"/>
    <w:rsid w:val="00753425"/>
    <w:rsid w:val="00781192"/>
    <w:rsid w:val="0078534C"/>
    <w:rsid w:val="007A5487"/>
    <w:rsid w:val="007B4199"/>
    <w:rsid w:val="007F165F"/>
    <w:rsid w:val="007F3894"/>
    <w:rsid w:val="00813984"/>
    <w:rsid w:val="0082525F"/>
    <w:rsid w:val="00884AB6"/>
    <w:rsid w:val="008A55EC"/>
    <w:rsid w:val="008B602B"/>
    <w:rsid w:val="00912E12"/>
    <w:rsid w:val="009167B6"/>
    <w:rsid w:val="00930A5B"/>
    <w:rsid w:val="009427F7"/>
    <w:rsid w:val="009640D6"/>
    <w:rsid w:val="00977BE3"/>
    <w:rsid w:val="00977E2F"/>
    <w:rsid w:val="00996060"/>
    <w:rsid w:val="009A4DD1"/>
    <w:rsid w:val="009A58DA"/>
    <w:rsid w:val="009A76FD"/>
    <w:rsid w:val="009E7A9F"/>
    <w:rsid w:val="00A323A3"/>
    <w:rsid w:val="00A574AB"/>
    <w:rsid w:val="00A578F1"/>
    <w:rsid w:val="00A73D4A"/>
    <w:rsid w:val="00A74C63"/>
    <w:rsid w:val="00A9165A"/>
    <w:rsid w:val="00A94269"/>
    <w:rsid w:val="00AA1225"/>
    <w:rsid w:val="00AA4BF6"/>
    <w:rsid w:val="00AB3705"/>
    <w:rsid w:val="00AB5FA2"/>
    <w:rsid w:val="00AD02FE"/>
    <w:rsid w:val="00B15A4C"/>
    <w:rsid w:val="00B23F92"/>
    <w:rsid w:val="00B37F18"/>
    <w:rsid w:val="00B65D5C"/>
    <w:rsid w:val="00B674A7"/>
    <w:rsid w:val="00B739A9"/>
    <w:rsid w:val="00BA5B43"/>
    <w:rsid w:val="00BB3EF1"/>
    <w:rsid w:val="00BC49E7"/>
    <w:rsid w:val="00BE562D"/>
    <w:rsid w:val="00C30AB9"/>
    <w:rsid w:val="00C41FA7"/>
    <w:rsid w:val="00C44271"/>
    <w:rsid w:val="00C46C08"/>
    <w:rsid w:val="00C5357A"/>
    <w:rsid w:val="00C62700"/>
    <w:rsid w:val="00C83D9B"/>
    <w:rsid w:val="00CB1A2F"/>
    <w:rsid w:val="00CD686B"/>
    <w:rsid w:val="00D013A2"/>
    <w:rsid w:val="00D2524C"/>
    <w:rsid w:val="00D54CDE"/>
    <w:rsid w:val="00DB1532"/>
    <w:rsid w:val="00E04D67"/>
    <w:rsid w:val="00E06B3C"/>
    <w:rsid w:val="00E12755"/>
    <w:rsid w:val="00E16245"/>
    <w:rsid w:val="00E3678F"/>
    <w:rsid w:val="00E4039C"/>
    <w:rsid w:val="00E46FBB"/>
    <w:rsid w:val="00EB3090"/>
    <w:rsid w:val="00EB63D1"/>
    <w:rsid w:val="00EF37B4"/>
    <w:rsid w:val="00F24E12"/>
    <w:rsid w:val="00F30AE0"/>
    <w:rsid w:val="00F30F0E"/>
    <w:rsid w:val="00F31ACD"/>
    <w:rsid w:val="00F44FB9"/>
    <w:rsid w:val="00F91CFC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08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C46C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C0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C0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C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08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674A7"/>
    <w:rPr>
      <w:rFonts w:ascii="Arial" w:hAnsi="Arial"/>
      <w:iCs/>
      <w:color w:val="52A67C"/>
      <w:sz w:val="20"/>
    </w:rPr>
  </w:style>
  <w:style w:type="paragraph" w:customStyle="1" w:styleId="Introductiontext">
    <w:name w:val="Introduction text"/>
    <w:basedOn w:val="Normal"/>
    <w:link w:val="IntroductiontextChar"/>
    <w:qFormat/>
    <w:rsid w:val="00BE562D"/>
    <w:rPr>
      <w:rFonts w:eastAsiaTheme="minorHAnsi"/>
      <w:color w:val="000000" w:themeColor="text1"/>
      <w:lang w:val="en-CA"/>
    </w:rPr>
  </w:style>
  <w:style w:type="character" w:customStyle="1" w:styleId="IntroductiontextChar">
    <w:name w:val="Introduction text Char"/>
    <w:basedOn w:val="DefaultParagraphFont"/>
    <w:link w:val="Introductiontext"/>
    <w:rsid w:val="00BE562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46C0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46C08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46C0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6C08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46C08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46C0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6C08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C08"/>
    <w:rPr>
      <w:rFonts w:ascii="Arial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46C0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6C08"/>
    <w:rPr>
      <w:rFonts w:ascii="Arial" w:eastAsiaTheme="minorHAnsi" w:hAnsi="Arial"/>
      <w:sz w:val="20"/>
      <w:szCs w:val="22"/>
    </w:rPr>
  </w:style>
  <w:style w:type="table" w:styleId="TableGrid">
    <w:name w:val="Table Grid"/>
    <w:basedOn w:val="TableNormal"/>
    <w:uiPriority w:val="59"/>
    <w:rsid w:val="00C46C08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C0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6C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B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46C0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46C08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C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C0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46C0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C0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46C08"/>
    <w:rPr>
      <w:vertAlign w:val="superscript"/>
    </w:rPr>
  </w:style>
  <w:style w:type="paragraph" w:styleId="Revision">
    <w:name w:val="Revision"/>
    <w:hidden/>
    <w:uiPriority w:val="99"/>
    <w:semiHidden/>
    <w:rsid w:val="00C46C0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46C0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46C0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46C0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46C0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46C0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46C0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46C0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46C0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46C08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46C08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C46C0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46C0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46C0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46C0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46C0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46C0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08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C46C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C0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C0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C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08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674A7"/>
    <w:rPr>
      <w:rFonts w:ascii="Arial" w:hAnsi="Arial"/>
      <w:iCs/>
      <w:color w:val="52A67C"/>
      <w:sz w:val="20"/>
    </w:rPr>
  </w:style>
  <w:style w:type="paragraph" w:customStyle="1" w:styleId="Introductiontext">
    <w:name w:val="Introduction text"/>
    <w:basedOn w:val="Normal"/>
    <w:link w:val="IntroductiontextChar"/>
    <w:qFormat/>
    <w:rsid w:val="00BE562D"/>
    <w:rPr>
      <w:rFonts w:eastAsiaTheme="minorHAnsi"/>
      <w:color w:val="000000" w:themeColor="text1"/>
      <w:lang w:val="en-CA"/>
    </w:rPr>
  </w:style>
  <w:style w:type="character" w:customStyle="1" w:styleId="IntroductiontextChar">
    <w:name w:val="Introduction text Char"/>
    <w:basedOn w:val="DefaultParagraphFont"/>
    <w:link w:val="Introductiontext"/>
    <w:rsid w:val="00BE562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46C0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46C08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46C0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6C08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46C08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46C0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46C08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C08"/>
    <w:rPr>
      <w:rFonts w:ascii="Arial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46C0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6C08"/>
    <w:rPr>
      <w:rFonts w:ascii="Arial" w:eastAsiaTheme="minorHAnsi" w:hAnsi="Arial"/>
      <w:sz w:val="20"/>
      <w:szCs w:val="22"/>
    </w:rPr>
  </w:style>
  <w:style w:type="table" w:styleId="TableGrid">
    <w:name w:val="Table Grid"/>
    <w:basedOn w:val="TableNormal"/>
    <w:uiPriority w:val="59"/>
    <w:rsid w:val="00C46C08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C0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6C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7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7B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46C0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46C08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C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C0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46C0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C0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46C08"/>
    <w:rPr>
      <w:vertAlign w:val="superscript"/>
    </w:rPr>
  </w:style>
  <w:style w:type="paragraph" w:styleId="Revision">
    <w:name w:val="Revision"/>
    <w:hidden/>
    <w:uiPriority w:val="99"/>
    <w:semiHidden/>
    <w:rsid w:val="00C46C0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46C0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46C0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46C08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46C0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46C0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46C0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46C0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46C0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46C08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46C08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C46C08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46C08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46C08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46C0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46C0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46C08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630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Pantaleo Creti</dc:creator>
  <cp:lastModifiedBy>Florence MAROT</cp:lastModifiedBy>
  <cp:revision>64</cp:revision>
  <cp:lastPrinted>2015-09-23T15:18:00Z</cp:lastPrinted>
  <dcterms:created xsi:type="dcterms:W3CDTF">2015-06-12T10:22:00Z</dcterms:created>
  <dcterms:modified xsi:type="dcterms:W3CDTF">2016-04-04T07:37:00Z</dcterms:modified>
</cp:coreProperties>
</file>