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92" w:rsidRDefault="001E4C56" w:rsidP="004D7318">
      <w:pPr>
        <w:pStyle w:val="H1"/>
      </w:pPr>
      <w:r>
        <w:t>A</w:t>
      </w:r>
      <w:r w:rsidR="00CA4078">
        <w:t>d</w:t>
      </w:r>
      <w:bookmarkStart w:id="0" w:name="_GoBack"/>
      <w:bookmarkEnd w:id="0"/>
      <w:r>
        <w:t>vantages and d</w:t>
      </w:r>
      <w:r w:rsidR="00C37981" w:rsidRPr="00BC28E4">
        <w:t>isadvantages of</w:t>
      </w:r>
      <w:r w:rsidR="0020448E">
        <w:t xml:space="preserve"> CTP </w:t>
      </w:r>
      <w:r>
        <w:t>delivery m</w:t>
      </w:r>
      <w:r w:rsidR="00C37981" w:rsidRPr="00BC28E4">
        <w:t>echanisms</w:t>
      </w:r>
    </w:p>
    <w:p w:rsidR="00687B1A" w:rsidRPr="00687B1A" w:rsidRDefault="00687B1A" w:rsidP="00C85949">
      <w:pPr>
        <w:spacing w:after="0"/>
        <w:rPr>
          <w:color w:val="4F81BD" w:themeColor="accent1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68"/>
        <w:gridCol w:w="2858"/>
        <w:gridCol w:w="2708"/>
        <w:gridCol w:w="2820"/>
      </w:tblGrid>
      <w:tr w:rsidR="007368D3" w:rsidRPr="007368D3" w:rsidTr="00D34754">
        <w:tc>
          <w:tcPr>
            <w:tcW w:w="745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687B1A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</w:rPr>
            </w:pPr>
            <w:r w:rsidRPr="007368D3">
              <w:rPr>
                <w:rFonts w:ascii="Arial Bold" w:hAnsi="Arial Bold" w:cs="Arial"/>
                <w:b/>
                <w:color w:val="FFFFFF" w:themeColor="background1"/>
              </w:rPr>
              <w:t>Agent</w:t>
            </w: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6E0533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</w:rPr>
            </w:pPr>
            <w:r w:rsidRPr="007368D3">
              <w:rPr>
                <w:rFonts w:ascii="Arial Bold" w:hAnsi="Arial Bold" w:cs="Arial"/>
                <w:b/>
                <w:color w:val="FFFFFF" w:themeColor="background1"/>
              </w:rPr>
              <w:t>Minimum c</w:t>
            </w:r>
            <w:r w:rsidR="00C37981" w:rsidRPr="007368D3">
              <w:rPr>
                <w:rFonts w:ascii="Arial Bold" w:hAnsi="Arial Bold" w:cs="Arial"/>
                <w:b/>
                <w:color w:val="FFFFFF" w:themeColor="background1"/>
              </w:rPr>
              <w:t>onditions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C37981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</w:rPr>
            </w:pPr>
            <w:r w:rsidRPr="007368D3">
              <w:rPr>
                <w:rFonts w:ascii="Arial Bold" w:hAnsi="Arial Bold" w:cs="Arial"/>
                <w:b/>
                <w:color w:val="FFFFFF" w:themeColor="background1"/>
              </w:rPr>
              <w:t>Advantages</w:t>
            </w: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C37981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</w:rPr>
            </w:pPr>
            <w:r w:rsidRPr="007368D3">
              <w:rPr>
                <w:rFonts w:ascii="Arial Bold" w:hAnsi="Arial Bold" w:cs="Arial"/>
                <w:b/>
                <w:color w:val="FFFFFF" w:themeColor="background1"/>
              </w:rPr>
              <w:t>Disadvantages</w:t>
            </w:r>
          </w:p>
        </w:tc>
      </w:tr>
      <w:tr w:rsidR="00C85949" w:rsidRPr="007368D3" w:rsidTr="007368D3">
        <w:tc>
          <w:tcPr>
            <w:tcW w:w="5000" w:type="pct"/>
            <w:gridSpan w:val="4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b/>
              </w:rPr>
              <w:t xml:space="preserve">Using </w:t>
            </w:r>
            <w:r w:rsidR="006E0533" w:rsidRPr="007368D3">
              <w:rPr>
                <w:rFonts w:cs="Arial"/>
                <w:b/>
              </w:rPr>
              <w:t>third parties such as banks, remittance companies, p</w:t>
            </w:r>
            <w:r w:rsidRPr="007368D3">
              <w:rPr>
                <w:rFonts w:cs="Arial"/>
                <w:b/>
              </w:rPr>
              <w:t>ost offices</w:t>
            </w:r>
          </w:p>
        </w:tc>
      </w:tr>
      <w:tr w:rsidR="00C85949" w:rsidRPr="007368D3" w:rsidTr="007368D3">
        <w:tc>
          <w:tcPr>
            <w:tcW w:w="745" w:type="pct"/>
            <w:vMerge w:val="restart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  <w:r w:rsidRPr="007368D3">
              <w:rPr>
                <w:rFonts w:cs="Arial"/>
                <w:b/>
                <w:noProof/>
                <w:color w:val="365F91" w:themeColor="accent1" w:themeShade="BF"/>
                <w:lang w:val="en-CA" w:eastAsia="en-CA"/>
              </w:rPr>
              <w:drawing>
                <wp:inline distT="0" distB="0" distL="0" distR="0" wp14:anchorId="6944576A" wp14:editId="7DDA75D7">
                  <wp:extent cx="755999" cy="566924"/>
                  <wp:effectExtent l="0" t="0" r="635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99" cy="56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Bank regulation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Financial risk managed by agent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Slow contracting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Robust</w:t>
            </w:r>
            <w:r w:rsidR="006E0533" w:rsidRPr="007368D3">
              <w:rPr>
                <w:rFonts w:cs="Arial"/>
              </w:rPr>
              <w:t xml:space="preserve"> software s</w:t>
            </w:r>
            <w:r w:rsidRPr="007368D3">
              <w:rPr>
                <w:rFonts w:cs="Arial"/>
              </w:rPr>
              <w:t>ystems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Financial inclusion and literacy 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Financial literacy required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Meet finance criteria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Existing networks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Lack of accessibility of services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Existing contracts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Large scale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Requires accurate data</w:t>
            </w:r>
          </w:p>
        </w:tc>
      </w:tr>
      <w:tr w:rsidR="00C85949" w:rsidRPr="007368D3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Community acceptance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Formal identification</w:t>
            </w:r>
          </w:p>
        </w:tc>
      </w:tr>
      <w:tr w:rsidR="00C85949" w:rsidRPr="007368D3" w:rsidTr="00245B06">
        <w:tc>
          <w:tcPr>
            <w:tcW w:w="5000" w:type="pct"/>
            <w:gridSpan w:val="4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  <w:b/>
              </w:rPr>
            </w:pPr>
            <w:r w:rsidRPr="007368D3">
              <w:rPr>
                <w:rFonts w:cs="Arial"/>
                <w:b/>
              </w:rPr>
              <w:t xml:space="preserve">Using </w:t>
            </w:r>
            <w:r w:rsidR="006E0533" w:rsidRPr="007368D3">
              <w:rPr>
                <w:rFonts w:cs="Arial"/>
                <w:b/>
              </w:rPr>
              <w:t>third p</w:t>
            </w:r>
            <w:r w:rsidR="007F2F56" w:rsidRPr="007368D3">
              <w:rPr>
                <w:rFonts w:cs="Arial"/>
                <w:b/>
              </w:rPr>
              <w:t xml:space="preserve">arties such as </w:t>
            </w:r>
            <w:r w:rsidR="006E0533" w:rsidRPr="007368D3">
              <w:rPr>
                <w:rFonts w:cs="Arial"/>
                <w:b/>
              </w:rPr>
              <w:t>mobile p</w:t>
            </w:r>
            <w:r w:rsidRPr="007368D3">
              <w:rPr>
                <w:rFonts w:cs="Arial"/>
                <w:b/>
              </w:rPr>
              <w:t>hones</w:t>
            </w:r>
            <w:r w:rsidR="00687B1A" w:rsidRPr="007368D3">
              <w:rPr>
                <w:rFonts w:cs="Arial"/>
                <w:b/>
              </w:rPr>
              <w:t xml:space="preserve"> or E- wallets (mobile money</w:t>
            </w:r>
            <w:r w:rsidR="007F2F56" w:rsidRPr="007368D3">
              <w:rPr>
                <w:rFonts w:cs="Arial"/>
                <w:b/>
              </w:rPr>
              <w:t>) providers</w:t>
            </w:r>
            <w:r w:rsidR="00687B1A" w:rsidRPr="007368D3">
              <w:rPr>
                <w:rFonts w:cs="Arial"/>
                <w:b/>
                <w:color w:val="4F81BD" w:themeColor="accent1"/>
              </w:rPr>
              <w:t xml:space="preserve"> </w:t>
            </w:r>
          </w:p>
        </w:tc>
      </w:tr>
      <w:tr w:rsidR="00C85949" w:rsidRPr="007368D3" w:rsidTr="007368D3">
        <w:tc>
          <w:tcPr>
            <w:tcW w:w="745" w:type="pct"/>
            <w:vMerge w:val="restart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noProof/>
                <w:lang w:val="en-CA" w:eastAsia="en-CA"/>
              </w:rPr>
              <w:drawing>
                <wp:inline distT="0" distB="0" distL="0" distR="0" wp14:anchorId="0402A0CC" wp14:editId="73DF564C">
                  <wp:extent cx="736600" cy="520700"/>
                  <wp:effectExtent l="0" t="0" r="0" b="12700"/>
                  <wp:docPr id="11" name="Picture 1" descr="Macintosh HD:Users:ejowett:Desktop:mobile-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jowett:Desktop:mobile-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IT a</w:t>
            </w:r>
            <w:r w:rsidR="00C85949" w:rsidRPr="007368D3">
              <w:rPr>
                <w:rFonts w:cs="Arial"/>
              </w:rPr>
              <w:t>ssessment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Reduces paperwork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Often u</w:t>
            </w:r>
            <w:r w:rsidR="00C85949" w:rsidRPr="007368D3">
              <w:rPr>
                <w:rFonts w:cs="Arial"/>
              </w:rPr>
              <w:t>nregulated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Reliable network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Reduces workload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Expensive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Availability of payment software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Reduces fraud risk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High initial investment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Point of s</w:t>
            </w:r>
            <w:r w:rsidR="00C85949" w:rsidRPr="007368D3">
              <w:rPr>
                <w:rFonts w:cs="Arial"/>
              </w:rPr>
              <w:t>ale (</w:t>
            </w:r>
            <w:proofErr w:type="spellStart"/>
            <w:r w:rsidR="00C85949" w:rsidRPr="007368D3">
              <w:rPr>
                <w:rFonts w:cs="Arial"/>
              </w:rPr>
              <w:t>PoS</w:t>
            </w:r>
            <w:proofErr w:type="spellEnd"/>
            <w:r w:rsidR="00C85949" w:rsidRPr="007368D3">
              <w:rPr>
                <w:rFonts w:cs="Arial"/>
              </w:rPr>
              <w:t>) capacity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Large scale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No ability to restrict household purchases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vMerge w:val="restar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User capability 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Fast, safe transfers</w:t>
            </w:r>
          </w:p>
        </w:tc>
        <w:tc>
          <w:tcPr>
            <w:tcW w:w="1431" w:type="pct"/>
            <w:vMerge w:val="restar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Limited ability to restrict food purchases</w:t>
            </w:r>
          </w:p>
        </w:tc>
      </w:tr>
      <w:tr w:rsidR="00C85949" w:rsidRPr="007368D3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vMerge/>
            <w:tcBorders>
              <w:bottom w:val="single" w:sz="4" w:space="0" w:color="auto"/>
            </w:tcBorders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Flexibility for b</w:t>
            </w:r>
            <w:r w:rsidR="00C85949" w:rsidRPr="007368D3">
              <w:rPr>
                <w:rFonts w:cs="Arial"/>
              </w:rPr>
              <w:t xml:space="preserve">eneficiaries </w:t>
            </w:r>
          </w:p>
        </w:tc>
        <w:tc>
          <w:tcPr>
            <w:tcW w:w="1431" w:type="pct"/>
            <w:vMerge/>
            <w:tcBorders>
              <w:bottom w:val="single" w:sz="4" w:space="0" w:color="auto"/>
            </w:tcBorders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</w:tr>
      <w:tr w:rsidR="00C85949" w:rsidRPr="007368D3" w:rsidTr="00245B06">
        <w:tc>
          <w:tcPr>
            <w:tcW w:w="5000" w:type="pct"/>
            <w:gridSpan w:val="4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b/>
              </w:rPr>
              <w:t xml:space="preserve">Direct </w:t>
            </w:r>
            <w:r w:rsidR="006E0533" w:rsidRPr="007368D3">
              <w:rPr>
                <w:rFonts w:cs="Arial"/>
                <w:b/>
              </w:rPr>
              <w:t>cash d</w:t>
            </w:r>
            <w:r w:rsidRPr="007368D3">
              <w:rPr>
                <w:rFonts w:cs="Arial"/>
                <w:b/>
              </w:rPr>
              <w:t xml:space="preserve">istribution by the Movement </w:t>
            </w:r>
            <w:r w:rsidR="00687B1A" w:rsidRPr="007368D3">
              <w:rPr>
                <w:rFonts w:cs="Arial"/>
                <w:b/>
              </w:rPr>
              <w:t xml:space="preserve">(or a third party) </w:t>
            </w:r>
            <w:r w:rsidRPr="007368D3">
              <w:rPr>
                <w:rFonts w:cs="Arial"/>
                <w:b/>
              </w:rPr>
              <w:t>to the beneficiary</w:t>
            </w:r>
          </w:p>
        </w:tc>
      </w:tr>
      <w:tr w:rsidR="00C85949" w:rsidRPr="007368D3" w:rsidTr="007368D3">
        <w:tc>
          <w:tcPr>
            <w:tcW w:w="745" w:type="pct"/>
            <w:vMerge w:val="restart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noProof/>
                <w:lang w:val="en-CA" w:eastAsia="en-CA"/>
              </w:rPr>
              <w:drawing>
                <wp:inline distT="0" distB="0" distL="0" distR="0" wp14:anchorId="24B06803" wp14:editId="1E93068C">
                  <wp:extent cx="736423" cy="849630"/>
                  <wp:effectExtent l="0" t="0" r="63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2" cy="85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Secure context required for transportation and distribution 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No formal identification required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Security risk for organiz</w:t>
            </w:r>
            <w:r w:rsidR="00C85949" w:rsidRPr="007368D3">
              <w:rPr>
                <w:rFonts w:cs="Arial"/>
              </w:rPr>
              <w:t xml:space="preserve">ation and beneficiaries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Sufficient cash flow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Facilitates limited literacy and numeracy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Corruption risk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Sufficient staff, logistics and other resources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Fast set-up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Labour intensive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Political acceptances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Large scale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Significant monitoring required at payment </w:t>
            </w:r>
          </w:p>
        </w:tc>
      </w:tr>
      <w:tr w:rsidR="00C85949" w:rsidRPr="007368D3" w:rsidTr="00D34754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Community acceptance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Often low cost</w:t>
            </w: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Limited ability to restrict food purchases</w:t>
            </w:r>
          </w:p>
        </w:tc>
      </w:tr>
      <w:tr w:rsidR="00C85949" w:rsidRPr="007368D3" w:rsidTr="00245B06">
        <w:tc>
          <w:tcPr>
            <w:tcW w:w="5000" w:type="pct"/>
            <w:gridSpan w:val="4"/>
            <w:shd w:val="clear" w:color="auto" w:fill="E6E6E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  <w:b/>
              </w:rPr>
            </w:pPr>
            <w:r w:rsidRPr="007368D3">
              <w:rPr>
                <w:rFonts w:cs="Arial"/>
                <w:b/>
              </w:rPr>
              <w:t>Using retailers (electronic and paper v</w:t>
            </w:r>
            <w:r w:rsidR="00C85949" w:rsidRPr="007368D3">
              <w:rPr>
                <w:rFonts w:cs="Arial"/>
                <w:b/>
              </w:rPr>
              <w:t>ouchers)</w:t>
            </w:r>
          </w:p>
        </w:tc>
      </w:tr>
      <w:tr w:rsidR="00C85949" w:rsidRPr="007368D3" w:rsidTr="007368D3">
        <w:tc>
          <w:tcPr>
            <w:tcW w:w="745" w:type="pct"/>
            <w:vMerge w:val="restart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noProof/>
                <w:lang w:val="en-CA" w:eastAsia="en-CA"/>
              </w:rPr>
              <w:drawing>
                <wp:inline distT="0" distB="0" distL="0" distR="0" wp14:anchorId="378CE2EF" wp14:editId="32EAC50A">
                  <wp:extent cx="730980" cy="755999"/>
                  <wp:effectExtent l="0" t="0" r="5715" b="635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80" cy="7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Trader acceptance and</w:t>
            </w:r>
            <w:r w:rsidR="004E1622" w:rsidRPr="007368D3">
              <w:rPr>
                <w:rFonts w:cs="Arial"/>
              </w:rPr>
              <w:t xml:space="preserve"> </w:t>
            </w:r>
            <w:r w:rsidRPr="007368D3">
              <w:rPr>
                <w:rFonts w:cs="Arial"/>
              </w:rPr>
              <w:t>c</w:t>
            </w:r>
            <w:r w:rsidR="00C85949" w:rsidRPr="007368D3">
              <w:rPr>
                <w:rFonts w:cs="Arial"/>
              </w:rPr>
              <w:t xml:space="preserve">apability 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Low cost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Time to set up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Large number of traders required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Limited literacy and numeracy</w:t>
            </w:r>
            <w:r w:rsidR="006E0533" w:rsidRPr="007368D3">
              <w:rPr>
                <w:rFonts w:cs="Arial"/>
              </w:rPr>
              <w:t xml:space="preserve"> required</w:t>
            </w:r>
            <w:r w:rsidRPr="007368D3">
              <w:rPr>
                <w:rFonts w:cs="Arial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6E0533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Sensitiz</w:t>
            </w:r>
            <w:r w:rsidR="00C85949" w:rsidRPr="007368D3">
              <w:rPr>
                <w:rFonts w:cs="Arial"/>
              </w:rPr>
              <w:t xml:space="preserve">ation and acceptance of traders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Easy, familiar access for beneficiaries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Large scale operations possible 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Scale is limited by trading capacity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Diverse range of stock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Transfer values can be adjusted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 xml:space="preserve">Distribution costs can be high </w:t>
            </w:r>
          </w:p>
        </w:tc>
      </w:tr>
      <w:tr w:rsidR="00C85949" w:rsidRPr="007368D3" w:rsidTr="007368D3">
        <w:tc>
          <w:tcPr>
            <w:tcW w:w="745" w:type="pct"/>
            <w:vMerge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Secure way of paying traders</w:t>
            </w:r>
          </w:p>
        </w:tc>
        <w:tc>
          <w:tcPr>
            <w:tcW w:w="1374" w:type="pct"/>
            <w:shd w:val="clear" w:color="auto" w:fill="E6E6E6"/>
          </w:tcPr>
          <w:p w:rsidR="00C85949" w:rsidRPr="007368D3" w:rsidRDefault="004E1622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Ideal for conditional CTP</w:t>
            </w:r>
          </w:p>
        </w:tc>
        <w:tc>
          <w:tcPr>
            <w:tcW w:w="1431" w:type="pct"/>
            <w:shd w:val="clear" w:color="auto" w:fill="F3F3F3"/>
          </w:tcPr>
          <w:p w:rsidR="00C85949" w:rsidRPr="007368D3" w:rsidRDefault="00C85949" w:rsidP="007368D3">
            <w:pPr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</w:rPr>
              <w:t>Forgery and misappropriation</w:t>
            </w:r>
          </w:p>
        </w:tc>
      </w:tr>
    </w:tbl>
    <w:p w:rsidR="00C37981" w:rsidRPr="007368D3" w:rsidRDefault="00C37981" w:rsidP="007368D3">
      <w:pPr>
        <w:jc w:val="left"/>
        <w:rPr>
          <w:rFonts w:cs="Arial"/>
        </w:rPr>
      </w:pPr>
    </w:p>
    <w:sectPr w:rsidR="00C37981" w:rsidRPr="007368D3" w:rsidSect="004D7318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50E" w:rsidRDefault="0090350E" w:rsidP="00C37981">
      <w:pPr>
        <w:spacing w:after="0"/>
      </w:pPr>
      <w:r>
        <w:separator/>
      </w:r>
    </w:p>
  </w:endnote>
  <w:endnote w:type="continuationSeparator" w:id="0">
    <w:p w:rsidR="0090350E" w:rsidRDefault="0090350E" w:rsidP="00C379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ecili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704020202020204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318" w:rsidRPr="00B45C74" w:rsidRDefault="004D7318" w:rsidP="00B45C74">
    <w:pPr>
      <w:framePr w:wrap="around" w:vAnchor="text" w:hAnchor="margin" w:xAlign="right" w:y="1"/>
      <w:tabs>
        <w:tab w:val="center" w:pos="4320"/>
        <w:tab w:val="right" w:pos="8640"/>
      </w:tabs>
      <w:spacing w:after="0"/>
      <w:rPr>
        <w:b/>
        <w:color w:val="808080" w:themeColor="background1" w:themeShade="80"/>
        <w:sz w:val="18"/>
        <w:szCs w:val="18"/>
      </w:rPr>
    </w:pPr>
    <w:r w:rsidRPr="00B45C74">
      <w:rPr>
        <w:b/>
        <w:color w:val="808080" w:themeColor="background1" w:themeShade="80"/>
        <w:sz w:val="18"/>
        <w:szCs w:val="18"/>
      </w:rPr>
      <w:fldChar w:fldCharType="begin"/>
    </w:r>
    <w:r w:rsidRPr="00B45C74">
      <w:rPr>
        <w:b/>
        <w:color w:val="808080" w:themeColor="background1" w:themeShade="80"/>
        <w:sz w:val="18"/>
        <w:szCs w:val="18"/>
      </w:rPr>
      <w:instrText xml:space="preserve">PAGE  </w:instrText>
    </w:r>
    <w:r w:rsidRPr="00B45C74">
      <w:rPr>
        <w:b/>
        <w:color w:val="808080" w:themeColor="background1" w:themeShade="80"/>
        <w:sz w:val="18"/>
        <w:szCs w:val="18"/>
      </w:rPr>
      <w:fldChar w:fldCharType="separate"/>
    </w:r>
    <w:r w:rsidR="00CA4078">
      <w:rPr>
        <w:b/>
        <w:noProof/>
        <w:color w:val="808080" w:themeColor="background1" w:themeShade="80"/>
        <w:sz w:val="18"/>
        <w:szCs w:val="18"/>
      </w:rPr>
      <w:t>1</w:t>
    </w:r>
    <w:r w:rsidRPr="00B45C74">
      <w:rPr>
        <w:b/>
        <w:color w:val="808080" w:themeColor="background1" w:themeShade="80"/>
        <w:sz w:val="18"/>
        <w:szCs w:val="18"/>
      </w:rPr>
      <w:fldChar w:fldCharType="end"/>
    </w:r>
  </w:p>
  <w:p w:rsidR="004D7318" w:rsidRPr="004D7318" w:rsidRDefault="004D7318" w:rsidP="00ED1B2B">
    <w:pPr>
      <w:pStyle w:val="Footer"/>
    </w:pPr>
    <w:r w:rsidRPr="00107E15">
      <w:rPr>
        <w:b/>
      </w:rPr>
      <w:t xml:space="preserve">Module </w:t>
    </w:r>
    <w:r>
      <w:rPr>
        <w:b/>
      </w:rPr>
      <w:t>3</w:t>
    </w:r>
    <w:r w:rsidRPr="00107E15">
      <w:rPr>
        <w:b/>
      </w:rPr>
      <w:t>.</w:t>
    </w:r>
    <w:r w:rsidRPr="00107E15">
      <w:t xml:space="preserve"> Step </w:t>
    </w:r>
    <w:r>
      <w:t>1</w:t>
    </w:r>
    <w:r w:rsidRPr="00107E15">
      <w:t>.</w:t>
    </w:r>
    <w:r>
      <w:t xml:space="preserve"> Sub-step 3. </w:t>
    </w:r>
    <w:r w:rsidR="0090350E">
      <w:fldChar w:fldCharType="begin"/>
    </w:r>
    <w:r w:rsidR="0090350E">
      <w:instrText xml:space="preserve"> STYLEREF  H1 \t  \* MERGEFORMAT </w:instrText>
    </w:r>
    <w:r w:rsidR="0090350E">
      <w:fldChar w:fldCharType="separate"/>
    </w:r>
    <w:r w:rsidR="00CA4078" w:rsidRPr="00CA4078">
      <w:rPr>
        <w:bCs/>
        <w:noProof/>
      </w:rPr>
      <w:t>Advantages and disadvantages of CTP delivery mechanisms</w:t>
    </w:r>
    <w:r w:rsidR="0090350E">
      <w:rPr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50E" w:rsidRDefault="0090350E" w:rsidP="00C37981">
      <w:pPr>
        <w:spacing w:after="0"/>
      </w:pPr>
      <w:r>
        <w:separator/>
      </w:r>
    </w:p>
  </w:footnote>
  <w:footnote w:type="continuationSeparator" w:id="0">
    <w:p w:rsidR="0090350E" w:rsidRDefault="0090350E" w:rsidP="00C379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318" w:rsidRPr="00074036" w:rsidRDefault="004D7318" w:rsidP="00173FF2">
    <w:pPr>
      <w:pStyle w:val="Header"/>
      <w:rPr>
        <w:szCs w:val="16"/>
      </w:rPr>
    </w:pPr>
    <w:r w:rsidRPr="004B5DA9">
      <w:rPr>
        <w:rStyle w:val="Pantone485"/>
      </w:rPr>
      <w:t>International Red Cross and Red Crescent Movement</w:t>
    </w:r>
    <w:r>
      <w:rPr>
        <w:rFonts w:cs="Caecilia-Light"/>
        <w:color w:val="FF0000"/>
        <w:szCs w:val="16"/>
      </w:rPr>
      <w:t xml:space="preserve"> </w:t>
    </w:r>
    <w:r w:rsidRPr="002B5D03">
      <w:rPr>
        <w:rStyle w:val="PageNumber"/>
        <w:bCs/>
        <w:szCs w:val="16"/>
      </w:rPr>
      <w:t>I</w:t>
    </w:r>
    <w:r w:rsidRPr="009F6986">
      <w:rPr>
        <w:rStyle w:val="PageNumber"/>
        <w:color w:val="FF0000"/>
        <w:szCs w:val="16"/>
      </w:rPr>
      <w:t xml:space="preserve"> </w:t>
    </w:r>
    <w:r w:rsidRPr="009F6986">
      <w:rPr>
        <w:b/>
        <w:szCs w:val="16"/>
      </w:rPr>
      <w:t>Cash in Emergenc</w:t>
    </w:r>
    <w:r>
      <w:rPr>
        <w:b/>
        <w:szCs w:val="16"/>
      </w:rPr>
      <w:t>ies</w:t>
    </w:r>
    <w:r w:rsidRPr="009F6986">
      <w:rPr>
        <w:b/>
        <w:szCs w:val="16"/>
      </w:rPr>
      <w:t xml:space="preserve">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20"/>
    <w:rsid w:val="0000109C"/>
    <w:rsid w:val="00053AF4"/>
    <w:rsid w:val="00053AFC"/>
    <w:rsid w:val="0010048D"/>
    <w:rsid w:val="00143D46"/>
    <w:rsid w:val="00176D8A"/>
    <w:rsid w:val="00176E30"/>
    <w:rsid w:val="00194628"/>
    <w:rsid w:val="001E4C56"/>
    <w:rsid w:val="001E56DE"/>
    <w:rsid w:val="0020448E"/>
    <w:rsid w:val="00210C91"/>
    <w:rsid w:val="00245B06"/>
    <w:rsid w:val="00247668"/>
    <w:rsid w:val="002A3CC6"/>
    <w:rsid w:val="002A52B2"/>
    <w:rsid w:val="002E5CF3"/>
    <w:rsid w:val="002E7859"/>
    <w:rsid w:val="002F3F86"/>
    <w:rsid w:val="00310902"/>
    <w:rsid w:val="00322235"/>
    <w:rsid w:val="003300CA"/>
    <w:rsid w:val="00345A85"/>
    <w:rsid w:val="00357420"/>
    <w:rsid w:val="003805F3"/>
    <w:rsid w:val="0039004B"/>
    <w:rsid w:val="00451AED"/>
    <w:rsid w:val="00471D1E"/>
    <w:rsid w:val="004C7DFD"/>
    <w:rsid w:val="004D7318"/>
    <w:rsid w:val="004E1622"/>
    <w:rsid w:val="004F0B6E"/>
    <w:rsid w:val="00585FDD"/>
    <w:rsid w:val="00593EF1"/>
    <w:rsid w:val="005B321F"/>
    <w:rsid w:val="005B3D83"/>
    <w:rsid w:val="00653619"/>
    <w:rsid w:val="00687B1A"/>
    <w:rsid w:val="006E0533"/>
    <w:rsid w:val="006E2C71"/>
    <w:rsid w:val="007368D3"/>
    <w:rsid w:val="00785CF2"/>
    <w:rsid w:val="007F0642"/>
    <w:rsid w:val="007F2F56"/>
    <w:rsid w:val="0080453C"/>
    <w:rsid w:val="008453E3"/>
    <w:rsid w:val="00860582"/>
    <w:rsid w:val="00877DB3"/>
    <w:rsid w:val="008A533E"/>
    <w:rsid w:val="008B588C"/>
    <w:rsid w:val="008C6676"/>
    <w:rsid w:val="0090350E"/>
    <w:rsid w:val="00931648"/>
    <w:rsid w:val="0093412A"/>
    <w:rsid w:val="00972113"/>
    <w:rsid w:val="00981FB0"/>
    <w:rsid w:val="00984364"/>
    <w:rsid w:val="009A49D7"/>
    <w:rsid w:val="009B097D"/>
    <w:rsid w:val="00A37D81"/>
    <w:rsid w:val="00A40E49"/>
    <w:rsid w:val="00A616D2"/>
    <w:rsid w:val="00B12CBD"/>
    <w:rsid w:val="00B427BD"/>
    <w:rsid w:val="00BC28E4"/>
    <w:rsid w:val="00C05402"/>
    <w:rsid w:val="00C12EEA"/>
    <w:rsid w:val="00C37981"/>
    <w:rsid w:val="00C420DB"/>
    <w:rsid w:val="00C85949"/>
    <w:rsid w:val="00CA2F16"/>
    <w:rsid w:val="00CA4078"/>
    <w:rsid w:val="00CC39E1"/>
    <w:rsid w:val="00CE4292"/>
    <w:rsid w:val="00D2137C"/>
    <w:rsid w:val="00D34754"/>
    <w:rsid w:val="00D768E7"/>
    <w:rsid w:val="00DD0BEE"/>
    <w:rsid w:val="00DE0821"/>
    <w:rsid w:val="00E00501"/>
    <w:rsid w:val="00E01D25"/>
    <w:rsid w:val="00E17DE5"/>
    <w:rsid w:val="00E60233"/>
    <w:rsid w:val="00E76C53"/>
    <w:rsid w:val="00E82A2C"/>
    <w:rsid w:val="00EA76CE"/>
    <w:rsid w:val="00EB4156"/>
    <w:rsid w:val="00EC3998"/>
    <w:rsid w:val="00ED2759"/>
    <w:rsid w:val="00F76F09"/>
    <w:rsid w:val="00FB0E19"/>
    <w:rsid w:val="00FB5699"/>
    <w:rsid w:val="00FD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Heading1">
    <w:name w:val="heading 1"/>
    <w:basedOn w:val="H1"/>
    <w:next w:val="Normal"/>
    <w:link w:val="Heading1Char"/>
    <w:uiPriority w:val="9"/>
    <w:rsid w:val="00CA407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  <w:rsid w:val="00CA407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A4078"/>
  </w:style>
  <w:style w:type="table" w:styleId="TableGrid">
    <w:name w:val="Table Grid"/>
    <w:basedOn w:val="TableNormal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40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3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A4078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unhideWhenUsed/>
    <w:rsid w:val="00CA4078"/>
    <w:rPr>
      <w:b/>
    </w:rPr>
  </w:style>
  <w:style w:type="character" w:styleId="Hyperlink">
    <w:name w:val="Hyperlink"/>
    <w:basedOn w:val="DefaultParagraphFont"/>
    <w:uiPriority w:val="99"/>
    <w:unhideWhenUsed/>
    <w:rsid w:val="00CA40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4078"/>
    <w:rPr>
      <w:vertAlign w:val="superscript"/>
    </w:rPr>
  </w:style>
  <w:style w:type="paragraph" w:styleId="Revision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CA4078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TableNormal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Normal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before="60" w:afterLines="20" w:after="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Heading1">
    <w:name w:val="heading 1"/>
    <w:basedOn w:val="H1"/>
    <w:next w:val="Normal"/>
    <w:link w:val="Heading1Char"/>
    <w:uiPriority w:val="9"/>
    <w:rsid w:val="00CA407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  <w:rsid w:val="00CA407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A4078"/>
  </w:style>
  <w:style w:type="table" w:styleId="TableGrid">
    <w:name w:val="Table Grid"/>
    <w:basedOn w:val="TableNormal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40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3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A4078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unhideWhenUsed/>
    <w:rsid w:val="00CA4078"/>
    <w:rPr>
      <w:b/>
    </w:rPr>
  </w:style>
  <w:style w:type="character" w:styleId="Hyperlink">
    <w:name w:val="Hyperlink"/>
    <w:basedOn w:val="DefaultParagraphFont"/>
    <w:uiPriority w:val="99"/>
    <w:unhideWhenUsed/>
    <w:rsid w:val="00CA40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4078"/>
    <w:rPr>
      <w:vertAlign w:val="superscript"/>
    </w:rPr>
  </w:style>
  <w:style w:type="paragraph" w:styleId="Revision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CA4078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TableNormal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Normal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before="60" w:afterLines="20" w:after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0CA55-5FD1-42BE-A0E9-9B8A9CA0D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ICRC_Template.dotx</Template>
  <TotalTime>41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Food Programme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PENNISI Emma</dc:creator>
  <cp:lastModifiedBy>Nicole Francoeur</cp:lastModifiedBy>
  <cp:revision>13</cp:revision>
  <cp:lastPrinted>2015-09-28T17:17:00Z</cp:lastPrinted>
  <dcterms:created xsi:type="dcterms:W3CDTF">2015-05-27T09:09:00Z</dcterms:created>
  <dcterms:modified xsi:type="dcterms:W3CDTF">2015-10-04T21:33:00Z</dcterms:modified>
</cp:coreProperties>
</file>