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B6618" w14:textId="77777777" w:rsidR="001815CD" w:rsidRPr="00111A41" w:rsidRDefault="00111A41" w:rsidP="000F07E8">
      <w:pPr>
        <w:pStyle w:val="H1"/>
        <w:rPr>
          <w:rFonts w:cs="Arial"/>
          <w:lang w:val="es-ES"/>
        </w:rPr>
      </w:pPr>
      <w:r w:rsidRPr="00111A41">
        <w:rPr>
          <w:rFonts w:cs="Arial"/>
          <w:lang w:val="es-ES"/>
        </w:rPr>
        <w:t xml:space="preserve">Coordinación interna de PTE </w:t>
      </w:r>
    </w:p>
    <w:p w14:paraId="2C98527A" w14:textId="77777777" w:rsidR="001815CD" w:rsidRPr="00691EB9" w:rsidRDefault="00111A41" w:rsidP="000B105D">
      <w:pPr>
        <w:pStyle w:val="Heading2"/>
        <w:spacing w:before="480"/>
        <w:rPr>
          <w:rFonts w:cs="Arial"/>
          <w:lang w:val="es-ES"/>
        </w:rPr>
      </w:pPr>
      <w:bookmarkStart w:id="0" w:name="_Toc352182883"/>
      <w:bookmarkStart w:id="1" w:name="_Toc386542648"/>
      <w:r w:rsidRPr="00691EB9">
        <w:rPr>
          <w:rFonts w:cs="Arial"/>
          <w:lang w:val="es-ES"/>
        </w:rPr>
        <w:t xml:space="preserve">ROLES Y FUNCIONES </w:t>
      </w:r>
      <w:bookmarkEnd w:id="0"/>
      <w:bookmarkEnd w:id="1"/>
    </w:p>
    <w:p w14:paraId="6AA0EF27" w14:textId="65F87E5C" w:rsidR="002963EF" w:rsidRPr="00CC34CC" w:rsidRDefault="00111A41" w:rsidP="00077520">
      <w:pPr>
        <w:autoSpaceDE w:val="0"/>
        <w:autoSpaceDN w:val="0"/>
        <w:adjustRightInd w:val="0"/>
        <w:spacing w:after="0"/>
        <w:rPr>
          <w:rFonts w:cs="Arial"/>
          <w:color w:val="4F81BD" w:themeColor="accent1"/>
          <w:lang w:val="es-ES"/>
        </w:rPr>
      </w:pPr>
      <w:r w:rsidRPr="00111A41">
        <w:rPr>
          <w:rFonts w:cs="Arial"/>
          <w:lang w:val="es-ES"/>
        </w:rPr>
        <w:t xml:space="preserve">Debido a la variedad de contextos </w:t>
      </w:r>
      <w:r w:rsidRPr="00CC34CC">
        <w:rPr>
          <w:rFonts w:cs="Arial"/>
          <w:lang w:val="es-ES"/>
        </w:rPr>
        <w:t xml:space="preserve">operativos de respuesta a desastres en los que el Movimiento está involucrado, </w:t>
      </w:r>
      <w:r w:rsidR="001439E1" w:rsidRPr="00CC34CC">
        <w:rPr>
          <w:rFonts w:cs="Arial"/>
          <w:lang w:val="es-ES"/>
        </w:rPr>
        <w:t xml:space="preserve">es necesario definir las </w:t>
      </w:r>
      <w:r w:rsidRPr="00CC34CC">
        <w:rPr>
          <w:rFonts w:cs="Arial"/>
          <w:lang w:val="es-ES"/>
        </w:rPr>
        <w:t xml:space="preserve">funciones, </w:t>
      </w:r>
      <w:r w:rsidR="00077520" w:rsidRPr="00CC34CC">
        <w:rPr>
          <w:rFonts w:cs="Arial"/>
          <w:lang w:val="es-ES"/>
        </w:rPr>
        <w:t xml:space="preserve">habilidades </w:t>
      </w:r>
      <w:r w:rsidRPr="00CC34CC">
        <w:rPr>
          <w:rFonts w:cs="Arial"/>
          <w:lang w:val="es-ES"/>
        </w:rPr>
        <w:t xml:space="preserve">y competencias </w:t>
      </w:r>
      <w:r w:rsidR="00077520" w:rsidRPr="00CC34CC">
        <w:rPr>
          <w:rFonts w:cs="Arial"/>
          <w:lang w:val="es-ES"/>
        </w:rPr>
        <w:t xml:space="preserve">necesarias para </w:t>
      </w:r>
      <w:r w:rsidR="001439E1" w:rsidRPr="00CC34CC">
        <w:rPr>
          <w:rFonts w:cs="Arial"/>
          <w:lang w:val="es-ES"/>
        </w:rPr>
        <w:t xml:space="preserve">cada actor </w:t>
      </w:r>
      <w:r w:rsidR="00E449AA" w:rsidRPr="00CC34CC">
        <w:rPr>
          <w:rFonts w:cs="Arial"/>
          <w:lang w:val="es-ES"/>
        </w:rPr>
        <w:t>del M</w:t>
      </w:r>
      <w:r w:rsidR="001439E1" w:rsidRPr="00CC34CC">
        <w:rPr>
          <w:rFonts w:cs="Arial"/>
          <w:lang w:val="es-ES"/>
        </w:rPr>
        <w:t xml:space="preserve">ovimiento y </w:t>
      </w:r>
      <w:r w:rsidR="00077520" w:rsidRPr="00CC34CC">
        <w:rPr>
          <w:rFonts w:cs="Arial"/>
          <w:lang w:val="es-ES"/>
        </w:rPr>
        <w:t xml:space="preserve">para </w:t>
      </w:r>
      <w:r w:rsidR="001439E1" w:rsidRPr="00CC34CC">
        <w:rPr>
          <w:rFonts w:cs="Arial"/>
          <w:lang w:val="es-ES"/>
        </w:rPr>
        <w:t xml:space="preserve">la coordinación general de PTE, </w:t>
      </w:r>
      <w:r w:rsidR="00077520" w:rsidRPr="00CC34CC">
        <w:rPr>
          <w:rFonts w:cs="Arial"/>
          <w:lang w:val="es-ES"/>
        </w:rPr>
        <w:t xml:space="preserve">a fin de asegurar </w:t>
      </w:r>
      <w:r w:rsidR="001439E1" w:rsidRPr="00CC34CC">
        <w:rPr>
          <w:rFonts w:cs="Arial"/>
          <w:lang w:val="es-ES"/>
        </w:rPr>
        <w:t xml:space="preserve">una </w:t>
      </w:r>
      <w:r w:rsidRPr="00CC34CC">
        <w:rPr>
          <w:rFonts w:cs="Arial"/>
          <w:lang w:val="es-ES"/>
        </w:rPr>
        <w:t>gestión eficiente de</w:t>
      </w:r>
      <w:r w:rsidR="001439E1" w:rsidRPr="00CC34CC">
        <w:rPr>
          <w:rFonts w:cs="Arial"/>
          <w:lang w:val="es-ES"/>
        </w:rPr>
        <w:t xml:space="preserve"> la</w:t>
      </w:r>
      <w:r w:rsidRPr="00CC34CC">
        <w:rPr>
          <w:rFonts w:cs="Arial"/>
          <w:lang w:val="es-ES"/>
        </w:rPr>
        <w:t xml:space="preserve"> </w:t>
      </w:r>
      <w:r w:rsidR="00B8265A" w:rsidRPr="00CC34CC">
        <w:rPr>
          <w:rFonts w:cs="Arial"/>
          <w:lang w:val="es-ES"/>
        </w:rPr>
        <w:t>respuesta. Se pueden</w:t>
      </w:r>
      <w:r w:rsidR="001439E1" w:rsidRPr="00CC34CC">
        <w:rPr>
          <w:rFonts w:cs="Arial"/>
          <w:lang w:val="es-ES"/>
        </w:rPr>
        <w:t xml:space="preserve"> consultar los procedimientos operativos estándar específicos </w:t>
      </w:r>
      <w:r w:rsidR="00077520" w:rsidRPr="00CC34CC">
        <w:rPr>
          <w:rFonts w:cs="Arial"/>
          <w:lang w:val="es-ES"/>
        </w:rPr>
        <w:t xml:space="preserve">de la FICR y el CICR en la CAJA DE DOCUMENTOS CLAVE para </w:t>
      </w:r>
      <w:r w:rsidR="00B8265A" w:rsidRPr="00CC34CC">
        <w:rPr>
          <w:rFonts w:cs="Arial"/>
          <w:lang w:val="es-ES"/>
        </w:rPr>
        <w:t>poder ver las</w:t>
      </w:r>
      <w:r w:rsidR="00F34DA6" w:rsidRPr="00CC34CC">
        <w:rPr>
          <w:rFonts w:cs="Arial"/>
          <w:lang w:val="es-ES"/>
        </w:rPr>
        <w:t xml:space="preserve"> </w:t>
      </w:r>
      <w:r w:rsidR="00077520" w:rsidRPr="00CC34CC">
        <w:rPr>
          <w:rFonts w:cs="Arial"/>
          <w:lang w:val="es-ES"/>
        </w:rPr>
        <w:t>funciones específicas.</w:t>
      </w:r>
      <w:r w:rsidR="00077520" w:rsidRPr="00077520">
        <w:rPr>
          <w:rFonts w:cs="Arial"/>
          <w:lang w:val="es-ES"/>
        </w:rPr>
        <w:t xml:space="preserve"> </w:t>
      </w:r>
      <w:r w:rsidR="00077520">
        <w:rPr>
          <w:rFonts w:cs="Arial"/>
          <w:lang w:val="es-ES"/>
        </w:rPr>
        <w:t xml:space="preserve"> </w:t>
      </w:r>
      <w:r w:rsidR="00CC34CC" w:rsidRPr="00CC34CC">
        <w:rPr>
          <w:rFonts w:cs="Arial"/>
          <w:color w:val="4F81BD" w:themeColor="accent1"/>
          <w:lang w:val="es-ES"/>
        </w:rPr>
        <w:t xml:space="preserve"> </w:t>
      </w:r>
    </w:p>
    <w:p w14:paraId="3B03AD65" w14:textId="77777777" w:rsidR="007C15D5" w:rsidRPr="00077520" w:rsidRDefault="00077520" w:rsidP="000B105D">
      <w:pPr>
        <w:pStyle w:val="Heading2"/>
        <w:spacing w:before="480"/>
        <w:rPr>
          <w:rFonts w:cs="Arial"/>
          <w:color w:val="4F81BD" w:themeColor="accent1"/>
          <w:lang w:val="es-ES"/>
        </w:rPr>
      </w:pPr>
      <w:bookmarkStart w:id="2" w:name="_Toc352182885"/>
      <w:bookmarkStart w:id="3" w:name="_Toc386542649"/>
      <w:r w:rsidRPr="00077520">
        <w:rPr>
          <w:rFonts w:cs="Arial"/>
          <w:lang w:val="es-ES"/>
        </w:rPr>
        <w:t>Los equipos deL programa requeriráN DE la participación de colegas de otros departamentos para LA TOMA DE decisiones en torno a temas clave del diseño Y LA IMPLEMENTACIÓN DEL PROGRAMA</w:t>
      </w:r>
      <w:r>
        <w:rPr>
          <w:rFonts w:cs="Arial"/>
          <w:lang w:val="es-ES"/>
        </w:rPr>
        <w:t>,</w:t>
      </w:r>
      <w:r w:rsidRPr="00077520">
        <w:rPr>
          <w:rFonts w:cs="Arial"/>
          <w:lang w:val="es-ES"/>
        </w:rPr>
        <w:t xml:space="preserve"> </w:t>
      </w:r>
      <w:r>
        <w:rPr>
          <w:rFonts w:cs="Arial"/>
          <w:lang w:val="es-ES"/>
        </w:rPr>
        <w:t xml:space="preserve">INCLUYENDO: </w:t>
      </w:r>
      <w:bookmarkEnd w:id="2"/>
      <w:bookmarkEnd w:id="3"/>
      <w:r>
        <w:rPr>
          <w:rFonts w:cs="Arial"/>
          <w:color w:val="4F81BD" w:themeColor="accent1"/>
          <w:lang w:val="es-ES"/>
        </w:rPr>
        <w:t xml:space="preserve"> </w:t>
      </w:r>
    </w:p>
    <w:p w14:paraId="171FC9B2" w14:textId="349C51A2" w:rsidR="007C15D5" w:rsidRPr="00CC34CC" w:rsidRDefault="00B8265A" w:rsidP="002C00BE">
      <w:pPr>
        <w:pStyle w:val="ListParagraph"/>
        <w:numPr>
          <w:ilvl w:val="0"/>
          <w:numId w:val="8"/>
        </w:numPr>
        <w:spacing w:before="60" w:after="60"/>
        <w:ind w:left="714" w:hanging="357"/>
        <w:contextualSpacing w:val="0"/>
        <w:rPr>
          <w:rFonts w:cs="Arial"/>
          <w:szCs w:val="20"/>
          <w:lang w:val="es-ES"/>
        </w:rPr>
      </w:pPr>
      <w:r w:rsidRPr="00CC34CC">
        <w:rPr>
          <w:rFonts w:cs="Arial"/>
          <w:szCs w:val="20"/>
          <w:lang w:val="es-ES"/>
        </w:rPr>
        <w:t xml:space="preserve">Análisis del </w:t>
      </w:r>
      <w:r w:rsidR="00077520" w:rsidRPr="00CC34CC">
        <w:rPr>
          <w:rFonts w:cs="Arial"/>
          <w:szCs w:val="20"/>
          <w:lang w:val="es-ES"/>
        </w:rPr>
        <w:t xml:space="preserve">estudio de viabilidad de las modalidades, mecanismos y agentes </w:t>
      </w:r>
      <w:r w:rsidRPr="00CC34CC">
        <w:rPr>
          <w:rFonts w:cs="Arial"/>
          <w:szCs w:val="20"/>
          <w:lang w:val="es-ES"/>
        </w:rPr>
        <w:t xml:space="preserve">y métodos </w:t>
      </w:r>
      <w:r w:rsidR="00077520" w:rsidRPr="00CC34CC">
        <w:rPr>
          <w:rFonts w:cs="Arial"/>
          <w:szCs w:val="20"/>
          <w:lang w:val="es-ES"/>
        </w:rPr>
        <w:t xml:space="preserve">de entrega de PTE </w:t>
      </w:r>
      <w:r w:rsidR="00CC34CC" w:rsidRPr="00CC34CC">
        <w:rPr>
          <w:rFonts w:cs="Arial"/>
          <w:szCs w:val="20"/>
          <w:lang w:val="es-ES"/>
        </w:rPr>
        <w:t xml:space="preserve"> </w:t>
      </w:r>
    </w:p>
    <w:p w14:paraId="39896883" w14:textId="77777777" w:rsidR="00B8265A" w:rsidRPr="00CC34CC" w:rsidRDefault="003028F0" w:rsidP="002C00BE">
      <w:pPr>
        <w:pStyle w:val="ListParagraph"/>
        <w:numPr>
          <w:ilvl w:val="0"/>
          <w:numId w:val="8"/>
        </w:numPr>
        <w:spacing w:before="60" w:after="60"/>
        <w:ind w:left="714" w:hanging="357"/>
        <w:contextualSpacing w:val="0"/>
        <w:rPr>
          <w:rFonts w:cs="Arial"/>
          <w:szCs w:val="20"/>
          <w:lang w:val="es-ES"/>
        </w:rPr>
      </w:pPr>
      <w:r w:rsidRPr="00CC34CC">
        <w:rPr>
          <w:rFonts w:cs="Arial"/>
          <w:szCs w:val="20"/>
          <w:lang w:val="es-ES"/>
        </w:rPr>
        <w:t xml:space="preserve">Análisis de riesgos de las modalidades, mecanismos y agentes </w:t>
      </w:r>
      <w:r w:rsidR="00B8265A" w:rsidRPr="00CC34CC">
        <w:rPr>
          <w:rFonts w:cs="Arial"/>
          <w:szCs w:val="20"/>
          <w:lang w:val="es-ES"/>
        </w:rPr>
        <w:t xml:space="preserve">y métodos </w:t>
      </w:r>
      <w:r w:rsidRPr="00CC34CC">
        <w:rPr>
          <w:rFonts w:cs="Arial"/>
          <w:szCs w:val="20"/>
          <w:lang w:val="es-ES"/>
        </w:rPr>
        <w:t xml:space="preserve">de entrega de PTE </w:t>
      </w:r>
    </w:p>
    <w:p w14:paraId="7E9D2737" w14:textId="19836090" w:rsidR="007C15D5" w:rsidRPr="00CC34CC" w:rsidRDefault="003028F0" w:rsidP="002C00BE">
      <w:pPr>
        <w:pStyle w:val="ListParagraph"/>
        <w:numPr>
          <w:ilvl w:val="0"/>
          <w:numId w:val="8"/>
        </w:numPr>
        <w:spacing w:before="60" w:after="60"/>
        <w:ind w:left="714" w:hanging="357"/>
        <w:contextualSpacing w:val="0"/>
        <w:rPr>
          <w:rFonts w:cs="Arial"/>
          <w:szCs w:val="20"/>
          <w:lang w:val="es-ES"/>
        </w:rPr>
      </w:pPr>
      <w:r w:rsidRPr="00CC34CC">
        <w:rPr>
          <w:rFonts w:cs="Arial"/>
          <w:szCs w:val="20"/>
          <w:lang w:val="es-ES"/>
        </w:rPr>
        <w:t xml:space="preserve">Coordinación de las áreas funcionales transversales de apoyo a PTE </w:t>
      </w:r>
      <w:r w:rsidR="00CC34CC" w:rsidRPr="00CC34CC">
        <w:rPr>
          <w:rFonts w:cs="Arial"/>
          <w:color w:val="4F81BD" w:themeColor="accent1"/>
          <w:szCs w:val="20"/>
          <w:lang w:val="es-ES"/>
        </w:rPr>
        <w:t xml:space="preserve"> </w:t>
      </w:r>
    </w:p>
    <w:p w14:paraId="6DF66E6D" w14:textId="035DE88E" w:rsidR="00235966" w:rsidRPr="003028F0" w:rsidRDefault="003028F0" w:rsidP="000B105D">
      <w:pPr>
        <w:spacing w:before="240"/>
        <w:rPr>
          <w:color w:val="4F81BD" w:themeColor="accent1"/>
          <w:lang w:val="es-ES"/>
        </w:rPr>
      </w:pPr>
      <w:r w:rsidRPr="003028F0">
        <w:rPr>
          <w:lang w:val="es-ES"/>
        </w:rPr>
        <w:t xml:space="preserve">Considerar la creación de grupos </w:t>
      </w:r>
      <w:r w:rsidR="00FF77D7">
        <w:rPr>
          <w:lang w:val="es-ES"/>
        </w:rPr>
        <w:t xml:space="preserve">específicos </w:t>
      </w:r>
      <w:r w:rsidRPr="003028F0">
        <w:rPr>
          <w:lang w:val="es-ES"/>
        </w:rPr>
        <w:t xml:space="preserve">de coordinación interna y externa de </w:t>
      </w:r>
      <w:r w:rsidR="00FF77D7">
        <w:rPr>
          <w:lang w:val="es-ES"/>
        </w:rPr>
        <w:t>á</w:t>
      </w:r>
      <w:r w:rsidRPr="003028F0">
        <w:rPr>
          <w:lang w:val="es-ES"/>
        </w:rPr>
        <w:t>mbito nacional</w:t>
      </w:r>
      <w:r w:rsidR="00CC34CC">
        <w:rPr>
          <w:lang w:val="es-ES"/>
        </w:rPr>
        <w:t xml:space="preserve">:  </w:t>
      </w:r>
    </w:p>
    <w:p w14:paraId="21F738C5" w14:textId="106AC87B" w:rsidR="00235966" w:rsidRPr="00CC34CC" w:rsidRDefault="00FF77D7" w:rsidP="00FF77D7">
      <w:pPr>
        <w:pStyle w:val="Bullet2"/>
        <w:rPr>
          <w:u w:val="single"/>
          <w:lang w:val="es-ES"/>
        </w:rPr>
      </w:pPr>
      <w:r w:rsidRPr="00CC34CC">
        <w:rPr>
          <w:b/>
          <w:lang w:val="es-ES"/>
        </w:rPr>
        <w:t xml:space="preserve">Grupo de </w:t>
      </w:r>
      <w:r w:rsidR="00C97862" w:rsidRPr="00CC34CC">
        <w:rPr>
          <w:b/>
          <w:lang w:val="es-ES"/>
        </w:rPr>
        <w:t>t</w:t>
      </w:r>
      <w:r w:rsidRPr="00CC34CC">
        <w:rPr>
          <w:b/>
          <w:lang w:val="es-ES"/>
        </w:rPr>
        <w:t xml:space="preserve">rabajo </w:t>
      </w:r>
      <w:r w:rsidR="00C97862" w:rsidRPr="00CC34CC">
        <w:rPr>
          <w:b/>
          <w:lang w:val="es-ES"/>
        </w:rPr>
        <w:t>t</w:t>
      </w:r>
      <w:r w:rsidRPr="00CC34CC">
        <w:rPr>
          <w:b/>
          <w:lang w:val="es-ES"/>
        </w:rPr>
        <w:t>écnico de PTE</w:t>
      </w:r>
      <w:r w:rsidR="00CB005D" w:rsidRPr="00CC34CC">
        <w:rPr>
          <w:b/>
          <w:lang w:val="es-ES"/>
        </w:rPr>
        <w:t xml:space="preserve"> (GTT-PTE)</w:t>
      </w:r>
      <w:r w:rsidRPr="00CC34CC">
        <w:rPr>
          <w:b/>
          <w:lang w:val="es-ES"/>
        </w:rPr>
        <w:t xml:space="preserve"> </w:t>
      </w:r>
      <w:r w:rsidRPr="00CC34CC">
        <w:rPr>
          <w:lang w:val="es-ES"/>
        </w:rPr>
        <w:t xml:space="preserve">cuya función es asegurar que la </w:t>
      </w:r>
      <w:r w:rsidR="00B8265A" w:rsidRPr="00CC34CC">
        <w:rPr>
          <w:lang w:val="es-ES"/>
        </w:rPr>
        <w:t>SN</w:t>
      </w:r>
      <w:r w:rsidRPr="00CC34CC">
        <w:rPr>
          <w:lang w:val="es-ES"/>
        </w:rPr>
        <w:t xml:space="preserve"> es capaz de ofrecer servicios de calidad a través de PTE cuando sea apropiado.</w:t>
      </w:r>
      <w:r w:rsidRPr="00CC34CC">
        <w:rPr>
          <w:b/>
          <w:lang w:val="es-ES"/>
        </w:rPr>
        <w:t xml:space="preserve"> </w:t>
      </w:r>
      <w:r w:rsidR="00CC34CC" w:rsidRPr="00CC34CC">
        <w:rPr>
          <w:b/>
          <w:color w:val="4F81BD" w:themeColor="accent1"/>
          <w:lang w:val="es-ES"/>
        </w:rPr>
        <w:t xml:space="preserve"> </w:t>
      </w:r>
    </w:p>
    <w:p w14:paraId="2449AA12" w14:textId="7575227E" w:rsidR="00235966" w:rsidRPr="00CC34CC" w:rsidRDefault="00C97862" w:rsidP="00FF77D7">
      <w:pPr>
        <w:pStyle w:val="Bullet2"/>
        <w:rPr>
          <w:color w:val="4F81BD" w:themeColor="accent1"/>
          <w:lang w:val="es-ES"/>
        </w:rPr>
      </w:pPr>
      <w:r w:rsidRPr="00CC34CC">
        <w:rPr>
          <w:b/>
          <w:lang w:val="es-ES"/>
        </w:rPr>
        <w:t>Punto f</w:t>
      </w:r>
      <w:r w:rsidR="00FF77D7" w:rsidRPr="00CC34CC">
        <w:rPr>
          <w:b/>
          <w:lang w:val="es-ES"/>
        </w:rPr>
        <w:t xml:space="preserve">ocal de PTE: </w:t>
      </w:r>
      <w:r w:rsidR="00FF77D7" w:rsidRPr="00CC34CC">
        <w:rPr>
          <w:lang w:val="es-ES"/>
        </w:rPr>
        <w:t xml:space="preserve">convocará al </w:t>
      </w:r>
      <w:r w:rsidR="00CB005D" w:rsidRPr="00CC34CC">
        <w:rPr>
          <w:lang w:val="es-ES"/>
        </w:rPr>
        <w:t>GTT-</w:t>
      </w:r>
      <w:r w:rsidR="00FF77D7" w:rsidRPr="00CC34CC">
        <w:rPr>
          <w:lang w:val="es-ES"/>
        </w:rPr>
        <w:t xml:space="preserve"> PTE y será responsable de la coordinación y la integración de las respuestas de</w:t>
      </w:r>
      <w:r w:rsidR="00311A88" w:rsidRPr="00CC34CC">
        <w:rPr>
          <w:lang w:val="es-ES"/>
        </w:rPr>
        <w:t xml:space="preserve"> transferencia de efectivo </w:t>
      </w:r>
      <w:r w:rsidR="00FF77D7" w:rsidRPr="00CC34CC">
        <w:rPr>
          <w:lang w:val="es-ES"/>
        </w:rPr>
        <w:t xml:space="preserve">y las lecciones </w:t>
      </w:r>
      <w:r w:rsidR="00311A88" w:rsidRPr="00CC34CC">
        <w:rPr>
          <w:lang w:val="es-ES"/>
        </w:rPr>
        <w:t>aprendidas</w:t>
      </w:r>
      <w:r w:rsidR="00CC34CC" w:rsidRPr="00CC34CC">
        <w:rPr>
          <w:lang w:val="es-ES"/>
        </w:rPr>
        <w:t xml:space="preserve">.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07"/>
        <w:gridCol w:w="3243"/>
        <w:gridCol w:w="4472"/>
      </w:tblGrid>
      <w:tr w:rsidR="00871FCB" w:rsidRPr="00CC34CC" w14:paraId="2E782313" w14:textId="77777777" w:rsidTr="002C00BE">
        <w:trPr>
          <w:trHeight w:val="599"/>
        </w:trPr>
        <w:tc>
          <w:tcPr>
            <w:tcW w:w="991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390E3979" w14:textId="77777777" w:rsidR="008E48FF" w:rsidRPr="00CC34CC" w:rsidRDefault="00691EB9" w:rsidP="00691EB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 Bold" w:hAnsi="Arial Bold" w:cs="Arial"/>
                <w:b/>
                <w:color w:val="FFFFFF" w:themeColor="background1"/>
                <w:lang w:val="es-ES"/>
              </w:rPr>
            </w:pPr>
            <w:r w:rsidRPr="00CC34CC">
              <w:rPr>
                <w:rFonts w:ascii="Arial Bold" w:hAnsi="Arial Bold" w:cs="Arial"/>
                <w:b/>
                <w:color w:val="FFFFFF" w:themeColor="background1"/>
                <w:lang w:val="es-ES"/>
              </w:rPr>
              <w:t xml:space="preserve">Mecanismo de coordinación  </w:t>
            </w:r>
          </w:p>
        </w:tc>
        <w:tc>
          <w:tcPr>
            <w:tcW w:w="1685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71BFB4FD" w14:textId="3E002874" w:rsidR="008E48FF" w:rsidRPr="00CC34CC" w:rsidRDefault="00691EB9" w:rsidP="00CC34CC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 Bold" w:hAnsi="Arial Bold" w:cs="Arial"/>
                <w:b/>
              </w:rPr>
            </w:pPr>
            <w:proofErr w:type="spellStart"/>
            <w:r w:rsidRPr="00CC34CC">
              <w:rPr>
                <w:rFonts w:ascii="Arial Bold" w:hAnsi="Arial Bold" w:cs="Arial"/>
                <w:b/>
                <w:color w:val="FFFFFF" w:themeColor="background1"/>
              </w:rPr>
              <w:t>Miembros</w:t>
            </w:r>
            <w:proofErr w:type="spellEnd"/>
            <w:r w:rsidRPr="00CC34CC">
              <w:rPr>
                <w:rFonts w:ascii="Arial Bold" w:hAnsi="Arial Bold" w:cs="Arial"/>
                <w:b/>
                <w:color w:val="FFFFFF" w:themeColor="background1"/>
              </w:rPr>
              <w:t xml:space="preserve"> </w:t>
            </w:r>
            <w:proofErr w:type="spellStart"/>
            <w:r w:rsidRPr="00CC34CC">
              <w:rPr>
                <w:rFonts w:ascii="Arial Bold" w:hAnsi="Arial Bold" w:cs="Arial"/>
                <w:b/>
                <w:color w:val="FFFFFF" w:themeColor="background1"/>
              </w:rPr>
              <w:t>propuestos</w:t>
            </w:r>
            <w:proofErr w:type="spellEnd"/>
            <w:r w:rsidRPr="00CC34CC">
              <w:rPr>
                <w:rFonts w:ascii="Arial Bold" w:hAnsi="Arial Bold" w:cs="Arial"/>
                <w:b/>
                <w:color w:val="FFFFFF" w:themeColor="background1"/>
              </w:rPr>
              <w:t xml:space="preserve"> y </w:t>
            </w:r>
            <w:proofErr w:type="spellStart"/>
            <w:r w:rsidRPr="00CC34CC">
              <w:rPr>
                <w:rFonts w:ascii="Arial Bold" w:hAnsi="Arial Bold" w:cs="Arial"/>
                <w:b/>
                <w:color w:val="FFFFFF" w:themeColor="background1"/>
              </w:rPr>
              <w:t>funciones</w:t>
            </w:r>
            <w:proofErr w:type="spellEnd"/>
            <w:r w:rsidRPr="00CC34CC">
              <w:rPr>
                <w:rFonts w:ascii="Arial Bold" w:hAnsi="Arial Bold" w:cs="Arial"/>
                <w:b/>
              </w:rPr>
              <w:t xml:space="preserve">  </w:t>
            </w:r>
          </w:p>
        </w:tc>
        <w:tc>
          <w:tcPr>
            <w:tcW w:w="2325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628F4C8A" w14:textId="77777777" w:rsidR="008E48FF" w:rsidRPr="00CC34CC" w:rsidRDefault="00691EB9" w:rsidP="00DC3A2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 Bold" w:hAnsi="Arial Bold" w:cs="Arial"/>
                <w:b/>
                <w:color w:val="FFFFFF" w:themeColor="background1"/>
              </w:rPr>
            </w:pPr>
            <w:proofErr w:type="spellStart"/>
            <w:r w:rsidRPr="00CC34CC">
              <w:rPr>
                <w:rFonts w:ascii="Arial Bold" w:hAnsi="Arial Bold" w:cs="Arial"/>
                <w:b/>
                <w:color w:val="FFFFFF" w:themeColor="background1"/>
              </w:rPr>
              <w:t>Rol</w:t>
            </w:r>
            <w:proofErr w:type="spellEnd"/>
            <w:r w:rsidRPr="00CC34CC">
              <w:rPr>
                <w:rFonts w:ascii="Arial Bold" w:hAnsi="Arial Bold" w:cs="Arial"/>
                <w:b/>
                <w:color w:val="FFFFFF" w:themeColor="background1"/>
              </w:rPr>
              <w:t xml:space="preserve"> principal</w:t>
            </w:r>
          </w:p>
        </w:tc>
      </w:tr>
      <w:tr w:rsidR="00871FCB" w:rsidRPr="00CC34CC" w14:paraId="03E1C7F6" w14:textId="77777777" w:rsidTr="002C00BE">
        <w:tc>
          <w:tcPr>
            <w:tcW w:w="991" w:type="pct"/>
            <w:tcBorders>
              <w:bottom w:val="single" w:sz="4" w:space="0" w:color="auto"/>
            </w:tcBorders>
            <w:shd w:val="clear" w:color="auto" w:fill="A6A6A6"/>
          </w:tcPr>
          <w:p w14:paraId="51E65AAE" w14:textId="6372202F" w:rsidR="008E48FF" w:rsidRPr="00CC34CC" w:rsidRDefault="00CB005D" w:rsidP="00CC34CC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</w:rPr>
            </w:pPr>
            <w:r w:rsidRPr="00CC34CC">
              <w:rPr>
                <w:b/>
              </w:rPr>
              <w:t>GTT -</w:t>
            </w:r>
            <w:r w:rsidR="00A903FB" w:rsidRPr="00CC34CC">
              <w:rPr>
                <w:b/>
              </w:rPr>
              <w:t xml:space="preserve"> PTE </w:t>
            </w:r>
            <w:r w:rsidR="00CC34CC" w:rsidRPr="00CC34CC">
              <w:rPr>
                <w:rFonts w:cs="Arial"/>
                <w:b/>
                <w:color w:val="4F81BD" w:themeColor="accent1"/>
              </w:rPr>
              <w:t xml:space="preserve"> </w:t>
            </w:r>
          </w:p>
        </w:tc>
        <w:tc>
          <w:tcPr>
            <w:tcW w:w="1685" w:type="pct"/>
            <w:tcBorders>
              <w:bottom w:val="single" w:sz="4" w:space="0" w:color="auto"/>
            </w:tcBorders>
            <w:shd w:val="clear" w:color="auto" w:fill="E6E6E6"/>
          </w:tcPr>
          <w:p w14:paraId="0D31A9B1" w14:textId="77777777" w:rsidR="00914FD9" w:rsidRPr="00CC34CC" w:rsidRDefault="00A903FB" w:rsidP="00DC3A2E">
            <w:pPr>
              <w:spacing w:before="60" w:after="60"/>
              <w:jc w:val="left"/>
              <w:rPr>
                <w:rFonts w:cs="Arial"/>
                <w:lang w:val="fr-FR"/>
              </w:rPr>
            </w:pPr>
            <w:proofErr w:type="spellStart"/>
            <w:r w:rsidRPr="00CC34CC">
              <w:rPr>
                <w:rFonts w:cs="Arial"/>
                <w:lang w:val="fr-FR"/>
              </w:rPr>
              <w:t>Programas</w:t>
            </w:r>
            <w:proofErr w:type="spellEnd"/>
            <w:r w:rsidRPr="00CC34CC">
              <w:rPr>
                <w:rFonts w:cs="Arial"/>
                <w:lang w:val="fr-FR"/>
              </w:rPr>
              <w:t xml:space="preserve"> / </w:t>
            </w:r>
            <w:proofErr w:type="spellStart"/>
            <w:r w:rsidRPr="00CC34CC">
              <w:rPr>
                <w:rFonts w:cs="Arial"/>
                <w:lang w:val="fr-FR"/>
              </w:rPr>
              <w:t>Gestión</w:t>
            </w:r>
            <w:proofErr w:type="spellEnd"/>
            <w:r w:rsidRPr="00CC34CC">
              <w:rPr>
                <w:rFonts w:cs="Arial"/>
                <w:lang w:val="fr-FR"/>
              </w:rPr>
              <w:t xml:space="preserve"> de </w:t>
            </w:r>
            <w:proofErr w:type="spellStart"/>
            <w:r w:rsidR="00871FCB" w:rsidRPr="00CC34CC">
              <w:rPr>
                <w:rFonts w:cs="Arial"/>
                <w:lang w:val="fr-FR"/>
              </w:rPr>
              <w:t>d</w:t>
            </w:r>
            <w:r w:rsidRPr="00CC34CC">
              <w:rPr>
                <w:rFonts w:cs="Arial"/>
                <w:lang w:val="fr-FR"/>
              </w:rPr>
              <w:t>esastres</w:t>
            </w:r>
            <w:proofErr w:type="spellEnd"/>
            <w:r w:rsidRPr="00CC34CC">
              <w:rPr>
                <w:rFonts w:cs="Arial"/>
                <w:lang w:val="fr-FR"/>
              </w:rPr>
              <w:t xml:space="preserve"> / </w:t>
            </w:r>
            <w:proofErr w:type="spellStart"/>
            <w:r w:rsidR="00914FD9" w:rsidRPr="00CC34CC">
              <w:rPr>
                <w:rFonts w:cs="Arial"/>
                <w:lang w:val="fr-FR"/>
              </w:rPr>
              <w:t>EcoSec</w:t>
            </w:r>
            <w:proofErr w:type="spellEnd"/>
          </w:p>
          <w:p w14:paraId="6AF8C38D" w14:textId="683C07D6" w:rsidR="007C15D5" w:rsidRPr="00CC34CC" w:rsidRDefault="00A903FB" w:rsidP="00DC3A2E">
            <w:pPr>
              <w:spacing w:before="60" w:after="60"/>
              <w:jc w:val="left"/>
              <w:rPr>
                <w:rFonts w:cs="Arial"/>
                <w:lang w:val="fr-FR"/>
              </w:rPr>
            </w:pPr>
            <w:proofErr w:type="spellStart"/>
            <w:r w:rsidRPr="00CC34CC">
              <w:rPr>
                <w:rFonts w:cs="Arial"/>
                <w:lang w:val="fr-FR"/>
              </w:rPr>
              <w:t>Finanzas</w:t>
            </w:r>
            <w:proofErr w:type="spellEnd"/>
            <w:r w:rsidRPr="00CC34CC">
              <w:rPr>
                <w:rFonts w:cs="Arial"/>
                <w:lang w:val="fr-FR"/>
              </w:rPr>
              <w:t xml:space="preserve"> / </w:t>
            </w:r>
            <w:proofErr w:type="spellStart"/>
            <w:r w:rsidRPr="00CC34CC">
              <w:rPr>
                <w:rFonts w:cs="Arial"/>
                <w:lang w:val="fr-FR"/>
              </w:rPr>
              <w:t>Administración</w:t>
            </w:r>
            <w:proofErr w:type="spellEnd"/>
            <w:r w:rsidRPr="00CC34CC">
              <w:rPr>
                <w:rFonts w:cs="Arial"/>
                <w:lang w:val="fr-FR"/>
              </w:rPr>
              <w:t xml:space="preserve"> </w:t>
            </w:r>
          </w:p>
          <w:p w14:paraId="6472FBA5" w14:textId="77777777" w:rsidR="00D63BE6" w:rsidRPr="00CC34CC" w:rsidRDefault="00A903FB" w:rsidP="00DC3A2E">
            <w:pPr>
              <w:spacing w:before="60" w:after="60"/>
              <w:jc w:val="left"/>
              <w:rPr>
                <w:rFonts w:cs="Arial"/>
                <w:lang w:val="fr-FR"/>
              </w:rPr>
            </w:pPr>
            <w:proofErr w:type="spellStart"/>
            <w:r w:rsidRPr="00CC34CC">
              <w:rPr>
                <w:rFonts w:cs="Arial"/>
                <w:lang w:val="fr-FR"/>
              </w:rPr>
              <w:t>Logística</w:t>
            </w:r>
            <w:proofErr w:type="spellEnd"/>
          </w:p>
          <w:p w14:paraId="2A2CD9DC" w14:textId="77777777" w:rsidR="00D63BE6" w:rsidRPr="00CC34CC" w:rsidRDefault="00A903FB" w:rsidP="00DC3A2E">
            <w:pPr>
              <w:spacing w:before="60" w:after="60"/>
              <w:jc w:val="left"/>
              <w:rPr>
                <w:rFonts w:cs="Arial"/>
                <w:lang w:val="fr-FR"/>
              </w:rPr>
            </w:pPr>
            <w:proofErr w:type="spellStart"/>
            <w:r w:rsidRPr="00CC34CC">
              <w:rPr>
                <w:rFonts w:cs="Arial"/>
                <w:lang w:val="fr-FR"/>
              </w:rPr>
              <w:t>Recursos</w:t>
            </w:r>
            <w:proofErr w:type="spellEnd"/>
            <w:r w:rsidRPr="00CC34CC">
              <w:rPr>
                <w:rFonts w:cs="Arial"/>
                <w:lang w:val="fr-FR"/>
              </w:rPr>
              <w:t xml:space="preserve"> </w:t>
            </w:r>
            <w:proofErr w:type="spellStart"/>
            <w:r w:rsidRPr="00CC34CC">
              <w:rPr>
                <w:rFonts w:cs="Arial"/>
                <w:lang w:val="fr-FR"/>
              </w:rPr>
              <w:t>humanos</w:t>
            </w:r>
            <w:proofErr w:type="spellEnd"/>
            <w:r w:rsidRPr="00CC34CC">
              <w:rPr>
                <w:rFonts w:cs="Arial"/>
                <w:lang w:val="fr-FR"/>
              </w:rPr>
              <w:t xml:space="preserve"> </w:t>
            </w:r>
            <w:bookmarkStart w:id="4" w:name="_GoBack"/>
            <w:bookmarkEnd w:id="4"/>
          </w:p>
          <w:p w14:paraId="15AE9C80" w14:textId="77777777" w:rsidR="008E48FF" w:rsidRPr="00CC34CC" w:rsidRDefault="00A903FB" w:rsidP="00DC3A2E">
            <w:pPr>
              <w:spacing w:before="60" w:after="60"/>
              <w:jc w:val="left"/>
              <w:rPr>
                <w:rFonts w:cs="Arial"/>
                <w:lang w:val="es-ES"/>
              </w:rPr>
            </w:pPr>
            <w:r w:rsidRPr="00CC34CC">
              <w:rPr>
                <w:rFonts w:cs="Arial"/>
                <w:lang w:val="es-ES"/>
              </w:rPr>
              <w:t>Seguridad</w:t>
            </w:r>
          </w:p>
        </w:tc>
        <w:tc>
          <w:tcPr>
            <w:tcW w:w="2325" w:type="pct"/>
            <w:tcBorders>
              <w:bottom w:val="single" w:sz="4" w:space="0" w:color="auto"/>
            </w:tcBorders>
            <w:shd w:val="clear" w:color="auto" w:fill="F3F3F3"/>
          </w:tcPr>
          <w:p w14:paraId="66B68A3A" w14:textId="38B7B676" w:rsidR="008E48FF" w:rsidRPr="00CC34CC" w:rsidRDefault="00A903FB" w:rsidP="00CC34CC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lang w:val="es-ES"/>
              </w:rPr>
            </w:pPr>
            <w:r w:rsidRPr="00CC34CC">
              <w:rPr>
                <w:rFonts w:cs="Arial"/>
                <w:lang w:val="es-ES"/>
              </w:rPr>
              <w:t xml:space="preserve">Garantizar la provisión de PTE en línea con los procedimientos operativos estándar y el análisis del contexto de las necesidades </w:t>
            </w:r>
            <w:r w:rsidR="004F7683" w:rsidRPr="00CC34CC">
              <w:rPr>
                <w:rFonts w:cs="Arial"/>
                <w:lang w:val="es-ES"/>
              </w:rPr>
              <w:t>identificadas y</w:t>
            </w:r>
            <w:r w:rsidRPr="00CC34CC">
              <w:rPr>
                <w:rFonts w:cs="Arial"/>
                <w:lang w:val="es-ES"/>
              </w:rPr>
              <w:t xml:space="preserve"> la viabilidad </w:t>
            </w:r>
            <w:r w:rsidR="00CC34CC" w:rsidRPr="00CC34CC">
              <w:rPr>
                <w:rFonts w:cs="Arial"/>
                <w:color w:val="4F81BD" w:themeColor="accent1"/>
                <w:lang w:val="es-ES"/>
              </w:rPr>
              <w:t xml:space="preserve"> </w:t>
            </w:r>
            <w:r w:rsidR="008E48FF" w:rsidRPr="00CC34CC">
              <w:rPr>
                <w:rFonts w:cs="Arial"/>
                <w:color w:val="4F81BD" w:themeColor="accent1"/>
                <w:lang w:val="es-ES"/>
              </w:rPr>
              <w:t xml:space="preserve"> </w:t>
            </w:r>
          </w:p>
        </w:tc>
      </w:tr>
      <w:tr w:rsidR="00871FCB" w:rsidRPr="00CC34CC" w14:paraId="20F6CEDD" w14:textId="77777777" w:rsidTr="002C00BE">
        <w:tc>
          <w:tcPr>
            <w:tcW w:w="0" w:type="pct"/>
            <w:tcBorders>
              <w:bottom w:val="single" w:sz="4" w:space="0" w:color="auto"/>
            </w:tcBorders>
            <w:shd w:val="clear" w:color="auto" w:fill="A6A6A6"/>
          </w:tcPr>
          <w:p w14:paraId="07C0E9A2" w14:textId="0BECD025" w:rsidR="008E48FF" w:rsidRPr="00CC34CC" w:rsidRDefault="00C97862" w:rsidP="00CC34CC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</w:rPr>
            </w:pPr>
            <w:r w:rsidRPr="00CC34CC">
              <w:rPr>
                <w:b/>
                <w:lang w:val="es-ES"/>
              </w:rPr>
              <w:t>Punto f</w:t>
            </w:r>
            <w:r w:rsidR="007C522F" w:rsidRPr="00CC34CC">
              <w:rPr>
                <w:b/>
                <w:lang w:val="es-ES"/>
              </w:rPr>
              <w:t>ocal de PTE</w:t>
            </w:r>
            <w:r w:rsidR="007C522F" w:rsidRPr="00CC34CC">
              <w:rPr>
                <w:rFonts w:cs="Arial"/>
                <w:b/>
              </w:rPr>
              <w:t xml:space="preserve"> </w:t>
            </w:r>
            <w:r w:rsidR="00CC34CC" w:rsidRPr="00CC34CC">
              <w:rPr>
                <w:rFonts w:cs="Arial"/>
                <w:b/>
                <w:color w:val="4F81BD" w:themeColor="accent1"/>
              </w:rPr>
              <w:t xml:space="preserve"> </w:t>
            </w:r>
          </w:p>
        </w:tc>
        <w:tc>
          <w:tcPr>
            <w:tcW w:w="0" w:type="pct"/>
            <w:tcBorders>
              <w:bottom w:val="single" w:sz="4" w:space="0" w:color="auto"/>
            </w:tcBorders>
            <w:shd w:val="clear" w:color="auto" w:fill="E6E6E6"/>
          </w:tcPr>
          <w:p w14:paraId="0ECFA759" w14:textId="0AC5A50D" w:rsidR="008E48FF" w:rsidRPr="00CC34CC" w:rsidRDefault="007C522F" w:rsidP="000B105D">
            <w:pPr>
              <w:spacing w:before="60" w:after="60"/>
              <w:jc w:val="left"/>
              <w:rPr>
                <w:rFonts w:cs="Arial"/>
                <w:lang w:val="es-ES"/>
              </w:rPr>
            </w:pPr>
            <w:r w:rsidRPr="00CC34CC">
              <w:rPr>
                <w:rFonts w:cs="Arial"/>
                <w:lang w:val="es-ES"/>
              </w:rPr>
              <w:t xml:space="preserve">Miembro del personal designado </w:t>
            </w:r>
            <w:r w:rsidR="00CC34CC" w:rsidRPr="00CC34CC">
              <w:rPr>
                <w:rFonts w:cs="Arial"/>
                <w:color w:val="4F81BD" w:themeColor="accent1"/>
                <w:lang w:val="es-ES"/>
              </w:rPr>
              <w:t xml:space="preserve"> </w:t>
            </w:r>
          </w:p>
          <w:p w14:paraId="4F53BD59" w14:textId="77777777" w:rsidR="000B105D" w:rsidRPr="00CC34CC" w:rsidRDefault="000B105D" w:rsidP="000B105D">
            <w:pPr>
              <w:spacing w:before="120" w:after="60"/>
              <w:contextualSpacing/>
              <w:jc w:val="left"/>
              <w:rPr>
                <w:rFonts w:cs="Arial"/>
                <w:lang w:val="es-ES"/>
              </w:rPr>
            </w:pPr>
          </w:p>
          <w:p w14:paraId="5A93EC20" w14:textId="77777777" w:rsidR="000B105D" w:rsidRPr="00CC34CC" w:rsidRDefault="000B105D" w:rsidP="000B105D">
            <w:pPr>
              <w:spacing w:before="120" w:after="60"/>
              <w:contextualSpacing/>
              <w:jc w:val="left"/>
              <w:rPr>
                <w:rFonts w:cs="Arial"/>
                <w:lang w:val="es-ES"/>
              </w:rPr>
            </w:pPr>
          </w:p>
          <w:p w14:paraId="77D67DEF" w14:textId="77777777" w:rsidR="000B105D" w:rsidRPr="00CC34CC" w:rsidRDefault="000B105D" w:rsidP="000B105D">
            <w:pPr>
              <w:spacing w:before="120" w:after="60"/>
              <w:contextualSpacing/>
              <w:jc w:val="left"/>
              <w:rPr>
                <w:rFonts w:cs="Arial"/>
                <w:lang w:val="es-ES"/>
              </w:rPr>
            </w:pPr>
          </w:p>
          <w:p w14:paraId="7AAA32C1" w14:textId="77777777" w:rsidR="000B105D" w:rsidRPr="00CC34CC" w:rsidRDefault="000B105D" w:rsidP="000B105D">
            <w:pPr>
              <w:spacing w:before="120" w:after="60"/>
              <w:contextualSpacing/>
              <w:jc w:val="left"/>
              <w:rPr>
                <w:rFonts w:cs="Arial"/>
                <w:lang w:val="es-ES"/>
              </w:rPr>
            </w:pPr>
          </w:p>
        </w:tc>
        <w:tc>
          <w:tcPr>
            <w:tcW w:w="0" w:type="pct"/>
            <w:tcBorders>
              <w:bottom w:val="single" w:sz="4" w:space="0" w:color="auto"/>
            </w:tcBorders>
            <w:shd w:val="clear" w:color="auto" w:fill="F3F3F3"/>
          </w:tcPr>
          <w:p w14:paraId="6E6A1CE8" w14:textId="5818FD38" w:rsidR="008E48FF" w:rsidRPr="00CC34CC" w:rsidRDefault="007C522F" w:rsidP="00DC3A2E">
            <w:pPr>
              <w:pStyle w:val="ListParagraph"/>
              <w:numPr>
                <w:ilvl w:val="0"/>
                <w:numId w:val="12"/>
              </w:numPr>
              <w:spacing w:before="60" w:after="60" w:line="276" w:lineRule="auto"/>
              <w:ind w:left="317" w:hanging="283"/>
              <w:jc w:val="left"/>
              <w:rPr>
                <w:rFonts w:cs="Arial"/>
                <w:szCs w:val="20"/>
                <w:lang w:val="es-ES"/>
              </w:rPr>
            </w:pPr>
            <w:r w:rsidRPr="00CC34CC">
              <w:rPr>
                <w:rFonts w:cs="Arial"/>
                <w:szCs w:val="20"/>
                <w:lang w:val="es-ES"/>
              </w:rPr>
              <w:t xml:space="preserve">Convocar al </w:t>
            </w:r>
            <w:r w:rsidR="00C5794F" w:rsidRPr="00CC34CC">
              <w:rPr>
                <w:rFonts w:cs="Arial"/>
                <w:szCs w:val="20"/>
                <w:lang w:val="es-ES"/>
              </w:rPr>
              <w:t>GTT-</w:t>
            </w:r>
            <w:r w:rsidRPr="00CC34CC">
              <w:rPr>
                <w:rFonts w:cs="Arial"/>
                <w:szCs w:val="20"/>
                <w:lang w:val="es-ES"/>
              </w:rPr>
              <w:t xml:space="preserve">PTE y </w:t>
            </w:r>
            <w:r w:rsidR="004F7683" w:rsidRPr="00CC34CC">
              <w:rPr>
                <w:rFonts w:cs="Arial"/>
                <w:szCs w:val="20"/>
                <w:lang w:val="es-ES"/>
              </w:rPr>
              <w:t>responsabilizarse de</w:t>
            </w:r>
            <w:r w:rsidRPr="00CC34CC">
              <w:rPr>
                <w:rFonts w:cs="Arial"/>
                <w:szCs w:val="20"/>
                <w:lang w:val="es-ES"/>
              </w:rPr>
              <w:t xml:space="preserve"> su coordinación </w:t>
            </w:r>
            <w:r w:rsidR="00CC34CC" w:rsidRPr="00CC34CC">
              <w:rPr>
                <w:rFonts w:cs="Arial"/>
                <w:szCs w:val="20"/>
                <w:lang w:val="es-ES"/>
              </w:rPr>
              <w:t xml:space="preserve"> </w:t>
            </w:r>
          </w:p>
          <w:p w14:paraId="77E3E7CA" w14:textId="3D99A0C2" w:rsidR="008E48FF" w:rsidRPr="00CC34CC" w:rsidRDefault="007C522F" w:rsidP="007C522F">
            <w:pPr>
              <w:pStyle w:val="ListParagraph"/>
              <w:numPr>
                <w:ilvl w:val="0"/>
                <w:numId w:val="12"/>
              </w:numPr>
              <w:spacing w:before="60" w:after="60" w:line="276" w:lineRule="auto"/>
              <w:ind w:left="317" w:hanging="283"/>
              <w:jc w:val="left"/>
              <w:rPr>
                <w:rFonts w:cs="Arial"/>
                <w:szCs w:val="20"/>
                <w:lang w:val="es-ES"/>
              </w:rPr>
            </w:pPr>
            <w:r w:rsidRPr="00CC34CC">
              <w:rPr>
                <w:rFonts w:cs="Arial"/>
                <w:szCs w:val="20"/>
                <w:lang w:val="es-ES"/>
              </w:rPr>
              <w:t xml:space="preserve">Proporcionar informes periódicos de supervisión a la Dirección y a los donantes sobre la situación de los PTE  </w:t>
            </w:r>
            <w:r w:rsidR="00CC34CC" w:rsidRPr="00CC34CC">
              <w:rPr>
                <w:rFonts w:cs="Arial"/>
                <w:szCs w:val="20"/>
                <w:lang w:val="es-ES"/>
              </w:rPr>
              <w:t xml:space="preserve"> </w:t>
            </w:r>
          </w:p>
          <w:p w14:paraId="7D4025CB" w14:textId="5B1A5119" w:rsidR="008E48FF" w:rsidRPr="00CC34CC" w:rsidRDefault="007C522F" w:rsidP="00CC34CC">
            <w:pPr>
              <w:pStyle w:val="ListParagraph"/>
              <w:numPr>
                <w:ilvl w:val="0"/>
                <w:numId w:val="12"/>
              </w:numPr>
              <w:spacing w:before="60" w:after="60" w:line="276" w:lineRule="auto"/>
              <w:ind w:left="317" w:hanging="283"/>
              <w:jc w:val="left"/>
              <w:rPr>
                <w:rFonts w:cs="Arial"/>
                <w:szCs w:val="20"/>
                <w:lang w:val="es-ES"/>
              </w:rPr>
            </w:pPr>
            <w:r w:rsidRPr="00CC34CC">
              <w:rPr>
                <w:rFonts w:cs="Arial"/>
                <w:szCs w:val="20"/>
                <w:lang w:val="es-ES"/>
              </w:rPr>
              <w:t xml:space="preserve">Facilitar la innovación y el aprendizaje de todos los departamentos que participan en PTE  </w:t>
            </w:r>
            <w:r w:rsidR="00CC34CC" w:rsidRPr="00CC34CC">
              <w:rPr>
                <w:rFonts w:cs="Arial"/>
                <w:szCs w:val="20"/>
                <w:lang w:val="es-ES"/>
              </w:rPr>
              <w:t xml:space="preserve"> </w:t>
            </w:r>
          </w:p>
        </w:tc>
      </w:tr>
      <w:tr w:rsidR="00871FCB" w:rsidRPr="00CC34CC" w14:paraId="61D29CEA" w14:textId="77777777" w:rsidTr="002C00BE">
        <w:tc>
          <w:tcPr>
            <w:tcW w:w="991" w:type="pct"/>
            <w:tcBorders>
              <w:bottom w:val="single" w:sz="4" w:space="0" w:color="auto"/>
            </w:tcBorders>
            <w:shd w:val="clear" w:color="auto" w:fill="A6A6A6"/>
          </w:tcPr>
          <w:p w14:paraId="376AC057" w14:textId="77777777" w:rsidR="008E48FF" w:rsidRPr="00CC34CC" w:rsidRDefault="00871FCB" w:rsidP="00871FCB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lang w:val="es-ES"/>
              </w:rPr>
            </w:pPr>
            <w:r w:rsidRPr="00CC34CC">
              <w:rPr>
                <w:rFonts w:cs="Arial"/>
                <w:b/>
                <w:lang w:val="es-ES"/>
              </w:rPr>
              <w:t>Coordinación</w:t>
            </w:r>
            <w:r w:rsidR="007C522F" w:rsidRPr="00CC34CC">
              <w:rPr>
                <w:rFonts w:cs="Arial"/>
                <w:b/>
                <w:lang w:val="es-ES"/>
              </w:rPr>
              <w:t xml:space="preserve"> externa con el Movimiento </w:t>
            </w:r>
          </w:p>
        </w:tc>
        <w:tc>
          <w:tcPr>
            <w:tcW w:w="1685" w:type="pct"/>
            <w:tcBorders>
              <w:bottom w:val="single" w:sz="4" w:space="0" w:color="auto"/>
            </w:tcBorders>
            <w:shd w:val="clear" w:color="auto" w:fill="E6E6E6"/>
          </w:tcPr>
          <w:p w14:paraId="15618B19" w14:textId="4B2CC12F" w:rsidR="008E48FF" w:rsidRPr="00CC34CC" w:rsidRDefault="00871FCB" w:rsidP="00CC34CC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lang w:val="es-ES"/>
              </w:rPr>
            </w:pPr>
            <w:r w:rsidRPr="00CC34CC">
              <w:rPr>
                <w:rFonts w:cs="Arial"/>
                <w:lang w:val="es-ES"/>
              </w:rPr>
              <w:t xml:space="preserve">Punto focal de PTE / Coordinador del Movimiento </w:t>
            </w:r>
            <w:r w:rsidR="00CC34CC" w:rsidRPr="00CC34CC">
              <w:rPr>
                <w:rFonts w:cs="Arial"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2325" w:type="pct"/>
            <w:tcBorders>
              <w:bottom w:val="single" w:sz="4" w:space="0" w:color="auto"/>
            </w:tcBorders>
            <w:shd w:val="clear" w:color="auto" w:fill="F3F3F3"/>
          </w:tcPr>
          <w:p w14:paraId="5A21E81E" w14:textId="72C5D7FD" w:rsidR="008E48FF" w:rsidRPr="00CC34CC" w:rsidRDefault="00871FCB" w:rsidP="00CC34CC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lang w:val="es-ES"/>
              </w:rPr>
            </w:pPr>
            <w:r w:rsidRPr="00CC34CC">
              <w:rPr>
                <w:rFonts w:cs="Arial"/>
                <w:lang w:val="es-ES"/>
              </w:rPr>
              <w:t xml:space="preserve">Asegurar que la respuesta de </w:t>
            </w:r>
            <w:r w:rsidR="00C5794F" w:rsidRPr="00CC34CC">
              <w:rPr>
                <w:rFonts w:cs="Arial"/>
                <w:lang w:val="es-ES"/>
              </w:rPr>
              <w:t xml:space="preserve">PTE </w:t>
            </w:r>
            <w:r w:rsidRPr="00CC34CC">
              <w:rPr>
                <w:rFonts w:cs="Arial"/>
                <w:lang w:val="es-ES"/>
              </w:rPr>
              <w:t xml:space="preserve">de los actores del Movimiento es coherente y no causa perjuicios  </w:t>
            </w:r>
            <w:r w:rsidR="00CC34CC" w:rsidRPr="00CC34CC">
              <w:rPr>
                <w:rFonts w:cs="Arial"/>
                <w:color w:val="4F81BD" w:themeColor="accent1"/>
                <w:lang w:val="es-ES"/>
              </w:rPr>
              <w:t xml:space="preserve"> </w:t>
            </w:r>
          </w:p>
        </w:tc>
      </w:tr>
      <w:tr w:rsidR="00871FCB" w:rsidRPr="00CC34CC" w14:paraId="180AAC2F" w14:textId="77777777" w:rsidTr="002C00BE">
        <w:tc>
          <w:tcPr>
            <w:tcW w:w="991" w:type="pct"/>
            <w:shd w:val="clear" w:color="auto" w:fill="A6A6A6"/>
          </w:tcPr>
          <w:p w14:paraId="67DAAAED" w14:textId="77777777" w:rsidR="008E48FF" w:rsidRPr="00CC34CC" w:rsidRDefault="00871FCB" w:rsidP="00871FCB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lang w:val="es-ES"/>
              </w:rPr>
            </w:pPr>
            <w:r w:rsidRPr="00CC34CC">
              <w:rPr>
                <w:rFonts w:cs="Arial"/>
                <w:b/>
                <w:lang w:val="es-ES"/>
              </w:rPr>
              <w:t xml:space="preserve">Coordinación externa con otros actores  </w:t>
            </w:r>
          </w:p>
        </w:tc>
        <w:tc>
          <w:tcPr>
            <w:tcW w:w="1685" w:type="pct"/>
            <w:shd w:val="clear" w:color="auto" w:fill="E6E6E6"/>
          </w:tcPr>
          <w:p w14:paraId="4ADC31D8" w14:textId="6489AA94" w:rsidR="008E48FF" w:rsidRPr="00CC34CC" w:rsidRDefault="00871FCB" w:rsidP="00CC34CC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lang w:val="es-ES"/>
              </w:rPr>
            </w:pPr>
            <w:r w:rsidRPr="00CC34CC">
              <w:rPr>
                <w:rFonts w:cs="Arial"/>
                <w:lang w:val="es-ES"/>
              </w:rPr>
              <w:t xml:space="preserve">Punto focal de PTE / Delegado </w:t>
            </w:r>
            <w:proofErr w:type="spellStart"/>
            <w:proofErr w:type="gramStart"/>
            <w:r w:rsidR="00914FD9" w:rsidRPr="00CC34CC">
              <w:rPr>
                <w:rFonts w:cs="Arial"/>
                <w:lang w:val="es-ES"/>
              </w:rPr>
              <w:t>EcoSec</w:t>
            </w:r>
            <w:proofErr w:type="spellEnd"/>
            <w:r w:rsidR="00914FD9" w:rsidRPr="00CC34CC">
              <w:rPr>
                <w:rFonts w:cs="Arial"/>
                <w:lang w:val="es-ES"/>
              </w:rPr>
              <w:t xml:space="preserve"> </w:t>
            </w:r>
            <w:r w:rsidRPr="00CC34CC">
              <w:rPr>
                <w:rFonts w:cs="Arial"/>
                <w:lang w:val="es-ES"/>
              </w:rPr>
              <w:t xml:space="preserve"> /</w:t>
            </w:r>
            <w:proofErr w:type="gramEnd"/>
            <w:r w:rsidRPr="00CC34CC">
              <w:rPr>
                <w:rFonts w:cs="Arial"/>
                <w:lang w:val="es-ES"/>
              </w:rPr>
              <w:t xml:space="preserve"> Coordinador del Movimiento </w:t>
            </w:r>
            <w:r w:rsidR="00CC34CC" w:rsidRPr="00CC34CC">
              <w:rPr>
                <w:rFonts w:cs="Arial"/>
                <w:color w:val="4F81BD" w:themeColor="accent1"/>
                <w:lang w:val="es-ES"/>
              </w:rPr>
              <w:t xml:space="preserve">  </w:t>
            </w:r>
          </w:p>
        </w:tc>
        <w:tc>
          <w:tcPr>
            <w:tcW w:w="2325" w:type="pct"/>
            <w:shd w:val="clear" w:color="auto" w:fill="F3F3F3"/>
          </w:tcPr>
          <w:p w14:paraId="7C710CF2" w14:textId="17935687" w:rsidR="008E48FF" w:rsidRPr="00871FCB" w:rsidRDefault="00871FCB" w:rsidP="00CC34CC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lang w:val="es-ES"/>
              </w:rPr>
            </w:pPr>
            <w:r w:rsidRPr="00CC34CC">
              <w:rPr>
                <w:rFonts w:cs="Arial"/>
                <w:lang w:val="es-ES"/>
              </w:rPr>
              <w:t xml:space="preserve">Asegurar que </w:t>
            </w:r>
            <w:r w:rsidR="00BA545F" w:rsidRPr="00CC34CC">
              <w:rPr>
                <w:rFonts w:cs="Arial"/>
                <w:lang w:val="es-ES"/>
              </w:rPr>
              <w:t xml:space="preserve">se comunica </w:t>
            </w:r>
            <w:r w:rsidRPr="00CC34CC">
              <w:rPr>
                <w:rFonts w:cs="Arial"/>
                <w:lang w:val="es-ES"/>
              </w:rPr>
              <w:t>la respuesta de PTE de los actores del Movimiento</w:t>
            </w:r>
            <w:r>
              <w:rPr>
                <w:rFonts w:cs="Arial"/>
                <w:lang w:val="es-ES"/>
              </w:rPr>
              <w:t xml:space="preserve"> </w:t>
            </w:r>
            <w:r w:rsidR="00CC34CC">
              <w:rPr>
                <w:rFonts w:cs="Arial"/>
                <w:color w:val="4F81BD" w:themeColor="accent1"/>
                <w:lang w:val="es-ES"/>
              </w:rPr>
              <w:t xml:space="preserve"> </w:t>
            </w:r>
            <w:r w:rsidR="00ED4087" w:rsidRPr="00871FCB">
              <w:rPr>
                <w:rFonts w:cs="Arial"/>
                <w:color w:val="4F81BD" w:themeColor="accent1"/>
                <w:lang w:val="es-ES"/>
              </w:rPr>
              <w:t xml:space="preserve"> </w:t>
            </w:r>
          </w:p>
        </w:tc>
      </w:tr>
    </w:tbl>
    <w:p w14:paraId="6C7C3BBF" w14:textId="77777777" w:rsidR="00E16FC1" w:rsidRPr="00871FCB" w:rsidRDefault="00E16FC1" w:rsidP="003C78A7">
      <w:pPr>
        <w:rPr>
          <w:rFonts w:cs="Arial"/>
          <w:sz w:val="22"/>
          <w:szCs w:val="22"/>
          <w:u w:val="single"/>
          <w:lang w:val="es-ES"/>
        </w:rPr>
      </w:pPr>
      <w:bookmarkStart w:id="5" w:name="_Toc352182884"/>
    </w:p>
    <w:bookmarkEnd w:id="5"/>
    <w:p w14:paraId="750D02D3" w14:textId="4F15DF47" w:rsidR="00FF59AA" w:rsidRPr="00183891" w:rsidRDefault="00183891" w:rsidP="00145EA7">
      <w:pPr>
        <w:pStyle w:val="Heading2"/>
        <w:rPr>
          <w:color w:val="4F81BD" w:themeColor="accent1"/>
          <w:lang w:val="es-ES"/>
        </w:rPr>
      </w:pPr>
      <w:r w:rsidRPr="00CC34CC">
        <w:rPr>
          <w:lang w:val="es-ES"/>
        </w:rPr>
        <w:t xml:space="preserve">RESPONSABILIDADES DE COORDINACIÓN DEL GRUPO DE TRABAJO DE </w:t>
      </w:r>
      <w:r w:rsidR="009F1B90" w:rsidRPr="00CC34CC">
        <w:rPr>
          <w:lang w:val="es-ES"/>
        </w:rPr>
        <w:t>TRASFERENCIAS DE EFECTIVO</w:t>
      </w:r>
      <w:r w:rsidR="009F1B90">
        <w:rPr>
          <w:lang w:val="es-ES"/>
        </w:rPr>
        <w:t xml:space="preserve"> </w:t>
      </w:r>
      <w:r w:rsidR="00CC34CC">
        <w:rPr>
          <w:color w:val="4F81BD" w:themeColor="accent1"/>
          <w:lang w:val="es-ES"/>
        </w:rPr>
        <w:t xml:space="preserve"> </w:t>
      </w:r>
    </w:p>
    <w:p w14:paraId="0F323CFC" w14:textId="0ED98F37" w:rsidR="00FF59AA" w:rsidRPr="00CC34CC" w:rsidRDefault="00183891" w:rsidP="00145EA7">
      <w:pPr>
        <w:rPr>
          <w:color w:val="4F81BD" w:themeColor="accent1"/>
          <w:lang w:val="es-ES"/>
        </w:rPr>
      </w:pPr>
      <w:r w:rsidRPr="00CC34CC">
        <w:rPr>
          <w:lang w:val="es-ES"/>
        </w:rPr>
        <w:t xml:space="preserve">Un Grupo de </w:t>
      </w:r>
      <w:r w:rsidR="00BA3567" w:rsidRPr="00CC34CC">
        <w:rPr>
          <w:lang w:val="es-ES"/>
        </w:rPr>
        <w:t>t</w:t>
      </w:r>
      <w:r w:rsidRPr="00CC34CC">
        <w:rPr>
          <w:lang w:val="es-ES"/>
        </w:rPr>
        <w:t xml:space="preserve">rabajo de </w:t>
      </w:r>
      <w:r w:rsidR="009F1B90" w:rsidRPr="00CC34CC">
        <w:rPr>
          <w:lang w:val="es-ES"/>
        </w:rPr>
        <w:t xml:space="preserve">transferencias de efectivo </w:t>
      </w:r>
      <w:r w:rsidRPr="00CC34CC">
        <w:rPr>
          <w:lang w:val="es-ES"/>
        </w:rPr>
        <w:t>del Movimiento tiene la responsabilidad de la coordinación de PTE en el Movimiento para una respuesta específica. Puede estar compuest</w:t>
      </w:r>
      <w:r w:rsidR="00F34DA6" w:rsidRPr="00CC34CC">
        <w:rPr>
          <w:lang w:val="es-ES"/>
        </w:rPr>
        <w:t>o</w:t>
      </w:r>
      <w:r w:rsidRPr="00CC34CC">
        <w:rPr>
          <w:lang w:val="es-ES"/>
        </w:rPr>
        <w:t xml:space="preserve"> por el personal de la Sociedad Nacional involucrado en la coordinación interna del PTE, o hacerse extensiva a otros actores del Movimiento implicados en PTE en la misma respuesta.</w:t>
      </w:r>
      <w:r w:rsidRPr="00183891">
        <w:rPr>
          <w:lang w:val="es-ES"/>
        </w:rPr>
        <w:t xml:space="preserve"> </w:t>
      </w:r>
      <w:r w:rsidR="00CC34CC" w:rsidRPr="00CC34CC">
        <w:rPr>
          <w:color w:val="4F81BD" w:themeColor="accent1"/>
          <w:lang w:val="es-ES"/>
        </w:rPr>
        <w:t xml:space="preserve"> </w:t>
      </w:r>
    </w:p>
    <w:p w14:paraId="155A4B6B" w14:textId="0759DD5E" w:rsidR="00FF59AA" w:rsidRPr="00CC34CC" w:rsidRDefault="00BA3567" w:rsidP="000B105D">
      <w:pPr>
        <w:rPr>
          <w:color w:val="4F81BD" w:themeColor="accent1"/>
          <w:lang w:val="es-ES"/>
        </w:rPr>
      </w:pPr>
      <w:r w:rsidRPr="00BA3567">
        <w:rPr>
          <w:lang w:val="es-ES"/>
        </w:rPr>
        <w:t xml:space="preserve">Al </w:t>
      </w:r>
      <w:r w:rsidRPr="00CC34CC">
        <w:rPr>
          <w:lang w:val="es-ES"/>
        </w:rPr>
        <w:t xml:space="preserve">igual que todos los grupos de coordinación, puede haber un Grupo de trabajo </w:t>
      </w:r>
      <w:r w:rsidR="009F1B90" w:rsidRPr="00CC34CC">
        <w:rPr>
          <w:lang w:val="es-ES"/>
        </w:rPr>
        <w:t xml:space="preserve">de transferencias de efectivo </w:t>
      </w:r>
      <w:r w:rsidRPr="00CC34CC">
        <w:rPr>
          <w:lang w:val="es-ES"/>
        </w:rPr>
        <w:t>a nivel nacional y estructuras similares a nivel de terreno, cerca de donde se encuentra</w:t>
      </w:r>
      <w:r w:rsidR="003A1F40" w:rsidRPr="00CC34CC">
        <w:rPr>
          <w:lang w:val="es-ES"/>
        </w:rPr>
        <w:t>n</w:t>
      </w:r>
      <w:r w:rsidRPr="00CC34CC">
        <w:rPr>
          <w:lang w:val="es-ES"/>
        </w:rPr>
        <w:t xml:space="preserve"> las áreas de operaciones </w:t>
      </w:r>
      <w:r w:rsidR="003A1F40" w:rsidRPr="00CC34CC">
        <w:rPr>
          <w:lang w:val="es-ES"/>
        </w:rPr>
        <w:t xml:space="preserve">donde haya más de un actor del Movimiento actuando. </w:t>
      </w:r>
      <w:r w:rsidR="00BA545F" w:rsidRPr="00CC34CC">
        <w:rPr>
          <w:lang w:val="es-ES"/>
        </w:rPr>
        <w:t>Deberá decidirse caso por caso, q</w:t>
      </w:r>
      <w:r w:rsidR="003A1F40" w:rsidRPr="00CC34CC">
        <w:rPr>
          <w:lang w:val="es-ES"/>
        </w:rPr>
        <w:t>uién asistirá a estas reunione</w:t>
      </w:r>
      <w:r w:rsidR="00BA545F" w:rsidRPr="00CC34CC">
        <w:rPr>
          <w:lang w:val="es-ES"/>
        </w:rPr>
        <w:t>s</w:t>
      </w:r>
      <w:r w:rsidR="003A1F40" w:rsidRPr="00CC34CC">
        <w:rPr>
          <w:lang w:val="es-ES"/>
        </w:rPr>
        <w:t xml:space="preserve">, si bien se ha de identificar un Punto focal de PTE para cada actor del Movimiento, a fin de asegurar la consistencia.  </w:t>
      </w:r>
      <w:r w:rsidR="00CC34CC" w:rsidRPr="00CC34CC">
        <w:rPr>
          <w:color w:val="4F81BD" w:themeColor="accent1"/>
          <w:lang w:val="es-ES"/>
        </w:rPr>
        <w:t xml:space="preserve"> </w:t>
      </w:r>
    </w:p>
    <w:p w14:paraId="440C005E" w14:textId="0FA41CD4" w:rsidR="00FF59AA" w:rsidRPr="00C97862" w:rsidRDefault="00C97862" w:rsidP="00145EA7">
      <w:pPr>
        <w:rPr>
          <w:color w:val="4F81BD" w:themeColor="accent1"/>
          <w:lang w:val="es-ES"/>
        </w:rPr>
      </w:pPr>
      <w:r w:rsidRPr="00CC34CC">
        <w:rPr>
          <w:lang w:val="es-ES"/>
        </w:rPr>
        <w:t>La</w:t>
      </w:r>
      <w:r w:rsidR="003B5CA7">
        <w:rPr>
          <w:lang w:val="es-ES"/>
        </w:rPr>
        <w:t>s</w:t>
      </w:r>
      <w:r w:rsidRPr="00CC34CC">
        <w:rPr>
          <w:lang w:val="es-ES"/>
        </w:rPr>
        <w:t xml:space="preserve"> responsabilidades clave de coordinación del </w:t>
      </w:r>
      <w:r w:rsidR="0099037A" w:rsidRPr="00CC34CC">
        <w:rPr>
          <w:lang w:val="es-ES"/>
        </w:rPr>
        <w:t>Grupo de trabajo de transferencias de efectivo</w:t>
      </w:r>
      <w:r w:rsidRPr="00CC34CC">
        <w:rPr>
          <w:lang w:val="es-ES"/>
        </w:rPr>
        <w:t xml:space="preserve"> incluyen</w:t>
      </w:r>
      <w:r w:rsidRPr="00CC34CC">
        <w:rPr>
          <w:color w:val="4F81BD" w:themeColor="accent1"/>
          <w:lang w:val="es-ES"/>
        </w:rPr>
        <w:t>:</w:t>
      </w:r>
      <w:r w:rsidRPr="00C97862">
        <w:rPr>
          <w:color w:val="4F81BD" w:themeColor="accent1"/>
          <w:lang w:val="es-ES"/>
        </w:rPr>
        <w:t xml:space="preserve">  </w:t>
      </w:r>
      <w:r w:rsidR="00CC34CC">
        <w:rPr>
          <w:color w:val="4F81BD" w:themeColor="accent1"/>
          <w:lang w:val="es-ES"/>
        </w:rPr>
        <w:t xml:space="preserve"> </w:t>
      </w:r>
    </w:p>
    <w:p w14:paraId="1B76EE57" w14:textId="19B406FB" w:rsidR="00FF59AA" w:rsidRPr="00CC34CC" w:rsidRDefault="00C97862" w:rsidP="00C97862">
      <w:pPr>
        <w:pStyle w:val="Bullet2"/>
        <w:rPr>
          <w:lang w:val="es-ES"/>
        </w:rPr>
      </w:pPr>
      <w:r w:rsidRPr="00CB005D">
        <w:rPr>
          <w:lang w:val="es-ES"/>
        </w:rPr>
        <w:t>Establecer estándares y enfoques comunes</w:t>
      </w:r>
      <w:r w:rsidR="00CB005D" w:rsidRPr="00CB005D">
        <w:rPr>
          <w:lang w:val="es-ES"/>
        </w:rPr>
        <w:t>.</w:t>
      </w:r>
      <w:r w:rsidRPr="00CB005D">
        <w:rPr>
          <w:lang w:val="es-ES"/>
        </w:rPr>
        <w:t xml:space="preserve"> </w:t>
      </w:r>
      <w:r w:rsidR="00CC34CC" w:rsidRPr="00CC34CC">
        <w:rPr>
          <w:color w:val="4F81BD" w:themeColor="accent1"/>
          <w:lang w:val="es-ES"/>
        </w:rPr>
        <w:t xml:space="preserve"> </w:t>
      </w:r>
    </w:p>
    <w:p w14:paraId="3CA2516D" w14:textId="10F268A4" w:rsidR="00FF59AA" w:rsidRPr="00CC34CC" w:rsidRDefault="00C97862" w:rsidP="00C97862">
      <w:pPr>
        <w:pStyle w:val="Bullet2"/>
        <w:rPr>
          <w:color w:val="4F81BD" w:themeColor="accent1"/>
          <w:lang w:val="es-ES"/>
        </w:rPr>
      </w:pPr>
      <w:r w:rsidRPr="00C97862">
        <w:rPr>
          <w:lang w:val="es-ES"/>
        </w:rPr>
        <w:t xml:space="preserve">Asegurar la </w:t>
      </w:r>
      <w:r w:rsidRPr="00CC34CC">
        <w:rPr>
          <w:lang w:val="es-ES"/>
        </w:rPr>
        <w:t xml:space="preserve">coordinación entre agencias de PTE, incluyendo el mapeo geográfico de las </w:t>
      </w:r>
      <w:r w:rsidR="004F7683" w:rsidRPr="00CC34CC">
        <w:rPr>
          <w:lang w:val="es-ES"/>
        </w:rPr>
        <w:t>actividades, la</w:t>
      </w:r>
      <w:r w:rsidR="00BA545F" w:rsidRPr="00CC34CC">
        <w:rPr>
          <w:lang w:val="es-ES"/>
        </w:rPr>
        <w:t xml:space="preserve"> duración de la asistencia</w:t>
      </w:r>
      <w:r w:rsidRPr="00CC34CC">
        <w:rPr>
          <w:lang w:val="es-ES"/>
        </w:rPr>
        <w:t xml:space="preserve"> y el valor de las transferencias</w:t>
      </w:r>
      <w:r w:rsidR="00CB005D" w:rsidRPr="00CC34CC">
        <w:rPr>
          <w:lang w:val="es-ES"/>
        </w:rPr>
        <w:t>.</w:t>
      </w:r>
      <w:r w:rsidRPr="00CC34CC">
        <w:rPr>
          <w:lang w:val="es-ES"/>
        </w:rPr>
        <w:t xml:space="preserve"> </w:t>
      </w:r>
      <w:r w:rsidR="00CC34CC" w:rsidRPr="00CC34CC">
        <w:rPr>
          <w:color w:val="4F81BD" w:themeColor="accent1"/>
          <w:lang w:val="es-ES"/>
        </w:rPr>
        <w:t xml:space="preserve"> </w:t>
      </w:r>
    </w:p>
    <w:p w14:paraId="3A1AA9ED" w14:textId="2B623FE6" w:rsidR="00FF59AA" w:rsidRPr="00CC34CC" w:rsidRDefault="00CB005D" w:rsidP="00CB005D">
      <w:pPr>
        <w:pStyle w:val="Bullet2"/>
        <w:rPr>
          <w:lang w:val="es-ES"/>
        </w:rPr>
      </w:pPr>
      <w:r w:rsidRPr="00CC34CC">
        <w:rPr>
          <w:lang w:val="es-ES"/>
        </w:rPr>
        <w:t xml:space="preserve">Hacer el seguimiento de la información sobre las intervenciones de transferencia de efectivo por agencia, área geográfica, tipo de PTE y mecanismos de entrega. </w:t>
      </w:r>
      <w:r w:rsidR="00CC34CC" w:rsidRPr="00CC34CC">
        <w:rPr>
          <w:color w:val="4F81BD" w:themeColor="accent1"/>
          <w:lang w:val="es-ES"/>
        </w:rPr>
        <w:t xml:space="preserve"> </w:t>
      </w:r>
    </w:p>
    <w:p w14:paraId="2BF5AF15" w14:textId="05D1A289" w:rsidR="00FF59AA" w:rsidRPr="00CC34CC" w:rsidRDefault="00A218D1" w:rsidP="00A218D1">
      <w:pPr>
        <w:pStyle w:val="Bullet2"/>
        <w:rPr>
          <w:color w:val="4F81BD" w:themeColor="accent1"/>
          <w:lang w:val="es-ES"/>
        </w:rPr>
      </w:pPr>
      <w:r w:rsidRPr="00CC34CC">
        <w:rPr>
          <w:lang w:val="es-ES"/>
        </w:rPr>
        <w:t xml:space="preserve">Desarrollar posiciones compartidas sobre PTE a través de la incidencia, el cabildeo y la influencia sobre los actores clave, y la formulación de políticas. </w:t>
      </w:r>
      <w:r w:rsidR="00CC34CC" w:rsidRPr="00CC34CC">
        <w:rPr>
          <w:color w:val="4F81BD" w:themeColor="accent1"/>
          <w:lang w:val="es-ES"/>
        </w:rPr>
        <w:t xml:space="preserve"> </w:t>
      </w:r>
    </w:p>
    <w:p w14:paraId="0B4A8522" w14:textId="18876A49" w:rsidR="00FF59AA" w:rsidRPr="00CC34CC" w:rsidRDefault="00A218D1" w:rsidP="00A218D1">
      <w:pPr>
        <w:pStyle w:val="Bullet2"/>
        <w:rPr>
          <w:color w:val="4F81BD" w:themeColor="accent1"/>
          <w:lang w:val="es-ES"/>
        </w:rPr>
      </w:pPr>
      <w:r w:rsidRPr="00CC34CC">
        <w:rPr>
          <w:lang w:val="es-ES"/>
        </w:rPr>
        <w:t xml:space="preserve">Creación de una biblioteca de recursos de transferencias de efectivo para la respuesta. </w:t>
      </w:r>
      <w:r w:rsidR="00CC34CC" w:rsidRPr="00CC34CC">
        <w:rPr>
          <w:color w:val="4F81BD" w:themeColor="accent1"/>
          <w:lang w:val="es-ES"/>
        </w:rPr>
        <w:t xml:space="preserve"> </w:t>
      </w:r>
    </w:p>
    <w:p w14:paraId="44E22E49" w14:textId="2081DD23" w:rsidR="00FF59AA" w:rsidRPr="00CC34CC" w:rsidRDefault="00A218D1" w:rsidP="00A218D1">
      <w:pPr>
        <w:pStyle w:val="Bullet2"/>
        <w:rPr>
          <w:color w:val="4F81BD" w:themeColor="accent1"/>
          <w:lang w:val="es-ES"/>
        </w:rPr>
      </w:pPr>
      <w:r w:rsidRPr="00CC34CC">
        <w:rPr>
          <w:lang w:val="es-ES"/>
        </w:rPr>
        <w:t xml:space="preserve">Hacer recomendaciones para la mejora de las herramientas de programación y las directrices, así como </w:t>
      </w:r>
      <w:r w:rsidR="00EF7C47" w:rsidRPr="00CC34CC">
        <w:rPr>
          <w:lang w:val="es-ES"/>
        </w:rPr>
        <w:t xml:space="preserve">para más investigación </w:t>
      </w:r>
      <w:r w:rsidRPr="00CC34CC">
        <w:rPr>
          <w:lang w:val="es-ES"/>
        </w:rPr>
        <w:t xml:space="preserve">(por ejemplo, herramientas conjuntas de monitoreo y evaluación, </w:t>
      </w:r>
      <w:r w:rsidR="0092197B" w:rsidRPr="00CC34CC">
        <w:rPr>
          <w:lang w:val="es-ES"/>
        </w:rPr>
        <w:t xml:space="preserve">mecanismos comunes de </w:t>
      </w:r>
      <w:r w:rsidRPr="00CC34CC">
        <w:rPr>
          <w:lang w:val="es-ES"/>
        </w:rPr>
        <w:t xml:space="preserve">retroalimentación </w:t>
      </w:r>
      <w:r w:rsidR="0092197B" w:rsidRPr="00CC34CC">
        <w:rPr>
          <w:lang w:val="es-ES"/>
        </w:rPr>
        <w:t xml:space="preserve">y </w:t>
      </w:r>
      <w:r w:rsidRPr="00CC34CC">
        <w:rPr>
          <w:lang w:val="es-ES"/>
        </w:rPr>
        <w:t>respuesta, desarrollo de materiales de ren</w:t>
      </w:r>
      <w:r w:rsidR="00EF7C47" w:rsidRPr="00CC34CC">
        <w:rPr>
          <w:lang w:val="es-ES"/>
        </w:rPr>
        <w:t>dición de cuentas, estandarización</w:t>
      </w:r>
      <w:r w:rsidRPr="00CC34CC">
        <w:rPr>
          <w:lang w:val="es-ES"/>
        </w:rPr>
        <w:t xml:space="preserve"> de las tasas</w:t>
      </w:r>
      <w:r w:rsidR="00EF7C47" w:rsidRPr="00CC34CC">
        <w:rPr>
          <w:lang w:val="es-ES"/>
        </w:rPr>
        <w:t xml:space="preserve"> </w:t>
      </w:r>
      <w:r w:rsidRPr="00CC34CC">
        <w:rPr>
          <w:lang w:val="es-ES"/>
        </w:rPr>
        <w:t xml:space="preserve">de pago). </w:t>
      </w:r>
      <w:r w:rsidR="00CC34CC" w:rsidRPr="00CC34CC">
        <w:rPr>
          <w:lang w:val="es-ES"/>
        </w:rPr>
        <w:t xml:space="preserve"> </w:t>
      </w:r>
    </w:p>
    <w:p w14:paraId="3416848E" w14:textId="678B7B88" w:rsidR="00FF59AA" w:rsidRPr="00CC34CC" w:rsidRDefault="0092197B" w:rsidP="0092197B">
      <w:pPr>
        <w:pStyle w:val="Bullet2"/>
        <w:rPr>
          <w:lang w:val="es-ES"/>
        </w:rPr>
      </w:pPr>
      <w:r w:rsidRPr="0092197B">
        <w:rPr>
          <w:lang w:val="es-ES"/>
        </w:rPr>
        <w:t xml:space="preserve">Llevar a cabo visitas de seguimiento conjuntas. </w:t>
      </w:r>
      <w:r w:rsidR="00CC34CC" w:rsidRPr="00CC34CC">
        <w:rPr>
          <w:color w:val="4F81BD" w:themeColor="accent1"/>
          <w:lang w:val="es-ES"/>
        </w:rPr>
        <w:t xml:space="preserve"> </w:t>
      </w:r>
    </w:p>
    <w:p w14:paraId="5EE813DA" w14:textId="71278A0E" w:rsidR="00FF59AA" w:rsidRPr="0092197B" w:rsidRDefault="0092197B" w:rsidP="0092197B">
      <w:pPr>
        <w:pStyle w:val="Bullet2"/>
        <w:rPr>
          <w:color w:val="4F81BD" w:themeColor="accent1"/>
          <w:lang w:val="es-ES"/>
        </w:rPr>
      </w:pPr>
      <w:r w:rsidRPr="0092197B">
        <w:rPr>
          <w:lang w:val="es-ES"/>
        </w:rPr>
        <w:t xml:space="preserve">Involucrar al sector privado, </w:t>
      </w:r>
      <w:r>
        <w:rPr>
          <w:lang w:val="es-ES"/>
        </w:rPr>
        <w:t xml:space="preserve">el académico </w:t>
      </w:r>
      <w:r w:rsidRPr="0092197B">
        <w:rPr>
          <w:lang w:val="es-ES"/>
        </w:rPr>
        <w:t>y las instituciones financieras</w:t>
      </w:r>
      <w:r>
        <w:rPr>
          <w:lang w:val="es-ES"/>
        </w:rPr>
        <w:t xml:space="preserve">. </w:t>
      </w:r>
      <w:r w:rsidR="00CC34CC">
        <w:rPr>
          <w:color w:val="4F81BD" w:themeColor="accent1"/>
          <w:lang w:val="es-ES"/>
        </w:rPr>
        <w:t xml:space="preserve"> </w:t>
      </w:r>
    </w:p>
    <w:p w14:paraId="084E6AFD" w14:textId="2854C461" w:rsidR="00FF59AA" w:rsidRPr="00CC34CC" w:rsidRDefault="0092197B" w:rsidP="0092197B">
      <w:pPr>
        <w:pStyle w:val="Bullet2"/>
        <w:rPr>
          <w:lang w:val="es-ES"/>
        </w:rPr>
      </w:pPr>
      <w:r w:rsidRPr="0092197B">
        <w:rPr>
          <w:lang w:val="es-ES"/>
        </w:rPr>
        <w:t xml:space="preserve">Establecer </w:t>
      </w:r>
      <w:r w:rsidRPr="00CC34CC">
        <w:rPr>
          <w:lang w:val="es-ES"/>
        </w:rPr>
        <w:t xml:space="preserve">vínculos con el EMMA y otras evaluaciones de mercado. </w:t>
      </w:r>
      <w:r w:rsidR="00CC34CC" w:rsidRPr="00CC34CC">
        <w:rPr>
          <w:color w:val="4F81BD" w:themeColor="accent1"/>
          <w:lang w:val="es-ES"/>
        </w:rPr>
        <w:t xml:space="preserve"> </w:t>
      </w:r>
    </w:p>
    <w:p w14:paraId="436B28C1" w14:textId="7C2837C7" w:rsidR="00FF59AA" w:rsidRPr="00CC34CC" w:rsidRDefault="00F34DA6" w:rsidP="0092197B">
      <w:pPr>
        <w:pStyle w:val="Bullet2"/>
        <w:rPr>
          <w:color w:val="4F81BD" w:themeColor="accent1"/>
          <w:lang w:val="es-ES"/>
        </w:rPr>
      </w:pPr>
      <w:r w:rsidRPr="00CC34CC">
        <w:rPr>
          <w:lang w:val="es-ES"/>
        </w:rPr>
        <w:t xml:space="preserve">Identificar mecanismos apropiados </w:t>
      </w:r>
      <w:r w:rsidR="0092197B" w:rsidRPr="00CC34CC">
        <w:rPr>
          <w:lang w:val="es-ES"/>
        </w:rPr>
        <w:t xml:space="preserve">para asegurar que </w:t>
      </w:r>
      <w:r w:rsidR="005B106C" w:rsidRPr="00CC34CC">
        <w:rPr>
          <w:lang w:val="es-ES"/>
        </w:rPr>
        <w:t xml:space="preserve">los </w:t>
      </w:r>
      <w:r w:rsidR="0092197B" w:rsidRPr="00CC34CC">
        <w:rPr>
          <w:lang w:val="es-ES"/>
        </w:rPr>
        <w:t xml:space="preserve">actores externos estén al tanto de las </w:t>
      </w:r>
      <w:r w:rsidR="00EF7C47" w:rsidRPr="00CC34CC">
        <w:rPr>
          <w:lang w:val="es-ES"/>
        </w:rPr>
        <w:t>intervenciones con</w:t>
      </w:r>
      <w:r w:rsidR="0092197B" w:rsidRPr="00CC34CC">
        <w:rPr>
          <w:lang w:val="es-ES"/>
        </w:rPr>
        <w:t xml:space="preserve"> PTE del Movimiento y, cuando proceda, seleccionar un representante para asistir a </w:t>
      </w:r>
      <w:r w:rsidR="005B106C" w:rsidRPr="00CC34CC">
        <w:rPr>
          <w:lang w:val="es-ES"/>
        </w:rPr>
        <w:t xml:space="preserve">las </w:t>
      </w:r>
      <w:r w:rsidR="0092197B" w:rsidRPr="00CC34CC">
        <w:rPr>
          <w:lang w:val="es-ES"/>
        </w:rPr>
        <w:t xml:space="preserve">reuniones de coordinación </w:t>
      </w:r>
      <w:r w:rsidR="005B106C" w:rsidRPr="00CC34CC">
        <w:rPr>
          <w:lang w:val="es-ES"/>
        </w:rPr>
        <w:t xml:space="preserve">del clúster </w:t>
      </w:r>
      <w:r w:rsidR="0092197B" w:rsidRPr="00CC34CC">
        <w:rPr>
          <w:lang w:val="es-ES"/>
        </w:rPr>
        <w:t xml:space="preserve">o </w:t>
      </w:r>
      <w:r w:rsidR="005B106C" w:rsidRPr="00CC34CC">
        <w:rPr>
          <w:lang w:val="es-ES"/>
        </w:rPr>
        <w:t xml:space="preserve">cualquier otro </w:t>
      </w:r>
      <w:r w:rsidR="0092197B" w:rsidRPr="00CC34CC">
        <w:rPr>
          <w:lang w:val="es-ES"/>
        </w:rPr>
        <w:t xml:space="preserve">foro de coordinación organizada por el gobierno, donde se </w:t>
      </w:r>
      <w:r w:rsidR="005B106C" w:rsidRPr="00CC34CC">
        <w:rPr>
          <w:lang w:val="es-ES"/>
        </w:rPr>
        <w:t xml:space="preserve">traten </w:t>
      </w:r>
      <w:r w:rsidR="0092197B" w:rsidRPr="00CC34CC">
        <w:rPr>
          <w:lang w:val="es-ES"/>
        </w:rPr>
        <w:t xml:space="preserve">temas relacionados con PTE. </w:t>
      </w:r>
      <w:r w:rsidR="00CC34CC" w:rsidRPr="00CC34CC">
        <w:rPr>
          <w:color w:val="4F81BD" w:themeColor="accent1"/>
          <w:lang w:val="es-ES"/>
        </w:rPr>
        <w:t xml:space="preserve"> </w:t>
      </w:r>
    </w:p>
    <w:p w14:paraId="01073A7A" w14:textId="1BD8C6E5" w:rsidR="00FF59AA" w:rsidRPr="00CC34CC" w:rsidRDefault="005B106C" w:rsidP="00145EA7">
      <w:pPr>
        <w:pStyle w:val="Bullet2"/>
        <w:rPr>
          <w:color w:val="4F81BD" w:themeColor="accent1"/>
          <w:lang w:val="es-ES"/>
        </w:rPr>
      </w:pPr>
      <w:r w:rsidRPr="00CC34CC">
        <w:rPr>
          <w:lang w:val="es-ES"/>
        </w:rPr>
        <w:t xml:space="preserve">Documentar las lecciones aprendidas de intervenciones de transferencia de efectivo. </w:t>
      </w:r>
      <w:r w:rsidR="00CC34CC" w:rsidRPr="00CC34CC">
        <w:rPr>
          <w:color w:val="4F81BD" w:themeColor="accent1"/>
          <w:lang w:val="es-ES"/>
        </w:rPr>
        <w:t xml:space="preserve"> </w:t>
      </w:r>
    </w:p>
    <w:p w14:paraId="0D5AFCF1" w14:textId="77777777" w:rsidR="00FF59AA" w:rsidRPr="00145EA7" w:rsidRDefault="005B106C" w:rsidP="00145EA7">
      <w:pPr>
        <w:spacing w:before="240"/>
        <w:jc w:val="right"/>
        <w:rPr>
          <w:sz w:val="18"/>
        </w:rPr>
      </w:pPr>
      <w:r>
        <w:rPr>
          <w:sz w:val="18"/>
        </w:rPr>
        <w:t>Fuente</w:t>
      </w:r>
      <w:r w:rsidR="00FF59AA" w:rsidRPr="00145EA7">
        <w:rPr>
          <w:sz w:val="18"/>
        </w:rPr>
        <w:t xml:space="preserve">: </w:t>
      </w:r>
      <w:proofErr w:type="spellStart"/>
      <w:r>
        <w:rPr>
          <w:sz w:val="18"/>
        </w:rPr>
        <w:t>Adaptado</w:t>
      </w:r>
      <w:proofErr w:type="spellEnd"/>
      <w:r>
        <w:rPr>
          <w:sz w:val="18"/>
        </w:rPr>
        <w:t xml:space="preserve"> de </w:t>
      </w:r>
      <w:r w:rsidR="00FF59AA" w:rsidRPr="00145EA7">
        <w:rPr>
          <w:sz w:val="18"/>
        </w:rPr>
        <w:t>Harvey P. (2011) “Cash transfer programming in emergencies”</w:t>
      </w:r>
    </w:p>
    <w:sectPr w:rsidR="00FF59AA" w:rsidRPr="00145EA7" w:rsidSect="000F07E8"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8E670" w14:textId="77777777" w:rsidR="005F663E" w:rsidRDefault="005F663E" w:rsidP="00D8077D">
      <w:r>
        <w:separator/>
      </w:r>
    </w:p>
  </w:endnote>
  <w:endnote w:type="continuationSeparator" w:id="0">
    <w:p w14:paraId="61551B3C" w14:textId="77777777" w:rsidR="005F663E" w:rsidRDefault="005F663E" w:rsidP="00D80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42F6A" w14:textId="77777777" w:rsidR="00810A5E" w:rsidRDefault="002A69B8" w:rsidP="00810A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10A5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7BEC1F" w14:textId="77777777" w:rsidR="00810A5E" w:rsidRDefault="00810A5E" w:rsidP="00810A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7C4A3" w14:textId="3730925A" w:rsidR="000F07E8" w:rsidRPr="00B45C74" w:rsidRDefault="000F07E8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4F7683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5CAF8817" w14:textId="77777777" w:rsidR="000F07E8" w:rsidRPr="00111A41" w:rsidRDefault="00111A41" w:rsidP="00ED1B2B">
    <w:pPr>
      <w:pStyle w:val="Footer"/>
      <w:rPr>
        <w:lang w:val="es-ES"/>
      </w:rPr>
    </w:pPr>
    <w:r w:rsidRPr="00691EB9">
      <w:rPr>
        <w:b/>
        <w:lang w:val="es-ES"/>
      </w:rPr>
      <w:t>Mó</w:t>
    </w:r>
    <w:r w:rsidR="000F07E8" w:rsidRPr="00691EB9">
      <w:rPr>
        <w:b/>
        <w:lang w:val="es-ES"/>
      </w:rPr>
      <w:t>dul</w:t>
    </w:r>
    <w:r w:rsidRPr="00691EB9">
      <w:rPr>
        <w:b/>
        <w:lang w:val="es-ES"/>
      </w:rPr>
      <w:t>o</w:t>
    </w:r>
    <w:r w:rsidR="000F07E8" w:rsidRPr="00691EB9">
      <w:rPr>
        <w:b/>
        <w:lang w:val="es-ES"/>
      </w:rPr>
      <w:t xml:space="preserve"> 4.</w:t>
    </w:r>
    <w:r w:rsidRPr="00691EB9">
      <w:rPr>
        <w:b/>
        <w:lang w:val="es-ES"/>
      </w:rPr>
      <w:t xml:space="preserve"> </w:t>
    </w:r>
    <w:r w:rsidRPr="00111A41">
      <w:rPr>
        <w:lang w:val="es-ES"/>
      </w:rPr>
      <w:t xml:space="preserve">Etapa 1. Sub-etapa </w:t>
    </w:r>
    <w:r w:rsidR="000F07E8" w:rsidRPr="00111A41">
      <w:rPr>
        <w:lang w:val="es-ES"/>
      </w:rPr>
      <w:t>2.</w:t>
    </w:r>
    <w:r w:rsidRPr="00111A41">
      <w:rPr>
        <w:lang w:val="es-ES"/>
      </w:rPr>
      <w:t xml:space="preserve"> Coordinaci</w:t>
    </w:r>
    <w:r>
      <w:rPr>
        <w:lang w:val="es-ES"/>
      </w:rPr>
      <w:t xml:space="preserve">ón interna de PTE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10397" w14:textId="77777777" w:rsidR="005F663E" w:rsidRDefault="005F663E" w:rsidP="00D8077D">
      <w:r>
        <w:separator/>
      </w:r>
    </w:p>
  </w:footnote>
  <w:footnote w:type="continuationSeparator" w:id="0">
    <w:p w14:paraId="48AF52A7" w14:textId="77777777" w:rsidR="005F663E" w:rsidRDefault="005F663E" w:rsidP="00D80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FD68A" w14:textId="77777777" w:rsidR="00111A41" w:rsidRPr="00730879" w:rsidRDefault="00111A41" w:rsidP="00111A41">
    <w:pPr>
      <w:pStyle w:val="Header"/>
      <w:rPr>
        <w:szCs w:val="16"/>
        <w:lang w:val="es-ES"/>
      </w:rPr>
    </w:pPr>
    <w:r w:rsidRPr="00730879">
      <w:rPr>
        <w:rStyle w:val="Pantone485"/>
        <w:lang w:val="es-ES"/>
      </w:rPr>
      <w:t xml:space="preserve">Movimiento Internacional de la Cruz Roja y de la </w:t>
    </w:r>
    <w:r>
      <w:rPr>
        <w:rStyle w:val="Pantone485"/>
        <w:lang w:val="es-ES"/>
      </w:rPr>
      <w:t xml:space="preserve">Media Luna Roja </w:t>
    </w:r>
    <w:r w:rsidRPr="00730879">
      <w:rPr>
        <w:rStyle w:val="PageNumber"/>
        <w:szCs w:val="16"/>
        <w:lang w:val="es-ES"/>
      </w:rPr>
      <w:t>I</w:t>
    </w:r>
    <w:r w:rsidRPr="00730879">
      <w:rPr>
        <w:rStyle w:val="PageNumber"/>
        <w:color w:val="FF0000"/>
        <w:szCs w:val="16"/>
        <w:lang w:val="es-ES"/>
      </w:rPr>
      <w:t xml:space="preserve"> </w:t>
    </w:r>
    <w:r>
      <w:rPr>
        <w:b/>
        <w:szCs w:val="16"/>
        <w:lang w:val="es-ES"/>
      </w:rPr>
      <w:t>Caja de herramientas para PTE en emergencias</w:t>
    </w:r>
  </w:p>
  <w:p w14:paraId="79F655B4" w14:textId="77777777" w:rsidR="000F07E8" w:rsidRPr="00111A41" w:rsidRDefault="000F07E8" w:rsidP="00111A41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9696C"/>
    <w:multiLevelType w:val="hybridMultilevel"/>
    <w:tmpl w:val="0D7CCA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81F47"/>
    <w:multiLevelType w:val="hybridMultilevel"/>
    <w:tmpl w:val="533479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3189D"/>
    <w:multiLevelType w:val="hybridMultilevel"/>
    <w:tmpl w:val="0BF65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45278"/>
    <w:multiLevelType w:val="hybridMultilevel"/>
    <w:tmpl w:val="192E3CB6"/>
    <w:lvl w:ilvl="0" w:tplc="611CFDB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C163A"/>
    <w:multiLevelType w:val="hybridMultilevel"/>
    <w:tmpl w:val="EDCC4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44714"/>
    <w:multiLevelType w:val="multilevel"/>
    <w:tmpl w:val="108AFDA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709" w:firstLine="731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304"/>
        </w:tabs>
        <w:ind w:left="230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448"/>
        </w:tabs>
        <w:ind w:left="244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592"/>
        </w:tabs>
        <w:ind w:left="259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736"/>
        </w:tabs>
        <w:ind w:left="273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3024"/>
        </w:tabs>
        <w:ind w:left="3024" w:hanging="1584"/>
      </w:pPr>
      <w:rPr>
        <w:rFonts w:cs="Times New Roman" w:hint="default"/>
      </w:rPr>
    </w:lvl>
  </w:abstractNum>
  <w:abstractNum w:abstractNumId="8" w15:restartNumberingAfterBreak="0">
    <w:nsid w:val="27517D64"/>
    <w:multiLevelType w:val="hybridMultilevel"/>
    <w:tmpl w:val="94286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1408F"/>
    <w:multiLevelType w:val="hybridMultilevel"/>
    <w:tmpl w:val="E3942A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6F4629"/>
    <w:multiLevelType w:val="hybridMultilevel"/>
    <w:tmpl w:val="B7188400"/>
    <w:lvl w:ilvl="0" w:tplc="611CFDB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E6B08"/>
    <w:multiLevelType w:val="hybridMultilevel"/>
    <w:tmpl w:val="179E5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1517B"/>
    <w:multiLevelType w:val="hybridMultilevel"/>
    <w:tmpl w:val="344E193E"/>
    <w:lvl w:ilvl="0" w:tplc="611CFDBE">
      <w:start w:val="1"/>
      <w:numFmt w:val="bullet"/>
      <w:lvlText w:val="•"/>
      <w:lvlJc w:val="left"/>
      <w:pPr>
        <w:ind w:left="643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 w15:restartNumberingAfterBreak="0">
    <w:nsid w:val="4AF435A5"/>
    <w:multiLevelType w:val="hybridMultilevel"/>
    <w:tmpl w:val="8CBA4E3A"/>
    <w:lvl w:ilvl="0" w:tplc="611CFDB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77777"/>
    <w:multiLevelType w:val="hybridMultilevel"/>
    <w:tmpl w:val="211A2F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646AB"/>
    <w:multiLevelType w:val="hybridMultilevel"/>
    <w:tmpl w:val="95EC206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9C66A7"/>
    <w:multiLevelType w:val="hybridMultilevel"/>
    <w:tmpl w:val="879E40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757498"/>
    <w:multiLevelType w:val="hybridMultilevel"/>
    <w:tmpl w:val="80BC1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5"/>
  </w:num>
  <w:num w:numId="4">
    <w:abstractNumId w:val="13"/>
  </w:num>
  <w:num w:numId="5">
    <w:abstractNumId w:val="5"/>
  </w:num>
  <w:num w:numId="6">
    <w:abstractNumId w:val="10"/>
  </w:num>
  <w:num w:numId="7">
    <w:abstractNumId w:val="12"/>
  </w:num>
  <w:num w:numId="8">
    <w:abstractNumId w:val="9"/>
  </w:num>
  <w:num w:numId="9">
    <w:abstractNumId w:val="8"/>
  </w:num>
  <w:num w:numId="10">
    <w:abstractNumId w:val="20"/>
  </w:num>
  <w:num w:numId="11">
    <w:abstractNumId w:val="2"/>
  </w:num>
  <w:num w:numId="12">
    <w:abstractNumId w:val="14"/>
  </w:num>
  <w:num w:numId="13">
    <w:abstractNumId w:val="1"/>
  </w:num>
  <w:num w:numId="14">
    <w:abstractNumId w:val="6"/>
  </w:num>
  <w:num w:numId="15">
    <w:abstractNumId w:val="11"/>
  </w:num>
  <w:num w:numId="16">
    <w:abstractNumId w:val="4"/>
  </w:num>
  <w:num w:numId="17">
    <w:abstractNumId w:val="0"/>
  </w:num>
  <w:num w:numId="18">
    <w:abstractNumId w:val="16"/>
  </w:num>
  <w:num w:numId="19">
    <w:abstractNumId w:val="3"/>
  </w:num>
  <w:num w:numId="20">
    <w:abstractNumId w:val="17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linkStyl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CD"/>
    <w:rsid w:val="0002486E"/>
    <w:rsid w:val="00077520"/>
    <w:rsid w:val="000B105D"/>
    <w:rsid w:val="000B75EA"/>
    <w:rsid w:val="000D0041"/>
    <w:rsid w:val="000D3FD0"/>
    <w:rsid w:val="000F07E8"/>
    <w:rsid w:val="00111A41"/>
    <w:rsid w:val="00141DE6"/>
    <w:rsid w:val="001439E1"/>
    <w:rsid w:val="00145EA7"/>
    <w:rsid w:val="00174E6C"/>
    <w:rsid w:val="001815CD"/>
    <w:rsid w:val="00183891"/>
    <w:rsid w:val="001A2A0F"/>
    <w:rsid w:val="00235966"/>
    <w:rsid w:val="00247F4C"/>
    <w:rsid w:val="00251BD2"/>
    <w:rsid w:val="002963EF"/>
    <w:rsid w:val="002A69B8"/>
    <w:rsid w:val="002C00BE"/>
    <w:rsid w:val="002F15A4"/>
    <w:rsid w:val="003028F0"/>
    <w:rsid w:val="00311A88"/>
    <w:rsid w:val="00345473"/>
    <w:rsid w:val="0036420E"/>
    <w:rsid w:val="003A09E6"/>
    <w:rsid w:val="003A1F40"/>
    <w:rsid w:val="003B5CA7"/>
    <w:rsid w:val="003C78A7"/>
    <w:rsid w:val="003D7BF0"/>
    <w:rsid w:val="00410AFF"/>
    <w:rsid w:val="00457AF7"/>
    <w:rsid w:val="004B1393"/>
    <w:rsid w:val="004F7683"/>
    <w:rsid w:val="005B106C"/>
    <w:rsid w:val="005C0E9E"/>
    <w:rsid w:val="005F40B0"/>
    <w:rsid w:val="005F663E"/>
    <w:rsid w:val="00623EB8"/>
    <w:rsid w:val="0064362E"/>
    <w:rsid w:val="00676752"/>
    <w:rsid w:val="00683FCB"/>
    <w:rsid w:val="00691EB9"/>
    <w:rsid w:val="007437D3"/>
    <w:rsid w:val="007C15D5"/>
    <w:rsid w:val="007C522F"/>
    <w:rsid w:val="007C6358"/>
    <w:rsid w:val="00810A5E"/>
    <w:rsid w:val="00871FCB"/>
    <w:rsid w:val="008C06C1"/>
    <w:rsid w:val="008E48FF"/>
    <w:rsid w:val="008F7B2D"/>
    <w:rsid w:val="00914FD9"/>
    <w:rsid w:val="0092197B"/>
    <w:rsid w:val="0093119F"/>
    <w:rsid w:val="00937E4B"/>
    <w:rsid w:val="00971A39"/>
    <w:rsid w:val="0098731C"/>
    <w:rsid w:val="0099037A"/>
    <w:rsid w:val="009F1B90"/>
    <w:rsid w:val="00A12D6A"/>
    <w:rsid w:val="00A218D1"/>
    <w:rsid w:val="00A22CED"/>
    <w:rsid w:val="00A903FB"/>
    <w:rsid w:val="00B66FA3"/>
    <w:rsid w:val="00B8265A"/>
    <w:rsid w:val="00B918A8"/>
    <w:rsid w:val="00BA3567"/>
    <w:rsid w:val="00BA545F"/>
    <w:rsid w:val="00BF5DE8"/>
    <w:rsid w:val="00C5794F"/>
    <w:rsid w:val="00C62B57"/>
    <w:rsid w:val="00C96248"/>
    <w:rsid w:val="00C97862"/>
    <w:rsid w:val="00CB005D"/>
    <w:rsid w:val="00CC34CC"/>
    <w:rsid w:val="00CF49EB"/>
    <w:rsid w:val="00D01263"/>
    <w:rsid w:val="00D30F95"/>
    <w:rsid w:val="00D63BE6"/>
    <w:rsid w:val="00D67B88"/>
    <w:rsid w:val="00D8077D"/>
    <w:rsid w:val="00D82814"/>
    <w:rsid w:val="00D913DE"/>
    <w:rsid w:val="00DB512B"/>
    <w:rsid w:val="00DC3A2E"/>
    <w:rsid w:val="00E16FC1"/>
    <w:rsid w:val="00E449AA"/>
    <w:rsid w:val="00E5656B"/>
    <w:rsid w:val="00E8711F"/>
    <w:rsid w:val="00E94548"/>
    <w:rsid w:val="00ED4087"/>
    <w:rsid w:val="00EF7C47"/>
    <w:rsid w:val="00F34DA6"/>
    <w:rsid w:val="00FF59AA"/>
    <w:rsid w:val="00FF77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2CC956"/>
  <w15:docId w15:val="{F7C53FDA-7545-4962-A0D7-2F01AF65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DE6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141DE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1DE6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1DE6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815CD"/>
    <w:pPr>
      <w:numPr>
        <w:ilvl w:val="3"/>
        <w:numId w:val="1"/>
      </w:numPr>
      <w:tabs>
        <w:tab w:val="left" w:pos="900"/>
      </w:tabs>
      <w:outlineLvl w:val="3"/>
    </w:pPr>
    <w:rPr>
      <w:rFonts w:ascii="Times New Roman" w:eastAsia="Times New Roman" w:hAnsi="Times New Roman"/>
      <w:bCs/>
      <w:i/>
      <w:sz w:val="22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1815CD"/>
    <w:pPr>
      <w:keepNext/>
      <w:numPr>
        <w:ilvl w:val="4"/>
        <w:numId w:val="1"/>
      </w:numPr>
      <w:tabs>
        <w:tab w:val="center" w:pos="1620"/>
      </w:tabs>
      <w:outlineLvl w:val="4"/>
    </w:pPr>
    <w:rPr>
      <w:rFonts w:ascii="Times New Roman" w:eastAsia="Times New Roman" w:hAnsi="Times New Roman"/>
      <w:iCs/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1815CD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1815CD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1815CD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1815CD"/>
    <w:pPr>
      <w:numPr>
        <w:ilvl w:val="8"/>
        <w:numId w:val="1"/>
      </w:numPr>
      <w:spacing w:before="240" w:after="60"/>
      <w:outlineLvl w:val="8"/>
    </w:pPr>
    <w:rPr>
      <w:rFonts w:eastAsia="Times New Roman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1DE6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41DE6"/>
    <w:rPr>
      <w:rFonts w:ascii="Arial" w:hAnsi="Arial" w:cs="Times New Roman"/>
      <w:b/>
      <w:cap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815CD"/>
    <w:rPr>
      <w:rFonts w:ascii="Times New Roman" w:eastAsia="Times New Roman" w:hAnsi="Times New Roman" w:cs="Times New Roman"/>
      <w:bCs/>
      <w:i/>
      <w:sz w:val="22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1815CD"/>
    <w:rPr>
      <w:rFonts w:ascii="Times New Roman" w:eastAsia="Times New Roman" w:hAnsi="Times New Roman" w:cs="Times New Roman"/>
      <w:iCs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1815CD"/>
    <w:rPr>
      <w:rFonts w:ascii="Times New Roman" w:eastAsia="Times New Roman" w:hAnsi="Times New Roman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1815CD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1815CD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1815CD"/>
    <w:rPr>
      <w:rFonts w:ascii="Arial" w:eastAsia="Times New Roman" w:hAnsi="Arial" w:cs="Arial"/>
      <w:sz w:val="22"/>
      <w:szCs w:val="22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141DE6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CommentText">
    <w:name w:val="annotation text"/>
    <w:basedOn w:val="Normal"/>
    <w:link w:val="CommentTextChar"/>
    <w:rsid w:val="001815CD"/>
    <w:rPr>
      <w:rFonts w:ascii="Times New Roman" w:eastAsia="Times New Roman" w:hAnsi="Times New Roman"/>
    </w:rPr>
  </w:style>
  <w:style w:type="character" w:customStyle="1" w:styleId="CommentTextChar">
    <w:name w:val="Comment Text Char"/>
    <w:basedOn w:val="DefaultParagraphFont"/>
    <w:link w:val="CommentText"/>
    <w:rsid w:val="001815CD"/>
    <w:rPr>
      <w:rFonts w:ascii="Times New Roman" w:eastAsia="Times New Roman" w:hAnsi="Times New Roman" w:cs="Times New Roman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141DE6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1DE6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141DE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41DE6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41DE6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141DE6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41DE6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141DE6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D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E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41DE6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1DE6"/>
    <w:rPr>
      <w:rFonts w:ascii="Arial" w:hAnsi="Arial" w:cs="Times New Roman"/>
      <w:b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41DE6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141DE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41DE6"/>
    <w:rPr>
      <w:sz w:val="18"/>
      <w:szCs w:val="18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141DE6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141DE6"/>
    <w:rPr>
      <w:rFonts w:ascii="Arial" w:hAnsi="Arial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141D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1DE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41DE6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141DE6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141DE6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141DE6"/>
    <w:pPr>
      <w:numPr>
        <w:numId w:val="19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141DE6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141DE6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141DE6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141DE6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141DE6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141DE6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141DE6"/>
    <w:pPr>
      <w:numPr>
        <w:numId w:val="20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141DE6"/>
    <w:pPr>
      <w:numPr>
        <w:ilvl w:val="1"/>
        <w:numId w:val="17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141DE6"/>
    <w:pPr>
      <w:numPr>
        <w:numId w:val="18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141DE6"/>
    <w:pPr>
      <w:numPr>
        <w:numId w:val="21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141DE6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141DE6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141DE6"/>
    <w:pPr>
      <w:keepNext/>
      <w:keepLines/>
      <w:framePr w:hSpace="141" w:wrap="around" w:vAnchor="text" w:hAnchor="margin" w:y="402"/>
      <w:numPr>
        <w:numId w:val="22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16B18-8AE2-4E63-B39B-F5B4521EA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0</TotalTime>
  <Pages>2</Pages>
  <Words>797</Words>
  <Characters>4384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Private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Pantaleo Creti</dc:creator>
  <cp:lastModifiedBy>Ines DALMAU i GUTSENS</cp:lastModifiedBy>
  <cp:revision>3</cp:revision>
  <cp:lastPrinted>2015-10-09T15:30:00Z</cp:lastPrinted>
  <dcterms:created xsi:type="dcterms:W3CDTF">2016-02-12T20:09:00Z</dcterms:created>
  <dcterms:modified xsi:type="dcterms:W3CDTF">2016-02-13T10:15:00Z</dcterms:modified>
</cp:coreProperties>
</file>