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34" w:rsidRPr="00061E79" w:rsidRDefault="00763B5D" w:rsidP="004D6405">
      <w:pPr>
        <w:pStyle w:val="H1"/>
        <w:rPr>
          <w:lang w:val="fr-FR"/>
        </w:rPr>
      </w:pPr>
      <w:r w:rsidRPr="00061E79">
        <w:rPr>
          <w:lang w:val="fr-FR"/>
        </w:rPr>
        <w:t xml:space="preserve">Liste de contrôle pour les données de référence </w:t>
      </w:r>
      <w:r w:rsidR="00371BE9" w:rsidRPr="00061E79">
        <w:rPr>
          <w:lang w:val="fr-FR"/>
        </w:rPr>
        <w:t>relatives aux</w:t>
      </w:r>
      <w:r w:rsidRPr="00061E79">
        <w:rPr>
          <w:lang w:val="fr-FR"/>
        </w:rPr>
        <w:t xml:space="preserve"> marchés</w:t>
      </w:r>
      <w:r w:rsidR="00BD2E34" w:rsidRPr="00061E79">
        <w:rPr>
          <w:rStyle w:val="FootnoteReference"/>
          <w:rFonts w:eastAsia="MS Mincho"/>
          <w:lang w:val="fr-FR"/>
        </w:rPr>
        <w:footnoteReference w:id="1"/>
      </w:r>
    </w:p>
    <w:p w:rsidR="00477870" w:rsidRPr="00061E79" w:rsidRDefault="00613478" w:rsidP="00912A79">
      <w:pPr>
        <w:pStyle w:val="Heading3"/>
        <w:rPr>
          <w:lang w:val="fr-FR"/>
        </w:rPr>
      </w:pPr>
      <w:r w:rsidRPr="00061E79">
        <w:rPr>
          <w:lang w:val="fr-FR"/>
        </w:rPr>
        <w:t>Quelles sont les informations relatives aux marchés</w:t>
      </w:r>
      <w:r w:rsidR="00477870" w:rsidRPr="00061E79">
        <w:rPr>
          <w:lang w:val="fr-FR"/>
        </w:rPr>
        <w:t xml:space="preserve"> qui doivent être collectées </w:t>
      </w:r>
      <w:r w:rsidR="00912A79" w:rsidRPr="00061E79">
        <w:rPr>
          <w:lang w:val="fr-FR"/>
        </w:rPr>
        <w:t xml:space="preserve">pour </w:t>
      </w:r>
      <w:r w:rsidR="00477870" w:rsidRPr="00061E79">
        <w:rPr>
          <w:lang w:val="fr-FR"/>
        </w:rPr>
        <w:t>établir une base de référence et prévoir</w:t>
      </w:r>
      <w:r w:rsidR="00371BE9" w:rsidRPr="00061E79">
        <w:rPr>
          <w:lang w:val="fr-FR"/>
        </w:rPr>
        <w:t xml:space="preserve"> les conséquences </w:t>
      </w:r>
      <w:r w:rsidRPr="00061E79">
        <w:rPr>
          <w:lang w:val="fr-FR"/>
        </w:rPr>
        <w:t>potentielles</w:t>
      </w:r>
      <w:r w:rsidR="00371BE9" w:rsidRPr="00061E79">
        <w:rPr>
          <w:lang w:val="fr-FR"/>
        </w:rPr>
        <w:t xml:space="preserve"> d’un scénario donné ?</w:t>
      </w:r>
    </w:p>
    <w:p w:rsidR="00371BE9" w:rsidRPr="00061E79" w:rsidRDefault="00371BE9" w:rsidP="00E76585">
      <w:pPr>
        <w:rPr>
          <w:lang w:val="fr-FR"/>
        </w:rPr>
      </w:pPr>
      <w:r w:rsidRPr="00061E79">
        <w:rPr>
          <w:lang w:val="fr-FR"/>
        </w:rPr>
        <w:t xml:space="preserve">Les </w:t>
      </w:r>
      <w:r w:rsidR="00613478" w:rsidRPr="00061E79">
        <w:rPr>
          <w:lang w:val="fr-FR"/>
        </w:rPr>
        <w:t>informations</w:t>
      </w:r>
      <w:r w:rsidRPr="00061E79">
        <w:rPr>
          <w:lang w:val="fr-FR"/>
        </w:rPr>
        <w:t xml:space="preserve"> relatives aux marchés doivent être intégrées à l’analyse générale de la situation</w:t>
      </w:r>
      <w:r w:rsidR="00912A79" w:rsidRPr="00061E79">
        <w:rPr>
          <w:lang w:val="fr-FR"/>
        </w:rPr>
        <w:t>, qui couvre</w:t>
      </w:r>
      <w:r w:rsidRPr="00061E79">
        <w:rPr>
          <w:lang w:val="fr-FR"/>
        </w:rPr>
        <w:t xml:space="preserve"> les besoins essentiels, la sécurité alimentaire, les moyens de subsistance, le logement, les préférences des ménages, les politiques gouvernementales, etc. L’analyse des données disponibles concernant les marchés doit permettre d’obtenir une vision claire et complète des conditions actuelles ou « normales » des marchés qui </w:t>
      </w:r>
      <w:r w:rsidR="00613478" w:rsidRPr="00061E79">
        <w:rPr>
          <w:lang w:val="fr-FR"/>
        </w:rPr>
        <w:t>revêtent une importance cruciale</w:t>
      </w:r>
      <w:r w:rsidRPr="00061E79">
        <w:rPr>
          <w:lang w:val="fr-FR"/>
        </w:rPr>
        <w:t xml:space="preserve"> pour le scénario choisi.</w:t>
      </w:r>
      <w:r w:rsidR="003E5F0A" w:rsidRPr="00061E79">
        <w:rPr>
          <w:lang w:val="fr-FR"/>
        </w:rPr>
        <w:t xml:space="preserve"> </w:t>
      </w:r>
    </w:p>
    <w:p w:rsidR="00371BE9" w:rsidRPr="00061E79" w:rsidRDefault="00371BE9" w:rsidP="00E76585">
      <w:pPr>
        <w:rPr>
          <w:lang w:val="fr-FR"/>
        </w:rPr>
      </w:pPr>
      <w:r w:rsidRPr="00061E79">
        <w:rPr>
          <w:lang w:val="fr-FR"/>
        </w:rPr>
        <w:t>Les informations relatives aux marchés devant être collectées sont les suivantes :</w:t>
      </w:r>
    </w:p>
    <w:p w:rsidR="00371BE9" w:rsidRPr="00061E79" w:rsidRDefault="00371BE9" w:rsidP="004D6405">
      <w:pPr>
        <w:pStyle w:val="Bullet2"/>
        <w:rPr>
          <w:lang w:val="fr-FR"/>
        </w:rPr>
      </w:pPr>
      <w:r w:rsidRPr="00061E79">
        <w:rPr>
          <w:lang w:val="fr-FR"/>
        </w:rPr>
        <w:t>Quels sont les systèmes de marché</w:t>
      </w:r>
      <w:r w:rsidR="002C0B1C" w:rsidRPr="00061E79">
        <w:rPr>
          <w:lang w:val="fr-FR"/>
        </w:rPr>
        <w:t xml:space="preserve"> essentiels</w:t>
      </w:r>
      <w:r w:rsidRPr="00061E79">
        <w:rPr>
          <w:lang w:val="fr-FR"/>
        </w:rPr>
        <w:t xml:space="preserve"> ? </w:t>
      </w:r>
    </w:p>
    <w:p w:rsidR="00BD2E34" w:rsidRPr="00061E79" w:rsidRDefault="00371BE9" w:rsidP="004D6405">
      <w:pPr>
        <w:pStyle w:val="Bullet2"/>
        <w:rPr>
          <w:lang w:val="fr-FR"/>
        </w:rPr>
      </w:pPr>
      <w:r w:rsidRPr="00061E79">
        <w:rPr>
          <w:lang w:val="fr-FR"/>
        </w:rPr>
        <w:t>Comment sont-ils organisés ?</w:t>
      </w:r>
    </w:p>
    <w:p w:rsidR="00BD2E34" w:rsidRPr="00061E79" w:rsidRDefault="00023EAF" w:rsidP="006B3250">
      <w:pPr>
        <w:pStyle w:val="Bullet2"/>
        <w:rPr>
          <w:lang w:val="fr-FR"/>
        </w:rPr>
      </w:pPr>
      <w:r w:rsidRPr="00061E79">
        <w:rPr>
          <w:lang w:val="fr-FR"/>
        </w:rPr>
        <w:t>Comment</w:t>
      </w:r>
      <w:r w:rsidR="00613478" w:rsidRPr="00061E79">
        <w:rPr>
          <w:lang w:val="fr-FR"/>
        </w:rPr>
        <w:t xml:space="preserve"> </w:t>
      </w:r>
      <w:r w:rsidR="006B3250" w:rsidRPr="00061E79">
        <w:rPr>
          <w:lang w:val="fr-FR"/>
        </w:rPr>
        <w:t>sont-ils susceptibles de réagir</w:t>
      </w:r>
      <w:r w:rsidR="007170E4" w:rsidRPr="00061E79">
        <w:rPr>
          <w:lang w:val="fr-FR"/>
        </w:rPr>
        <w:t xml:space="preserve"> </w:t>
      </w:r>
      <w:r w:rsidR="006B3250" w:rsidRPr="00061E79">
        <w:rPr>
          <w:lang w:val="fr-FR"/>
        </w:rPr>
        <w:t>dans le</w:t>
      </w:r>
      <w:r w:rsidR="007170E4" w:rsidRPr="00061E79">
        <w:rPr>
          <w:lang w:val="fr-FR"/>
        </w:rPr>
        <w:t xml:space="preserve"> scénario choisi ?</w:t>
      </w:r>
    </w:p>
    <w:p w:rsidR="007170E4" w:rsidRPr="00061E79" w:rsidRDefault="007170E4" w:rsidP="006B3250">
      <w:pPr>
        <w:rPr>
          <w:lang w:val="fr-FR"/>
        </w:rPr>
      </w:pPr>
      <w:r w:rsidRPr="00061E79">
        <w:rPr>
          <w:lang w:val="fr-FR"/>
        </w:rPr>
        <w:t xml:space="preserve">Avant de collecter et d’analyser les données relatives aux marchés, vous devez tout d’abord vérifier s’il existe des données secondaires </w:t>
      </w:r>
      <w:r w:rsidR="006B3250" w:rsidRPr="00061E79">
        <w:rPr>
          <w:lang w:val="fr-FR"/>
        </w:rPr>
        <w:t>à ce sujet</w:t>
      </w:r>
      <w:r w:rsidRPr="00061E79">
        <w:rPr>
          <w:lang w:val="fr-FR"/>
        </w:rPr>
        <w:t xml:space="preserve">, notamment des rapports sur des événements passés similaires au scénario choisi. </w:t>
      </w:r>
    </w:p>
    <w:p w:rsidR="007170E4" w:rsidRPr="00061E79" w:rsidRDefault="007170E4" w:rsidP="00A7275C">
      <w:pPr>
        <w:rPr>
          <w:lang w:val="fr-FR"/>
        </w:rPr>
      </w:pPr>
      <w:r w:rsidRPr="00061E79">
        <w:rPr>
          <w:b/>
          <w:lang w:val="fr-FR"/>
        </w:rPr>
        <w:t xml:space="preserve">L’outil </w:t>
      </w:r>
      <w:r w:rsidR="00BD2E34" w:rsidRPr="00061E79">
        <w:rPr>
          <w:b/>
          <w:lang w:val="fr-FR"/>
        </w:rPr>
        <w:t>5.1</w:t>
      </w:r>
      <w:r w:rsidR="00BD2E34" w:rsidRPr="00061E79">
        <w:rPr>
          <w:lang w:val="fr-FR"/>
        </w:rPr>
        <w:t xml:space="preserve"> </w:t>
      </w:r>
      <w:r w:rsidRPr="00061E79">
        <w:rPr>
          <w:lang w:val="fr-FR"/>
        </w:rPr>
        <w:t xml:space="preserve">explique le processus et propose des critères </w:t>
      </w:r>
      <w:r w:rsidR="00023EAF" w:rsidRPr="00061E79">
        <w:rPr>
          <w:lang w:val="fr-FR"/>
        </w:rPr>
        <w:t xml:space="preserve">permettant de </w:t>
      </w:r>
      <w:r w:rsidR="00A7275C" w:rsidRPr="00061E79">
        <w:rPr>
          <w:lang w:val="fr-FR"/>
        </w:rPr>
        <w:t>sélectionner</w:t>
      </w:r>
      <w:r w:rsidR="00023EAF" w:rsidRPr="00061E79">
        <w:rPr>
          <w:lang w:val="fr-FR"/>
        </w:rPr>
        <w:t xml:space="preserve"> les</w:t>
      </w:r>
      <w:r w:rsidRPr="00061E79">
        <w:rPr>
          <w:lang w:val="fr-FR"/>
        </w:rPr>
        <w:t xml:space="preserve"> marchés qui jouent un rôle essentiel dans le scénario choisi.</w:t>
      </w:r>
    </w:p>
    <w:p w:rsidR="007170E4" w:rsidRPr="00061E79" w:rsidRDefault="007170E4" w:rsidP="006B3250">
      <w:pPr>
        <w:rPr>
          <w:lang w:val="fr-FR"/>
        </w:rPr>
      </w:pPr>
      <w:r w:rsidRPr="00061E79">
        <w:rPr>
          <w:b/>
          <w:lang w:val="fr-FR"/>
        </w:rPr>
        <w:t xml:space="preserve">L’outil </w:t>
      </w:r>
      <w:r w:rsidR="00BD2E34" w:rsidRPr="00061E79">
        <w:rPr>
          <w:b/>
          <w:lang w:val="fr-FR"/>
        </w:rPr>
        <w:t>5.2</w:t>
      </w:r>
      <w:r w:rsidR="00BD2E34" w:rsidRPr="00061E79">
        <w:rPr>
          <w:lang w:val="fr-FR"/>
        </w:rPr>
        <w:t xml:space="preserve"> </w:t>
      </w:r>
      <w:r w:rsidR="00182DF3" w:rsidRPr="00061E79">
        <w:rPr>
          <w:lang w:val="fr-FR"/>
        </w:rPr>
        <w:t>permet d’</w:t>
      </w:r>
      <w:r w:rsidRPr="00061E79">
        <w:rPr>
          <w:lang w:val="fr-FR"/>
        </w:rPr>
        <w:t>é</w:t>
      </w:r>
      <w:r w:rsidR="00182DF3" w:rsidRPr="00061E79">
        <w:rPr>
          <w:lang w:val="fr-FR"/>
        </w:rPr>
        <w:t xml:space="preserve">laborer </w:t>
      </w:r>
      <w:r w:rsidRPr="00061E79">
        <w:rPr>
          <w:lang w:val="fr-FR"/>
        </w:rPr>
        <w:t>des cartes de référence</w:t>
      </w:r>
      <w:r w:rsidR="00023EAF" w:rsidRPr="00061E79">
        <w:rPr>
          <w:lang w:val="fr-FR"/>
        </w:rPr>
        <w:t xml:space="preserve"> </w:t>
      </w:r>
      <w:r w:rsidR="006B3250" w:rsidRPr="00061E79">
        <w:rPr>
          <w:lang w:val="fr-FR"/>
        </w:rPr>
        <w:t>d</w:t>
      </w:r>
      <w:r w:rsidR="00023EAF" w:rsidRPr="00061E79">
        <w:rPr>
          <w:lang w:val="fr-FR"/>
        </w:rPr>
        <w:t>es marchés</w:t>
      </w:r>
      <w:r w:rsidR="00182DF3" w:rsidRPr="00061E79">
        <w:rPr>
          <w:lang w:val="fr-FR"/>
        </w:rPr>
        <w:t xml:space="preserve">, </w:t>
      </w:r>
      <w:r w:rsidR="006B3250" w:rsidRPr="00061E79">
        <w:rPr>
          <w:lang w:val="fr-FR"/>
        </w:rPr>
        <w:t>qui représentent</w:t>
      </w:r>
      <w:r w:rsidR="00182DF3" w:rsidRPr="00061E79">
        <w:rPr>
          <w:lang w:val="fr-FR"/>
        </w:rPr>
        <w:t xml:space="preserve"> </w:t>
      </w:r>
      <w:r w:rsidR="00DE14DC" w:rsidRPr="00061E79">
        <w:rPr>
          <w:lang w:val="fr-FR"/>
        </w:rPr>
        <w:t>graphiquement</w:t>
      </w:r>
      <w:r w:rsidR="00182DF3" w:rsidRPr="00061E79">
        <w:rPr>
          <w:lang w:val="fr-FR"/>
        </w:rPr>
        <w:t xml:space="preserve"> les acteurs </w:t>
      </w:r>
      <w:r w:rsidR="00023EAF" w:rsidRPr="00061E79">
        <w:rPr>
          <w:lang w:val="fr-FR"/>
        </w:rPr>
        <w:t xml:space="preserve">successifs </w:t>
      </w:r>
      <w:r w:rsidR="00182DF3" w:rsidRPr="00061E79">
        <w:rPr>
          <w:lang w:val="fr-FR"/>
        </w:rPr>
        <w:t>du marché, leur</w:t>
      </w:r>
      <w:r w:rsidR="006B3250" w:rsidRPr="00061E79">
        <w:rPr>
          <w:lang w:val="fr-FR"/>
        </w:rPr>
        <w:t>s</w:t>
      </w:r>
      <w:r w:rsidR="00182DF3" w:rsidRPr="00061E79">
        <w:rPr>
          <w:lang w:val="fr-FR"/>
        </w:rPr>
        <w:t xml:space="preserve"> interaction</w:t>
      </w:r>
      <w:r w:rsidR="006B3250" w:rsidRPr="00061E79">
        <w:rPr>
          <w:lang w:val="fr-FR"/>
        </w:rPr>
        <w:t>s</w:t>
      </w:r>
      <w:r w:rsidR="00182DF3" w:rsidRPr="00061E79">
        <w:rPr>
          <w:lang w:val="fr-FR"/>
        </w:rPr>
        <w:t xml:space="preserve"> et la manière dont les infrastructures et les services soutien</w:t>
      </w:r>
      <w:r w:rsidR="006B4ADC" w:rsidRPr="00061E79">
        <w:rPr>
          <w:lang w:val="fr-FR"/>
        </w:rPr>
        <w:t xml:space="preserve">nent le marché, et de </w:t>
      </w:r>
      <w:r w:rsidR="006B3250" w:rsidRPr="00061E79">
        <w:rPr>
          <w:lang w:val="fr-FR"/>
        </w:rPr>
        <w:t>présenter les facteurs</w:t>
      </w:r>
      <w:r w:rsidR="00182DF3" w:rsidRPr="00061E79">
        <w:rPr>
          <w:lang w:val="fr-FR"/>
        </w:rPr>
        <w:t xml:space="preserve"> externe</w:t>
      </w:r>
      <w:r w:rsidR="006B3250" w:rsidRPr="00061E79">
        <w:rPr>
          <w:lang w:val="fr-FR"/>
        </w:rPr>
        <w:t>s qui ont</w:t>
      </w:r>
      <w:r w:rsidR="00023EAF" w:rsidRPr="00061E79">
        <w:rPr>
          <w:lang w:val="fr-FR"/>
        </w:rPr>
        <w:t xml:space="preserve"> une incidence sur</w:t>
      </w:r>
      <w:r w:rsidR="00182DF3" w:rsidRPr="00061E79">
        <w:rPr>
          <w:lang w:val="fr-FR"/>
        </w:rPr>
        <w:t xml:space="preserve"> le fonctionnement du marché.</w:t>
      </w:r>
    </w:p>
    <w:p w:rsidR="00182DF3" w:rsidRPr="00061E79" w:rsidRDefault="00182DF3" w:rsidP="00E76585">
      <w:pPr>
        <w:rPr>
          <w:lang w:val="fr-FR"/>
        </w:rPr>
      </w:pPr>
      <w:r w:rsidRPr="00061E79">
        <w:rPr>
          <w:b/>
          <w:lang w:val="fr-FR"/>
        </w:rPr>
        <w:t xml:space="preserve">L’outil </w:t>
      </w:r>
      <w:r w:rsidR="00BD2E34" w:rsidRPr="00061E79">
        <w:rPr>
          <w:b/>
          <w:lang w:val="fr-FR"/>
        </w:rPr>
        <w:t xml:space="preserve">5.3 </w:t>
      </w:r>
      <w:r w:rsidRPr="00061E79">
        <w:rPr>
          <w:lang w:val="fr-FR"/>
        </w:rPr>
        <w:t>fournit des listes de contrôle qui peuvent être utilisées dans le cadre des discussions de groupe et des entretiens avec la population cible, les commerçants et les interlocuteurs clés.</w:t>
      </w:r>
    </w:p>
    <w:p w:rsidR="00EE6DC4" w:rsidRPr="00061E79" w:rsidRDefault="00182DF3" w:rsidP="006B3250">
      <w:pPr>
        <w:rPr>
          <w:lang w:val="fr-FR"/>
        </w:rPr>
      </w:pPr>
      <w:r w:rsidRPr="00061E79">
        <w:rPr>
          <w:lang w:val="fr-FR"/>
        </w:rPr>
        <w:t xml:space="preserve">Les informations recueillies soit à partir de sources secondaires, soit directement auprès des parties prenantes, doivent vous permettre de formuler des hypothèses </w:t>
      </w:r>
      <w:r w:rsidR="006B3250" w:rsidRPr="00061E79">
        <w:rPr>
          <w:lang w:val="fr-FR"/>
        </w:rPr>
        <w:t>concernant les</w:t>
      </w:r>
      <w:r w:rsidR="00023EAF" w:rsidRPr="00061E79">
        <w:rPr>
          <w:lang w:val="fr-FR"/>
        </w:rPr>
        <w:t xml:space="preserve"> conséquences potentielles du</w:t>
      </w:r>
      <w:r w:rsidRPr="00061E79">
        <w:rPr>
          <w:lang w:val="fr-FR"/>
        </w:rPr>
        <w:t xml:space="preserve"> scénario choisi sur le marché.</w:t>
      </w:r>
      <w:r w:rsidR="00EE6DC4" w:rsidRPr="00061E79">
        <w:rPr>
          <w:lang w:val="fr-FR"/>
        </w:rPr>
        <w:br w:type="page"/>
      </w:r>
    </w:p>
    <w:p w:rsidR="00BD2E34" w:rsidRPr="00061E79" w:rsidRDefault="00182DF3" w:rsidP="007E0606">
      <w:pPr>
        <w:pStyle w:val="Heading2"/>
        <w:rPr>
          <w:lang w:val="fr-FR"/>
        </w:rPr>
      </w:pPr>
      <w:r w:rsidRPr="00061E79">
        <w:rPr>
          <w:lang w:val="fr-FR"/>
        </w:rPr>
        <w:lastRenderedPageBreak/>
        <w:t>OUTIL</w:t>
      </w:r>
      <w:r w:rsidR="001A3DBE" w:rsidRPr="00061E79">
        <w:rPr>
          <w:lang w:val="fr-FR"/>
        </w:rPr>
        <w:t xml:space="preserve"> 1</w:t>
      </w:r>
      <w:r w:rsidR="007E0606" w:rsidRPr="00061E79">
        <w:rPr>
          <w:lang w:val="fr-FR"/>
        </w:rPr>
        <w:t> </w:t>
      </w:r>
      <w:r w:rsidR="001A3DBE" w:rsidRPr="00061E79">
        <w:rPr>
          <w:lang w:val="fr-FR"/>
        </w:rPr>
        <w:t>:</w:t>
      </w:r>
      <w:r w:rsidR="005167FA" w:rsidRPr="00061E79">
        <w:rPr>
          <w:lang w:val="fr-FR"/>
        </w:rPr>
        <w:tab/>
      </w:r>
      <w:r w:rsidRPr="00061E79">
        <w:rPr>
          <w:lang w:val="fr-FR"/>
        </w:rPr>
        <w:t>SÉlÉction des marchÉs de rÉfÉrence</w:t>
      </w:r>
    </w:p>
    <w:p w:rsidR="00BD2E34" w:rsidRPr="00061E79" w:rsidRDefault="00182DF3" w:rsidP="00E402EF">
      <w:pPr>
        <w:pStyle w:val="Heading3"/>
        <w:rPr>
          <w:lang w:val="fr-FR"/>
        </w:rPr>
      </w:pPr>
      <w:r w:rsidRPr="00061E79">
        <w:rPr>
          <w:lang w:val="fr-FR"/>
        </w:rPr>
        <w:t>Objectif</w:t>
      </w:r>
    </w:p>
    <w:p w:rsidR="00BD2E34" w:rsidRPr="00061E79" w:rsidRDefault="00182DF3" w:rsidP="00E76585">
      <w:pPr>
        <w:rPr>
          <w:lang w:val="fr-FR"/>
        </w:rPr>
      </w:pPr>
      <w:r w:rsidRPr="00061E79">
        <w:rPr>
          <w:lang w:val="fr-FR"/>
        </w:rPr>
        <w:t>Cet outil vous aider</w:t>
      </w:r>
      <w:r w:rsidR="00825EA5" w:rsidRPr="00061E79">
        <w:rPr>
          <w:lang w:val="fr-FR"/>
        </w:rPr>
        <w:t>a</w:t>
      </w:r>
      <w:r w:rsidR="00F47945" w:rsidRPr="00061E79">
        <w:rPr>
          <w:lang w:val="fr-FR"/>
        </w:rPr>
        <w:t xml:space="preserve"> à </w:t>
      </w:r>
      <w:r w:rsidR="00BD2E34" w:rsidRPr="00061E79">
        <w:rPr>
          <w:lang w:val="fr-FR"/>
        </w:rPr>
        <w:t>:</w:t>
      </w:r>
    </w:p>
    <w:p w:rsidR="00F200B5" w:rsidRPr="00061E79" w:rsidRDefault="00A7275C" w:rsidP="004D6405">
      <w:pPr>
        <w:pStyle w:val="Bullet2"/>
        <w:rPr>
          <w:lang w:val="fr-FR"/>
        </w:rPr>
      </w:pPr>
      <w:r w:rsidRPr="00061E79">
        <w:rPr>
          <w:lang w:val="fr-FR"/>
        </w:rPr>
        <w:t>recenser</w:t>
      </w:r>
      <w:r w:rsidR="00F200B5" w:rsidRPr="00061E79">
        <w:rPr>
          <w:lang w:val="fr-FR"/>
        </w:rPr>
        <w:t xml:space="preserve"> les marchés qui jouent un rôle essentiel dans le scénario </w:t>
      </w:r>
      <w:r w:rsidR="00825EA5" w:rsidRPr="00061E79">
        <w:rPr>
          <w:lang w:val="fr-FR"/>
        </w:rPr>
        <w:t>choisi ;</w:t>
      </w:r>
    </w:p>
    <w:p w:rsidR="00F200B5" w:rsidRPr="00061E79" w:rsidRDefault="00825EA5" w:rsidP="005878F9">
      <w:pPr>
        <w:pStyle w:val="Bullet2"/>
        <w:rPr>
          <w:lang w:val="fr-FR"/>
        </w:rPr>
      </w:pPr>
      <w:r w:rsidRPr="00061E79">
        <w:rPr>
          <w:lang w:val="fr-FR"/>
        </w:rPr>
        <w:t>s</w:t>
      </w:r>
      <w:r w:rsidR="00F200B5" w:rsidRPr="00061E79">
        <w:rPr>
          <w:lang w:val="fr-FR"/>
        </w:rPr>
        <w:t xml:space="preserve">électionner le marché </w:t>
      </w:r>
      <w:r w:rsidR="005878F9" w:rsidRPr="00061E79">
        <w:rPr>
          <w:lang w:val="fr-FR"/>
        </w:rPr>
        <w:t>qui sera</w:t>
      </w:r>
      <w:r w:rsidR="00F200B5" w:rsidRPr="00061E79">
        <w:rPr>
          <w:lang w:val="fr-FR"/>
        </w:rPr>
        <w:t xml:space="preserve"> analysé </w:t>
      </w:r>
      <w:r w:rsidR="005878F9" w:rsidRPr="00061E79">
        <w:rPr>
          <w:lang w:val="fr-FR"/>
        </w:rPr>
        <w:t>pour</w:t>
      </w:r>
      <w:r w:rsidR="00F200B5" w:rsidRPr="00061E79">
        <w:rPr>
          <w:lang w:val="fr-FR"/>
        </w:rPr>
        <w:t xml:space="preserve"> l’élaboration du scénario.</w:t>
      </w:r>
    </w:p>
    <w:p w:rsidR="00BD2E34" w:rsidRPr="00061E79" w:rsidRDefault="00182DF3" w:rsidP="00E402EF">
      <w:pPr>
        <w:pStyle w:val="Heading3"/>
        <w:rPr>
          <w:lang w:val="fr-FR"/>
        </w:rPr>
      </w:pPr>
      <w:r w:rsidRPr="00061E79">
        <w:rPr>
          <w:lang w:val="fr-FR"/>
        </w:rPr>
        <w:t>Comment</w:t>
      </w:r>
      <w:r w:rsidR="00023EAF" w:rsidRPr="00061E79">
        <w:rPr>
          <w:lang w:val="fr-FR"/>
        </w:rPr>
        <w:t xml:space="preserve"> utiliser cet outil</w:t>
      </w:r>
    </w:p>
    <w:p w:rsidR="00F200B5" w:rsidRPr="00061E79" w:rsidRDefault="00F200B5" w:rsidP="00B72DDD">
      <w:pPr>
        <w:rPr>
          <w:lang w:val="fr-FR"/>
        </w:rPr>
      </w:pPr>
      <w:r w:rsidRPr="00061E79">
        <w:rPr>
          <w:lang w:val="fr-FR"/>
        </w:rPr>
        <w:t xml:space="preserve">Cet outil </w:t>
      </w:r>
      <w:r w:rsidR="008026AA" w:rsidRPr="00061E79">
        <w:rPr>
          <w:lang w:val="fr-FR"/>
        </w:rPr>
        <w:t xml:space="preserve">a été </w:t>
      </w:r>
      <w:r w:rsidR="006871DE" w:rsidRPr="00061E79">
        <w:rPr>
          <w:lang w:val="fr-FR"/>
        </w:rPr>
        <w:t>adapté</w:t>
      </w:r>
      <w:r w:rsidR="00B72DDD" w:rsidRPr="00061E79">
        <w:rPr>
          <w:lang w:val="fr-FR"/>
        </w:rPr>
        <w:t xml:space="preserve"> de l’outil 1.2 </w:t>
      </w:r>
      <w:r w:rsidR="008026AA" w:rsidRPr="00061E79">
        <w:rPr>
          <w:lang w:val="fr-FR"/>
        </w:rPr>
        <w:t>intitulé</w:t>
      </w:r>
      <w:r w:rsidRPr="00061E79">
        <w:rPr>
          <w:lang w:val="fr-FR"/>
        </w:rPr>
        <w:t xml:space="preserve"> </w:t>
      </w:r>
      <w:r w:rsidR="008026AA" w:rsidRPr="00061E79">
        <w:rPr>
          <w:lang w:val="fr-FR"/>
        </w:rPr>
        <w:t>« S</w:t>
      </w:r>
      <w:r w:rsidR="00023EAF" w:rsidRPr="00061E79">
        <w:rPr>
          <w:lang w:val="fr-FR"/>
        </w:rPr>
        <w:t>élection des</w:t>
      </w:r>
      <w:r w:rsidR="00825EA5" w:rsidRPr="00061E79">
        <w:rPr>
          <w:lang w:val="fr-FR"/>
        </w:rPr>
        <w:t xml:space="preserve"> système</w:t>
      </w:r>
      <w:r w:rsidR="00023EAF" w:rsidRPr="00061E79">
        <w:rPr>
          <w:lang w:val="fr-FR"/>
        </w:rPr>
        <w:t>s</w:t>
      </w:r>
      <w:r w:rsidR="00825EA5" w:rsidRPr="00061E79">
        <w:rPr>
          <w:lang w:val="fr-FR"/>
        </w:rPr>
        <w:t xml:space="preserve"> de marché essentiel</w:t>
      </w:r>
      <w:r w:rsidR="00023EAF" w:rsidRPr="00061E79">
        <w:rPr>
          <w:lang w:val="fr-FR"/>
        </w:rPr>
        <w:t>s »</w:t>
      </w:r>
      <w:r w:rsidR="005878F9" w:rsidRPr="00061E79">
        <w:rPr>
          <w:lang w:val="fr-FR"/>
        </w:rPr>
        <w:t>, qui est</w:t>
      </w:r>
      <w:r w:rsidR="008026AA" w:rsidRPr="00061E79">
        <w:rPr>
          <w:lang w:val="fr-FR"/>
        </w:rPr>
        <w:t xml:space="preserve"> </w:t>
      </w:r>
      <w:r w:rsidR="005878F9" w:rsidRPr="00061E79">
        <w:rPr>
          <w:lang w:val="fr-FR"/>
        </w:rPr>
        <w:t>présenté en détail</w:t>
      </w:r>
      <w:r w:rsidR="00023EAF" w:rsidRPr="00061E79">
        <w:rPr>
          <w:lang w:val="fr-FR"/>
        </w:rPr>
        <w:t xml:space="preserve"> </w:t>
      </w:r>
      <w:r w:rsidR="00825EA5" w:rsidRPr="00061E79">
        <w:rPr>
          <w:lang w:val="fr-FR"/>
        </w:rPr>
        <w:t>dans le chapitre 1</w:t>
      </w:r>
      <w:r w:rsidR="00023EAF" w:rsidRPr="00061E79">
        <w:rPr>
          <w:lang w:val="fr-FR"/>
        </w:rPr>
        <w:t xml:space="preserve"> du Guide pour l’analyse des marchés</w:t>
      </w:r>
      <w:r w:rsidR="00825EA5" w:rsidRPr="00061E79">
        <w:rPr>
          <w:lang w:val="fr-FR"/>
        </w:rPr>
        <w:t xml:space="preserve">, </w:t>
      </w:r>
      <w:r w:rsidR="008026AA" w:rsidRPr="00061E79">
        <w:rPr>
          <w:lang w:val="fr-FR"/>
        </w:rPr>
        <w:t>consacré</w:t>
      </w:r>
      <w:r w:rsidR="00825EA5" w:rsidRPr="00061E79">
        <w:rPr>
          <w:lang w:val="fr-FR"/>
        </w:rPr>
        <w:t xml:space="preserve"> </w:t>
      </w:r>
      <w:r w:rsidR="008026AA" w:rsidRPr="00061E79">
        <w:rPr>
          <w:lang w:val="fr-FR"/>
        </w:rPr>
        <w:t>à</w:t>
      </w:r>
      <w:r w:rsidR="00825EA5" w:rsidRPr="00061E79">
        <w:rPr>
          <w:lang w:val="fr-FR"/>
        </w:rPr>
        <w:t xml:space="preserve"> </w:t>
      </w:r>
      <w:r w:rsidR="005878F9" w:rsidRPr="00061E79">
        <w:rPr>
          <w:lang w:val="fr-FR"/>
        </w:rPr>
        <w:t>l’évaluation. Pour de plus amples informations</w:t>
      </w:r>
      <w:r w:rsidR="008026AA" w:rsidRPr="00061E79">
        <w:rPr>
          <w:lang w:val="fr-FR"/>
        </w:rPr>
        <w:t>, veuillez consulter</w:t>
      </w:r>
      <w:r w:rsidR="00825EA5" w:rsidRPr="00061E79">
        <w:rPr>
          <w:lang w:val="fr-FR"/>
        </w:rPr>
        <w:t xml:space="preserve"> ce chapitre.</w:t>
      </w:r>
    </w:p>
    <w:p w:rsidR="00825EA5" w:rsidRPr="00061E79" w:rsidRDefault="00023EAF" w:rsidP="0049417C">
      <w:pPr>
        <w:rPr>
          <w:lang w:val="fr-FR"/>
        </w:rPr>
      </w:pPr>
      <w:r w:rsidRPr="00061E79">
        <w:rPr>
          <w:lang w:val="fr-FR"/>
        </w:rPr>
        <w:t>La sélection des</w:t>
      </w:r>
      <w:r w:rsidR="00825EA5" w:rsidRPr="00061E79">
        <w:rPr>
          <w:lang w:val="fr-FR"/>
        </w:rPr>
        <w:t xml:space="preserve"> marché</w:t>
      </w:r>
      <w:r w:rsidRPr="00061E79">
        <w:rPr>
          <w:lang w:val="fr-FR"/>
        </w:rPr>
        <w:t>s</w:t>
      </w:r>
      <w:r w:rsidR="00825EA5" w:rsidRPr="00061E79">
        <w:rPr>
          <w:lang w:val="fr-FR"/>
        </w:rPr>
        <w:t xml:space="preserve"> de référence doit être effectuée </w:t>
      </w:r>
      <w:r w:rsidR="0049417C" w:rsidRPr="00061E79">
        <w:rPr>
          <w:lang w:val="fr-FR"/>
        </w:rPr>
        <w:t>par le biais</w:t>
      </w:r>
      <w:r w:rsidR="00825EA5" w:rsidRPr="00061E79">
        <w:rPr>
          <w:lang w:val="fr-FR"/>
        </w:rPr>
        <w:t xml:space="preserve"> d’un exercice participatif </w:t>
      </w:r>
      <w:r w:rsidRPr="00061E79">
        <w:rPr>
          <w:lang w:val="fr-FR"/>
        </w:rPr>
        <w:t>réunissant</w:t>
      </w:r>
      <w:r w:rsidR="00825EA5" w:rsidRPr="00061E79">
        <w:rPr>
          <w:lang w:val="fr-FR"/>
        </w:rPr>
        <w:t xml:space="preserve"> un groupe de parties prenantes susceptibles d’apporter des connaissances sur le contexte local et les marchés. Le groupe</w:t>
      </w:r>
      <w:r w:rsidR="005878F9" w:rsidRPr="00061E79">
        <w:rPr>
          <w:lang w:val="fr-FR"/>
        </w:rPr>
        <w:t>, qui devrait se limiter à 12</w:t>
      </w:r>
      <w:r w:rsidR="00825EA5" w:rsidRPr="00061E79">
        <w:rPr>
          <w:lang w:val="fr-FR"/>
        </w:rPr>
        <w:t xml:space="preserve"> participants</w:t>
      </w:r>
      <w:r w:rsidR="005878F9" w:rsidRPr="00061E79">
        <w:rPr>
          <w:lang w:val="fr-FR"/>
        </w:rPr>
        <w:t>, doit être composé de membres d</w:t>
      </w:r>
      <w:r w:rsidR="00825EA5" w:rsidRPr="00061E79">
        <w:rPr>
          <w:lang w:val="fr-FR"/>
        </w:rPr>
        <w:t>u personnel des services liés aux programmes</w:t>
      </w:r>
      <w:r w:rsidR="005878F9" w:rsidRPr="00061E79">
        <w:rPr>
          <w:lang w:val="fr-FR"/>
        </w:rPr>
        <w:t xml:space="preserve"> et des services de soutien, de</w:t>
      </w:r>
      <w:r w:rsidR="00825EA5" w:rsidRPr="00061E79">
        <w:rPr>
          <w:lang w:val="fr-FR"/>
        </w:rPr>
        <w:t xml:space="preserve"> volontaires de la Société </w:t>
      </w:r>
      <w:r w:rsidR="005878F9" w:rsidRPr="00061E79">
        <w:rPr>
          <w:lang w:val="fr-FR"/>
        </w:rPr>
        <w:t>nationale et éventuellement d’</w:t>
      </w:r>
      <w:r w:rsidR="00825EA5" w:rsidRPr="00061E79">
        <w:rPr>
          <w:lang w:val="fr-FR"/>
        </w:rPr>
        <w:t xml:space="preserve">interlocuteurs clés. </w:t>
      </w:r>
    </w:p>
    <w:p w:rsidR="00825EA5" w:rsidRPr="00061E79" w:rsidRDefault="00825EA5" w:rsidP="0049417C">
      <w:pPr>
        <w:rPr>
          <w:lang w:val="fr-FR"/>
        </w:rPr>
      </w:pPr>
      <w:r w:rsidRPr="00061E79">
        <w:rPr>
          <w:lang w:val="fr-FR"/>
        </w:rPr>
        <w:t xml:space="preserve">Une première séance de réflexion peut aider le groupe à élaborer une liste des produits de base, des services et des possibilités de revenus qui sont essentiels pour la population cible et qui ont été particulièrement touchés par les chocs survenus </w:t>
      </w:r>
      <w:r w:rsidR="0049417C" w:rsidRPr="00061E79">
        <w:rPr>
          <w:lang w:val="fr-FR"/>
        </w:rPr>
        <w:t>dans</w:t>
      </w:r>
      <w:r w:rsidRPr="00061E79">
        <w:rPr>
          <w:lang w:val="fr-FR"/>
        </w:rPr>
        <w:t xml:space="preserve"> le passé.</w:t>
      </w:r>
    </w:p>
    <w:p w:rsidR="00693642" w:rsidRPr="00061E79" w:rsidRDefault="00693642" w:rsidP="0049417C">
      <w:pPr>
        <w:keepNext/>
        <w:rPr>
          <w:lang w:val="fr-FR"/>
        </w:rPr>
      </w:pPr>
      <w:r w:rsidRPr="00061E79">
        <w:rPr>
          <w:lang w:val="fr-FR"/>
        </w:rPr>
        <w:t xml:space="preserve">La sélection des marchés devant être analysés </w:t>
      </w:r>
      <w:r w:rsidR="0049417C" w:rsidRPr="00061E79">
        <w:rPr>
          <w:lang w:val="fr-FR"/>
        </w:rPr>
        <w:t>pour</w:t>
      </w:r>
      <w:r w:rsidRPr="00061E79">
        <w:rPr>
          <w:lang w:val="fr-FR"/>
        </w:rPr>
        <w:t xml:space="preserve"> l’élaboration des scénarios doit se fonder sur les deux critères suivants :</w:t>
      </w:r>
    </w:p>
    <w:p w:rsidR="00693642" w:rsidRPr="00061E79" w:rsidRDefault="00023EAF" w:rsidP="0049417C">
      <w:pPr>
        <w:pStyle w:val="Bullet2"/>
        <w:keepNext/>
        <w:rPr>
          <w:lang w:val="fr-FR"/>
        </w:rPr>
      </w:pPr>
      <w:r w:rsidRPr="00061E79">
        <w:rPr>
          <w:lang w:val="fr-FR"/>
        </w:rPr>
        <w:t xml:space="preserve">l’importance </w:t>
      </w:r>
      <w:r w:rsidR="0049417C" w:rsidRPr="00061E79">
        <w:rPr>
          <w:lang w:val="fr-FR"/>
        </w:rPr>
        <w:t>du</w:t>
      </w:r>
      <w:r w:rsidR="00693642" w:rsidRPr="00061E79">
        <w:rPr>
          <w:lang w:val="fr-FR"/>
        </w:rPr>
        <w:t xml:space="preserve"> système de marché pour la population cible ;</w:t>
      </w:r>
    </w:p>
    <w:p w:rsidR="00693642" w:rsidRPr="00061E79" w:rsidRDefault="00023EAF" w:rsidP="0049417C">
      <w:pPr>
        <w:pStyle w:val="Bullet2"/>
        <w:rPr>
          <w:lang w:val="fr-FR"/>
        </w:rPr>
      </w:pPr>
      <w:r w:rsidRPr="00061E79">
        <w:rPr>
          <w:lang w:val="fr-FR"/>
        </w:rPr>
        <w:t>le degré de</w:t>
      </w:r>
      <w:r w:rsidR="00693642" w:rsidRPr="00061E79">
        <w:rPr>
          <w:lang w:val="fr-FR"/>
        </w:rPr>
        <w:t xml:space="preserve"> probabilité du scénario choisi et son impact potentiel </w:t>
      </w:r>
      <w:r w:rsidR="00EE036E">
        <w:rPr>
          <w:lang w:val="fr-FR"/>
        </w:rPr>
        <w:t xml:space="preserve">sur </w:t>
      </w:r>
      <w:r w:rsidR="0049417C" w:rsidRPr="00061E79">
        <w:rPr>
          <w:lang w:val="fr-FR"/>
        </w:rPr>
        <w:t>les différents</w:t>
      </w:r>
      <w:r w:rsidR="00693642" w:rsidRPr="00061E79">
        <w:rPr>
          <w:lang w:val="fr-FR"/>
        </w:rPr>
        <w:t xml:space="preserve"> marché</w:t>
      </w:r>
      <w:r w:rsidR="0049417C" w:rsidRPr="00061E79">
        <w:rPr>
          <w:lang w:val="fr-FR"/>
        </w:rPr>
        <w:t>s</w:t>
      </w:r>
      <w:r w:rsidR="00693642" w:rsidRPr="00061E79">
        <w:rPr>
          <w:lang w:val="fr-FR"/>
        </w:rPr>
        <w:t>.</w:t>
      </w:r>
    </w:p>
    <w:p w:rsidR="00BD2E34" w:rsidRPr="00061E79" w:rsidRDefault="00693642" w:rsidP="0049417C">
      <w:pPr>
        <w:keepNext/>
        <w:keepLines/>
        <w:spacing w:after="600"/>
        <w:rPr>
          <w:lang w:val="fr-FR"/>
        </w:rPr>
      </w:pPr>
      <w:r w:rsidRPr="00061E79">
        <w:rPr>
          <w:lang w:val="fr-FR"/>
        </w:rPr>
        <w:t xml:space="preserve">Pour </w:t>
      </w:r>
      <w:r w:rsidR="0049417C" w:rsidRPr="00061E79">
        <w:rPr>
          <w:lang w:val="fr-FR"/>
        </w:rPr>
        <w:t>pondérer</w:t>
      </w:r>
      <w:r w:rsidR="00023EAF" w:rsidRPr="00061E79">
        <w:rPr>
          <w:lang w:val="fr-FR"/>
        </w:rPr>
        <w:t xml:space="preserve"> ces deux critères</w:t>
      </w:r>
      <w:r w:rsidRPr="00061E79">
        <w:rPr>
          <w:lang w:val="fr-FR"/>
        </w:rPr>
        <w:t>, attribuez à chacun d</w:t>
      </w:r>
      <w:r w:rsidR="00023EAF" w:rsidRPr="00061E79">
        <w:rPr>
          <w:lang w:val="fr-FR"/>
        </w:rPr>
        <w:t>’</w:t>
      </w:r>
      <w:r w:rsidRPr="00061E79">
        <w:rPr>
          <w:lang w:val="fr-FR"/>
        </w:rPr>
        <w:t xml:space="preserve">eux une note </w:t>
      </w:r>
      <w:r w:rsidR="006D32C4" w:rsidRPr="00061E79">
        <w:rPr>
          <w:lang w:val="fr-FR"/>
        </w:rPr>
        <w:t>sur une échelle allant de 1 à</w:t>
      </w:r>
      <w:r w:rsidRPr="00061E79">
        <w:rPr>
          <w:lang w:val="fr-FR"/>
        </w:rPr>
        <w:t xml:space="preserve"> 3 (faible à élevé)</w:t>
      </w:r>
      <w:r w:rsidR="006D32C4" w:rsidRPr="00061E79">
        <w:rPr>
          <w:lang w:val="fr-FR"/>
        </w:rPr>
        <w:t> ; un tableau peut être utilisé pour faciliter le classement.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3"/>
        <w:gridCol w:w="338"/>
        <w:gridCol w:w="398"/>
        <w:gridCol w:w="939"/>
        <w:gridCol w:w="957"/>
        <w:gridCol w:w="1059"/>
      </w:tblGrid>
      <w:tr w:rsidR="00BD2E34" w:rsidRPr="00EE036E" w:rsidTr="00693642">
        <w:trPr>
          <w:trHeight w:hRule="exact" w:val="589"/>
          <w:jc w:val="center"/>
        </w:trPr>
        <w:tc>
          <w:tcPr>
            <w:tcW w:w="1429" w:type="dxa"/>
            <w:gridSpan w:val="3"/>
            <w:vMerge w:val="restart"/>
            <w:tcBorders>
              <w:top w:val="nil"/>
              <w:left w:val="nil"/>
            </w:tcBorders>
          </w:tcPr>
          <w:p w:rsidR="00BD2E34" w:rsidRPr="00061E79" w:rsidRDefault="00BD2E34" w:rsidP="000A49C8">
            <w:pPr>
              <w:spacing w:before="60" w:after="60"/>
              <w:rPr>
                <w:rFonts w:eastAsia="MS Mincho" w:cs="ArialMT"/>
                <w:sz w:val="18"/>
                <w:szCs w:val="18"/>
                <w:lang w:val="fr-FR"/>
              </w:rPr>
            </w:pPr>
          </w:p>
        </w:tc>
        <w:tc>
          <w:tcPr>
            <w:tcW w:w="2955" w:type="dxa"/>
            <w:gridSpan w:val="3"/>
            <w:shd w:val="clear" w:color="auto" w:fill="DC281E"/>
            <w:vAlign w:val="center"/>
          </w:tcPr>
          <w:p w:rsidR="00BD2E34" w:rsidRPr="00061E79" w:rsidRDefault="00BD2E34" w:rsidP="00693642">
            <w:pPr>
              <w:spacing w:before="60" w:after="60"/>
              <w:jc w:val="center"/>
              <w:rPr>
                <w:b/>
                <w:color w:val="FFFFFF" w:themeColor="background1"/>
                <w:sz w:val="18"/>
                <w:szCs w:val="18"/>
                <w:lang w:val="fr-FR"/>
              </w:rPr>
            </w:pPr>
            <w:r w:rsidRPr="00061E79">
              <w:rPr>
                <w:b/>
                <w:color w:val="FFFFFF" w:themeColor="background1"/>
                <w:sz w:val="18"/>
                <w:szCs w:val="18"/>
                <w:lang w:val="fr-FR"/>
              </w:rPr>
              <w:t xml:space="preserve">Importance </w:t>
            </w:r>
            <w:r w:rsidR="00693642" w:rsidRPr="00061E79">
              <w:rPr>
                <w:b/>
                <w:color w:val="FFFFFF" w:themeColor="background1"/>
                <w:sz w:val="18"/>
                <w:szCs w:val="18"/>
                <w:lang w:val="fr-FR"/>
              </w:rPr>
              <w:t>du système de marché</w:t>
            </w:r>
          </w:p>
        </w:tc>
      </w:tr>
      <w:tr w:rsidR="00BD2E34" w:rsidRPr="00061E79" w:rsidTr="00693642">
        <w:trPr>
          <w:trHeight w:val="288"/>
          <w:jc w:val="center"/>
        </w:trPr>
        <w:tc>
          <w:tcPr>
            <w:tcW w:w="1429" w:type="dxa"/>
            <w:gridSpan w:val="3"/>
            <w:vMerge/>
            <w:tcBorders>
              <w:left w:val="nil"/>
            </w:tcBorders>
          </w:tcPr>
          <w:p w:rsidR="00BD2E34" w:rsidRPr="00061E79" w:rsidRDefault="00BD2E34" w:rsidP="000A49C8">
            <w:pPr>
              <w:spacing w:before="60" w:after="60"/>
              <w:rPr>
                <w:rFonts w:eastAsia="MS Mincho" w:cs="ArialMT"/>
                <w:sz w:val="18"/>
                <w:szCs w:val="18"/>
                <w:lang w:val="fr-FR"/>
              </w:rPr>
            </w:pPr>
          </w:p>
        </w:tc>
        <w:tc>
          <w:tcPr>
            <w:tcW w:w="939" w:type="dxa"/>
            <w:shd w:val="clear" w:color="auto" w:fill="DC281E"/>
            <w:vAlign w:val="center"/>
          </w:tcPr>
          <w:p w:rsidR="00BD2E34" w:rsidRPr="00061E79" w:rsidRDefault="00693642" w:rsidP="000A49C8">
            <w:pPr>
              <w:spacing w:before="60" w:after="60"/>
              <w:jc w:val="center"/>
              <w:rPr>
                <w:i/>
                <w:color w:val="FFFFFF" w:themeColor="background1"/>
                <w:sz w:val="18"/>
                <w:szCs w:val="18"/>
                <w:lang w:val="fr-FR"/>
              </w:rPr>
            </w:pPr>
            <w:r w:rsidRPr="00061E79">
              <w:rPr>
                <w:i/>
                <w:color w:val="FFFFFF" w:themeColor="background1"/>
                <w:sz w:val="18"/>
                <w:szCs w:val="18"/>
                <w:lang w:val="fr-FR"/>
              </w:rPr>
              <w:t>Faible</w:t>
            </w:r>
          </w:p>
        </w:tc>
        <w:tc>
          <w:tcPr>
            <w:tcW w:w="957" w:type="dxa"/>
            <w:shd w:val="clear" w:color="auto" w:fill="DC281E"/>
            <w:vAlign w:val="center"/>
          </w:tcPr>
          <w:p w:rsidR="00BD2E34" w:rsidRPr="00061E79" w:rsidRDefault="00693642" w:rsidP="000A49C8">
            <w:pPr>
              <w:spacing w:before="60" w:after="60"/>
              <w:jc w:val="center"/>
              <w:rPr>
                <w:i/>
                <w:color w:val="FFFFFF" w:themeColor="background1"/>
                <w:sz w:val="18"/>
                <w:szCs w:val="18"/>
                <w:lang w:val="fr-FR"/>
              </w:rPr>
            </w:pPr>
            <w:r w:rsidRPr="00061E79">
              <w:rPr>
                <w:i/>
                <w:color w:val="FFFFFF" w:themeColor="background1"/>
                <w:sz w:val="18"/>
                <w:szCs w:val="18"/>
                <w:lang w:val="fr-FR"/>
              </w:rPr>
              <w:t>Moyenne</w:t>
            </w:r>
          </w:p>
        </w:tc>
        <w:tc>
          <w:tcPr>
            <w:tcW w:w="1059" w:type="dxa"/>
            <w:shd w:val="clear" w:color="auto" w:fill="DC281E"/>
            <w:vAlign w:val="center"/>
          </w:tcPr>
          <w:p w:rsidR="00BD2E34" w:rsidRPr="00061E79" w:rsidRDefault="00693642" w:rsidP="00693642">
            <w:pPr>
              <w:spacing w:before="60" w:after="60"/>
              <w:jc w:val="center"/>
              <w:rPr>
                <w:i/>
                <w:color w:val="FFFFFF" w:themeColor="background1"/>
                <w:sz w:val="18"/>
                <w:szCs w:val="18"/>
                <w:lang w:val="fr-FR"/>
              </w:rPr>
            </w:pPr>
            <w:r w:rsidRPr="00061E79">
              <w:rPr>
                <w:i/>
                <w:color w:val="FFFFFF" w:themeColor="background1"/>
                <w:sz w:val="18"/>
                <w:szCs w:val="18"/>
                <w:lang w:val="fr-FR"/>
              </w:rPr>
              <w:t>Élevée</w:t>
            </w:r>
          </w:p>
        </w:tc>
      </w:tr>
      <w:tr w:rsidR="00BD2E34" w:rsidRPr="00061E79" w:rsidTr="00693642">
        <w:trPr>
          <w:trHeight w:val="154"/>
          <w:jc w:val="center"/>
        </w:trPr>
        <w:tc>
          <w:tcPr>
            <w:tcW w:w="1429" w:type="dxa"/>
            <w:gridSpan w:val="3"/>
            <w:vMerge/>
            <w:tcBorders>
              <w:left w:val="nil"/>
              <w:bottom w:val="single" w:sz="2" w:space="0" w:color="auto"/>
            </w:tcBorders>
          </w:tcPr>
          <w:p w:rsidR="00BD2E34" w:rsidRPr="00061E79" w:rsidRDefault="00BD2E34" w:rsidP="000A49C8">
            <w:pPr>
              <w:spacing w:before="60" w:after="60"/>
              <w:rPr>
                <w:rFonts w:eastAsia="MS Mincho" w:cs="ArialMT"/>
                <w:sz w:val="18"/>
                <w:szCs w:val="18"/>
                <w:lang w:val="fr-FR"/>
              </w:rPr>
            </w:pPr>
          </w:p>
        </w:tc>
        <w:tc>
          <w:tcPr>
            <w:tcW w:w="939" w:type="dxa"/>
            <w:tcBorders>
              <w:bottom w:val="single" w:sz="2" w:space="0" w:color="auto"/>
            </w:tcBorders>
            <w:shd w:val="clear" w:color="auto" w:fill="DC281E"/>
            <w:vAlign w:val="center"/>
          </w:tcPr>
          <w:p w:rsidR="00BD2E34" w:rsidRPr="00061E79" w:rsidRDefault="00BD2E34" w:rsidP="000A49C8">
            <w:pPr>
              <w:spacing w:before="60" w:after="60"/>
              <w:jc w:val="center"/>
              <w:rPr>
                <w:color w:val="FFFFFF" w:themeColor="background1"/>
                <w:sz w:val="18"/>
                <w:szCs w:val="18"/>
                <w:lang w:val="fr-FR"/>
              </w:rPr>
            </w:pPr>
            <w:r w:rsidRPr="00061E79">
              <w:rPr>
                <w:color w:val="FFFFFF" w:themeColor="background1"/>
                <w:sz w:val="18"/>
                <w:szCs w:val="18"/>
                <w:lang w:val="fr-FR"/>
              </w:rPr>
              <w:t>1</w:t>
            </w:r>
          </w:p>
        </w:tc>
        <w:tc>
          <w:tcPr>
            <w:tcW w:w="957" w:type="dxa"/>
            <w:tcBorders>
              <w:bottom w:val="single" w:sz="2" w:space="0" w:color="auto"/>
            </w:tcBorders>
            <w:shd w:val="clear" w:color="auto" w:fill="DC281E"/>
            <w:vAlign w:val="center"/>
          </w:tcPr>
          <w:p w:rsidR="00BD2E34" w:rsidRPr="00061E79" w:rsidRDefault="00BD2E34" w:rsidP="000A49C8">
            <w:pPr>
              <w:spacing w:before="60" w:after="60"/>
              <w:jc w:val="center"/>
              <w:rPr>
                <w:color w:val="FFFFFF" w:themeColor="background1"/>
                <w:sz w:val="18"/>
                <w:szCs w:val="18"/>
                <w:lang w:val="fr-FR"/>
              </w:rPr>
            </w:pPr>
            <w:r w:rsidRPr="00061E79">
              <w:rPr>
                <w:color w:val="FFFFFF" w:themeColor="background1"/>
                <w:sz w:val="18"/>
                <w:szCs w:val="18"/>
                <w:lang w:val="fr-FR"/>
              </w:rPr>
              <w:t>2</w:t>
            </w:r>
          </w:p>
        </w:tc>
        <w:tc>
          <w:tcPr>
            <w:tcW w:w="1059" w:type="dxa"/>
            <w:tcBorders>
              <w:bottom w:val="single" w:sz="2" w:space="0" w:color="auto"/>
            </w:tcBorders>
            <w:shd w:val="clear" w:color="auto" w:fill="DC281E"/>
            <w:vAlign w:val="center"/>
          </w:tcPr>
          <w:p w:rsidR="00BD2E34" w:rsidRPr="00061E79" w:rsidRDefault="00BD2E34" w:rsidP="000A49C8">
            <w:pPr>
              <w:spacing w:before="60" w:after="60"/>
              <w:jc w:val="center"/>
              <w:rPr>
                <w:color w:val="FFFFFF" w:themeColor="background1"/>
                <w:sz w:val="18"/>
                <w:szCs w:val="18"/>
                <w:lang w:val="fr-FR"/>
              </w:rPr>
            </w:pPr>
            <w:r w:rsidRPr="00061E79">
              <w:rPr>
                <w:color w:val="FFFFFF" w:themeColor="background1"/>
                <w:sz w:val="18"/>
                <w:szCs w:val="18"/>
                <w:lang w:val="fr-FR"/>
              </w:rPr>
              <w:t>3</w:t>
            </w:r>
          </w:p>
        </w:tc>
      </w:tr>
      <w:tr w:rsidR="00BD2E34" w:rsidRPr="00061E79" w:rsidTr="00693642">
        <w:trPr>
          <w:cantSplit/>
          <w:trHeight w:val="820"/>
          <w:jc w:val="center"/>
        </w:trPr>
        <w:tc>
          <w:tcPr>
            <w:tcW w:w="693" w:type="dxa"/>
            <w:vMerge w:val="restart"/>
            <w:shd w:val="clear" w:color="auto" w:fill="A6A6A6"/>
            <w:textDirection w:val="btLr"/>
            <w:vAlign w:val="center"/>
          </w:tcPr>
          <w:p w:rsidR="00BD2E34" w:rsidRPr="00061E79" w:rsidRDefault="00693642" w:rsidP="000A49C8">
            <w:pPr>
              <w:spacing w:before="60" w:after="60"/>
              <w:jc w:val="center"/>
              <w:rPr>
                <w:b/>
                <w:sz w:val="18"/>
                <w:szCs w:val="18"/>
                <w:lang w:val="fr-FR"/>
              </w:rPr>
            </w:pPr>
            <w:r w:rsidRPr="00061E79">
              <w:rPr>
                <w:b/>
                <w:sz w:val="18"/>
                <w:szCs w:val="18"/>
                <w:lang w:val="fr-FR"/>
              </w:rPr>
              <w:t>Probabilité et impact potentiel</w:t>
            </w:r>
            <w:r w:rsidR="00023EAF" w:rsidRPr="00061E79">
              <w:rPr>
                <w:b/>
                <w:sz w:val="18"/>
                <w:szCs w:val="18"/>
                <w:lang w:val="fr-FR"/>
              </w:rPr>
              <w:t xml:space="preserve"> du scénario</w:t>
            </w:r>
          </w:p>
        </w:tc>
        <w:tc>
          <w:tcPr>
            <w:tcW w:w="338" w:type="dxa"/>
            <w:shd w:val="clear" w:color="auto" w:fill="A6A6A6"/>
            <w:textDirection w:val="btLr"/>
            <w:vAlign w:val="center"/>
          </w:tcPr>
          <w:p w:rsidR="00BD2E34" w:rsidRPr="00061E79" w:rsidRDefault="00693642" w:rsidP="00693642">
            <w:pPr>
              <w:spacing w:before="60" w:after="60"/>
              <w:jc w:val="center"/>
              <w:rPr>
                <w:i/>
                <w:sz w:val="18"/>
                <w:szCs w:val="18"/>
                <w:lang w:val="fr-FR"/>
              </w:rPr>
            </w:pPr>
            <w:r w:rsidRPr="00061E79">
              <w:rPr>
                <w:i/>
                <w:sz w:val="18"/>
                <w:szCs w:val="18"/>
                <w:lang w:val="fr-FR"/>
              </w:rPr>
              <w:t>Élevés</w:t>
            </w:r>
          </w:p>
        </w:tc>
        <w:tc>
          <w:tcPr>
            <w:tcW w:w="397" w:type="dxa"/>
            <w:shd w:val="clear" w:color="auto" w:fill="A6A6A6"/>
            <w:vAlign w:val="center"/>
          </w:tcPr>
          <w:p w:rsidR="00BD2E34" w:rsidRPr="00061E79" w:rsidRDefault="00BD2E34" w:rsidP="000A49C8">
            <w:pPr>
              <w:spacing w:before="60" w:after="60"/>
              <w:rPr>
                <w:sz w:val="18"/>
                <w:szCs w:val="18"/>
                <w:lang w:val="fr-FR"/>
              </w:rPr>
            </w:pPr>
            <w:r w:rsidRPr="00061E79">
              <w:rPr>
                <w:sz w:val="18"/>
                <w:szCs w:val="18"/>
                <w:lang w:val="fr-FR"/>
              </w:rPr>
              <w:t>3</w:t>
            </w:r>
          </w:p>
        </w:tc>
        <w:tc>
          <w:tcPr>
            <w:tcW w:w="939" w:type="dxa"/>
            <w:shd w:val="clear" w:color="auto" w:fill="E6E6E6"/>
            <w:vAlign w:val="center"/>
          </w:tcPr>
          <w:p w:rsidR="00BD2E34" w:rsidRPr="00061E79" w:rsidRDefault="00BD2E34" w:rsidP="000A49C8">
            <w:pPr>
              <w:spacing w:before="60" w:after="60"/>
              <w:jc w:val="center"/>
              <w:rPr>
                <w:sz w:val="18"/>
                <w:szCs w:val="18"/>
                <w:lang w:val="fr-FR"/>
              </w:rPr>
            </w:pPr>
            <w:r w:rsidRPr="00061E79">
              <w:rPr>
                <w:sz w:val="18"/>
                <w:szCs w:val="18"/>
                <w:lang w:val="fr-FR"/>
              </w:rPr>
              <w:t>3</w:t>
            </w:r>
          </w:p>
        </w:tc>
        <w:tc>
          <w:tcPr>
            <w:tcW w:w="957" w:type="dxa"/>
            <w:shd w:val="clear" w:color="auto" w:fill="E6E6E6"/>
            <w:vAlign w:val="center"/>
          </w:tcPr>
          <w:p w:rsidR="00BD2E34" w:rsidRPr="00061E79" w:rsidRDefault="00BD2E34" w:rsidP="000A49C8">
            <w:pPr>
              <w:spacing w:before="60" w:after="60"/>
              <w:jc w:val="center"/>
              <w:rPr>
                <w:sz w:val="18"/>
                <w:szCs w:val="18"/>
                <w:lang w:val="fr-FR"/>
              </w:rPr>
            </w:pPr>
            <w:r w:rsidRPr="00061E79">
              <w:rPr>
                <w:sz w:val="18"/>
                <w:szCs w:val="18"/>
                <w:lang w:val="fr-FR"/>
              </w:rPr>
              <w:t>6</w:t>
            </w:r>
          </w:p>
        </w:tc>
        <w:tc>
          <w:tcPr>
            <w:tcW w:w="1059" w:type="dxa"/>
            <w:shd w:val="clear" w:color="auto" w:fill="E6E6E6"/>
            <w:vAlign w:val="center"/>
          </w:tcPr>
          <w:p w:rsidR="00BD2E34" w:rsidRPr="00061E79" w:rsidRDefault="00BD2E34" w:rsidP="000A49C8">
            <w:pPr>
              <w:spacing w:before="60" w:after="60"/>
              <w:jc w:val="center"/>
              <w:rPr>
                <w:sz w:val="18"/>
                <w:szCs w:val="18"/>
                <w:lang w:val="fr-FR"/>
              </w:rPr>
            </w:pPr>
            <w:r w:rsidRPr="00061E79">
              <w:rPr>
                <w:sz w:val="18"/>
                <w:szCs w:val="18"/>
                <w:lang w:val="fr-FR"/>
              </w:rPr>
              <w:t>9</w:t>
            </w:r>
          </w:p>
        </w:tc>
      </w:tr>
      <w:tr w:rsidR="00BD2E34" w:rsidRPr="00061E79" w:rsidTr="00693642">
        <w:trPr>
          <w:cantSplit/>
          <w:trHeight w:val="860"/>
          <w:jc w:val="center"/>
        </w:trPr>
        <w:tc>
          <w:tcPr>
            <w:tcW w:w="693" w:type="dxa"/>
            <w:vMerge/>
            <w:shd w:val="clear" w:color="auto" w:fill="A6A6A6"/>
          </w:tcPr>
          <w:p w:rsidR="00BD2E34" w:rsidRPr="00061E79" w:rsidRDefault="00BD2E34" w:rsidP="000A49C8">
            <w:pPr>
              <w:spacing w:before="60" w:after="60"/>
              <w:rPr>
                <w:rFonts w:eastAsia="MS Mincho" w:cs="ArialMT"/>
                <w:sz w:val="18"/>
                <w:szCs w:val="18"/>
                <w:lang w:val="fr-FR"/>
              </w:rPr>
            </w:pPr>
          </w:p>
        </w:tc>
        <w:tc>
          <w:tcPr>
            <w:tcW w:w="338" w:type="dxa"/>
            <w:shd w:val="clear" w:color="auto" w:fill="A6A6A6"/>
            <w:textDirection w:val="btLr"/>
            <w:vAlign w:val="center"/>
          </w:tcPr>
          <w:p w:rsidR="00BD2E34" w:rsidRPr="00061E79" w:rsidRDefault="00693642" w:rsidP="00693642">
            <w:pPr>
              <w:spacing w:before="60" w:after="60"/>
              <w:jc w:val="center"/>
              <w:rPr>
                <w:i/>
                <w:sz w:val="18"/>
                <w:szCs w:val="18"/>
                <w:lang w:val="fr-FR"/>
              </w:rPr>
            </w:pPr>
            <w:r w:rsidRPr="00061E79">
              <w:rPr>
                <w:i/>
                <w:sz w:val="18"/>
                <w:szCs w:val="18"/>
                <w:lang w:val="fr-FR"/>
              </w:rPr>
              <w:t>Moyens</w:t>
            </w:r>
          </w:p>
        </w:tc>
        <w:tc>
          <w:tcPr>
            <w:tcW w:w="397" w:type="dxa"/>
            <w:shd w:val="clear" w:color="auto" w:fill="A6A6A6"/>
            <w:vAlign w:val="center"/>
          </w:tcPr>
          <w:p w:rsidR="00BD2E34" w:rsidRPr="00061E79" w:rsidRDefault="00BD2E34" w:rsidP="000A49C8">
            <w:pPr>
              <w:spacing w:before="60" w:after="60"/>
              <w:rPr>
                <w:sz w:val="18"/>
                <w:szCs w:val="18"/>
                <w:lang w:val="fr-FR"/>
              </w:rPr>
            </w:pPr>
            <w:r w:rsidRPr="00061E79">
              <w:rPr>
                <w:sz w:val="18"/>
                <w:szCs w:val="18"/>
                <w:lang w:val="fr-FR"/>
              </w:rPr>
              <w:t>2</w:t>
            </w:r>
          </w:p>
        </w:tc>
        <w:tc>
          <w:tcPr>
            <w:tcW w:w="939" w:type="dxa"/>
            <w:shd w:val="clear" w:color="auto" w:fill="E6E6E6"/>
            <w:vAlign w:val="center"/>
          </w:tcPr>
          <w:p w:rsidR="00BD2E34" w:rsidRPr="00061E79" w:rsidRDefault="00BD2E34" w:rsidP="000A49C8">
            <w:pPr>
              <w:spacing w:before="60" w:after="60"/>
              <w:jc w:val="center"/>
              <w:rPr>
                <w:sz w:val="18"/>
                <w:szCs w:val="18"/>
                <w:lang w:val="fr-FR"/>
              </w:rPr>
            </w:pPr>
            <w:r w:rsidRPr="00061E79">
              <w:rPr>
                <w:sz w:val="18"/>
                <w:szCs w:val="18"/>
                <w:lang w:val="fr-FR"/>
              </w:rPr>
              <w:t>2</w:t>
            </w:r>
          </w:p>
        </w:tc>
        <w:tc>
          <w:tcPr>
            <w:tcW w:w="957" w:type="dxa"/>
            <w:shd w:val="clear" w:color="auto" w:fill="E6E6E6"/>
            <w:vAlign w:val="center"/>
          </w:tcPr>
          <w:p w:rsidR="00BD2E34" w:rsidRPr="00061E79" w:rsidRDefault="00BD2E34" w:rsidP="000A49C8">
            <w:pPr>
              <w:spacing w:before="60" w:after="60"/>
              <w:jc w:val="center"/>
              <w:rPr>
                <w:sz w:val="18"/>
                <w:szCs w:val="18"/>
                <w:lang w:val="fr-FR"/>
              </w:rPr>
            </w:pPr>
            <w:r w:rsidRPr="00061E79">
              <w:rPr>
                <w:sz w:val="18"/>
                <w:szCs w:val="18"/>
                <w:lang w:val="fr-FR"/>
              </w:rPr>
              <w:t>4</w:t>
            </w:r>
          </w:p>
        </w:tc>
        <w:tc>
          <w:tcPr>
            <w:tcW w:w="1059" w:type="dxa"/>
            <w:shd w:val="clear" w:color="auto" w:fill="E6E6E6"/>
            <w:vAlign w:val="center"/>
          </w:tcPr>
          <w:p w:rsidR="00BD2E34" w:rsidRPr="00061E79" w:rsidRDefault="00BD2E34" w:rsidP="000A49C8">
            <w:pPr>
              <w:spacing w:before="60" w:after="60"/>
              <w:jc w:val="center"/>
              <w:rPr>
                <w:sz w:val="18"/>
                <w:szCs w:val="18"/>
                <w:lang w:val="fr-FR"/>
              </w:rPr>
            </w:pPr>
            <w:r w:rsidRPr="00061E79">
              <w:rPr>
                <w:sz w:val="18"/>
                <w:szCs w:val="18"/>
                <w:lang w:val="fr-FR"/>
              </w:rPr>
              <w:t>6</w:t>
            </w:r>
          </w:p>
        </w:tc>
      </w:tr>
      <w:tr w:rsidR="00BD2E34" w:rsidRPr="00061E79" w:rsidTr="006D32C4">
        <w:trPr>
          <w:cantSplit/>
          <w:trHeight w:val="730"/>
          <w:jc w:val="center"/>
        </w:trPr>
        <w:tc>
          <w:tcPr>
            <w:tcW w:w="693" w:type="dxa"/>
            <w:vMerge/>
            <w:shd w:val="clear" w:color="auto" w:fill="A6A6A6"/>
          </w:tcPr>
          <w:p w:rsidR="00BD2E34" w:rsidRPr="00061E79" w:rsidRDefault="00BD2E34" w:rsidP="000A49C8">
            <w:pPr>
              <w:spacing w:before="60" w:after="60"/>
              <w:rPr>
                <w:rFonts w:eastAsia="MS Mincho" w:cs="ArialMT"/>
                <w:sz w:val="18"/>
                <w:szCs w:val="18"/>
                <w:lang w:val="fr-FR"/>
              </w:rPr>
            </w:pPr>
          </w:p>
        </w:tc>
        <w:tc>
          <w:tcPr>
            <w:tcW w:w="338" w:type="dxa"/>
            <w:shd w:val="clear" w:color="auto" w:fill="A6A6A6"/>
            <w:textDirection w:val="btLr"/>
            <w:vAlign w:val="center"/>
          </w:tcPr>
          <w:p w:rsidR="00BD2E34" w:rsidRPr="00061E79" w:rsidRDefault="00693642" w:rsidP="00693642">
            <w:pPr>
              <w:spacing w:before="60" w:after="60"/>
              <w:jc w:val="center"/>
              <w:rPr>
                <w:i/>
                <w:sz w:val="18"/>
                <w:szCs w:val="18"/>
                <w:lang w:val="fr-FR"/>
              </w:rPr>
            </w:pPr>
            <w:r w:rsidRPr="00061E79">
              <w:rPr>
                <w:i/>
                <w:sz w:val="18"/>
                <w:szCs w:val="18"/>
                <w:lang w:val="fr-FR"/>
              </w:rPr>
              <w:t>Faibles</w:t>
            </w:r>
          </w:p>
        </w:tc>
        <w:tc>
          <w:tcPr>
            <w:tcW w:w="397" w:type="dxa"/>
            <w:shd w:val="clear" w:color="auto" w:fill="A6A6A6"/>
            <w:vAlign w:val="center"/>
          </w:tcPr>
          <w:p w:rsidR="00BD2E34" w:rsidRPr="00061E79" w:rsidRDefault="00BD2E34" w:rsidP="000A49C8">
            <w:pPr>
              <w:spacing w:before="60" w:after="60"/>
              <w:rPr>
                <w:sz w:val="18"/>
                <w:szCs w:val="18"/>
                <w:lang w:val="fr-FR"/>
              </w:rPr>
            </w:pPr>
            <w:r w:rsidRPr="00061E79">
              <w:rPr>
                <w:sz w:val="18"/>
                <w:szCs w:val="18"/>
                <w:lang w:val="fr-FR"/>
              </w:rPr>
              <w:t>1</w:t>
            </w:r>
          </w:p>
        </w:tc>
        <w:tc>
          <w:tcPr>
            <w:tcW w:w="939" w:type="dxa"/>
            <w:shd w:val="clear" w:color="auto" w:fill="E6E6E6"/>
            <w:vAlign w:val="center"/>
          </w:tcPr>
          <w:p w:rsidR="00BD2E34" w:rsidRPr="00061E79" w:rsidRDefault="00BD2E34" w:rsidP="000A49C8">
            <w:pPr>
              <w:spacing w:before="60" w:after="60"/>
              <w:jc w:val="center"/>
              <w:rPr>
                <w:sz w:val="18"/>
                <w:szCs w:val="18"/>
                <w:lang w:val="fr-FR"/>
              </w:rPr>
            </w:pPr>
            <w:r w:rsidRPr="00061E79">
              <w:rPr>
                <w:sz w:val="18"/>
                <w:szCs w:val="18"/>
                <w:lang w:val="fr-FR"/>
              </w:rPr>
              <w:t>1</w:t>
            </w:r>
          </w:p>
        </w:tc>
        <w:tc>
          <w:tcPr>
            <w:tcW w:w="957" w:type="dxa"/>
            <w:shd w:val="clear" w:color="auto" w:fill="E6E6E6"/>
            <w:vAlign w:val="center"/>
          </w:tcPr>
          <w:p w:rsidR="00BD2E34" w:rsidRPr="00061E79" w:rsidRDefault="00BD2E34" w:rsidP="000A49C8">
            <w:pPr>
              <w:spacing w:before="60" w:after="60"/>
              <w:jc w:val="center"/>
              <w:rPr>
                <w:sz w:val="18"/>
                <w:szCs w:val="18"/>
                <w:lang w:val="fr-FR"/>
              </w:rPr>
            </w:pPr>
            <w:r w:rsidRPr="00061E79">
              <w:rPr>
                <w:sz w:val="18"/>
                <w:szCs w:val="18"/>
                <w:lang w:val="fr-FR"/>
              </w:rPr>
              <w:t>2</w:t>
            </w:r>
          </w:p>
        </w:tc>
        <w:tc>
          <w:tcPr>
            <w:tcW w:w="1059" w:type="dxa"/>
            <w:shd w:val="clear" w:color="auto" w:fill="E6E6E6"/>
            <w:vAlign w:val="center"/>
          </w:tcPr>
          <w:p w:rsidR="00BD2E34" w:rsidRPr="00061E79" w:rsidRDefault="00BD2E34" w:rsidP="000A49C8">
            <w:pPr>
              <w:spacing w:before="60" w:after="60"/>
              <w:jc w:val="center"/>
              <w:rPr>
                <w:sz w:val="18"/>
                <w:szCs w:val="18"/>
                <w:lang w:val="fr-FR"/>
              </w:rPr>
            </w:pPr>
            <w:r w:rsidRPr="00061E79">
              <w:rPr>
                <w:sz w:val="18"/>
                <w:szCs w:val="18"/>
                <w:lang w:val="fr-FR"/>
              </w:rPr>
              <w:t>3</w:t>
            </w:r>
          </w:p>
        </w:tc>
      </w:tr>
    </w:tbl>
    <w:p w:rsidR="006D32C4" w:rsidRPr="00061E79" w:rsidRDefault="006D32C4" w:rsidP="00EE036E">
      <w:pPr>
        <w:pStyle w:val="Heading3"/>
        <w:spacing w:before="600"/>
        <w:rPr>
          <w:lang w:val="fr-FR"/>
        </w:rPr>
      </w:pPr>
      <w:r w:rsidRPr="00061E79">
        <w:rPr>
          <w:lang w:val="fr-FR"/>
        </w:rPr>
        <w:t xml:space="preserve">Autres facteurs pouvant être pris en compte </w:t>
      </w:r>
      <w:r w:rsidR="0049417C" w:rsidRPr="00061E79">
        <w:rPr>
          <w:lang w:val="fr-FR"/>
        </w:rPr>
        <w:t>dans</w:t>
      </w:r>
      <w:r w:rsidRPr="00061E79">
        <w:rPr>
          <w:lang w:val="fr-FR"/>
        </w:rPr>
        <w:t xml:space="preserve"> </w:t>
      </w:r>
      <w:bookmarkStart w:id="0" w:name="_GoBack"/>
      <w:bookmarkEnd w:id="0"/>
      <w:r w:rsidRPr="00061E79">
        <w:rPr>
          <w:lang w:val="fr-FR"/>
        </w:rPr>
        <w:t>la sélection des marchés de référence :</w:t>
      </w:r>
    </w:p>
    <w:p w:rsidR="006D32C4" w:rsidRPr="00061E79" w:rsidRDefault="006D32C4" w:rsidP="004D6405">
      <w:pPr>
        <w:pStyle w:val="Bullet2"/>
        <w:rPr>
          <w:i/>
          <w:lang w:val="fr-FR"/>
        </w:rPr>
      </w:pPr>
      <w:r w:rsidRPr="00061E79">
        <w:rPr>
          <w:i/>
          <w:lang w:val="fr-FR"/>
        </w:rPr>
        <w:t>la compatibilité avec les caractéristiques de l’organisme (</w:t>
      </w:r>
      <w:r w:rsidR="007E0AF6" w:rsidRPr="00061E79">
        <w:rPr>
          <w:i/>
          <w:lang w:val="fr-FR"/>
        </w:rPr>
        <w:t>mandat, compétences et</w:t>
      </w:r>
      <w:r w:rsidRPr="00061E79">
        <w:rPr>
          <w:i/>
          <w:lang w:val="fr-FR"/>
        </w:rPr>
        <w:t xml:space="preserve"> capacités) ;</w:t>
      </w:r>
    </w:p>
    <w:p w:rsidR="00EE6DC4" w:rsidRPr="00061E79" w:rsidRDefault="006D32C4" w:rsidP="006D32C4">
      <w:pPr>
        <w:pStyle w:val="Bullet2"/>
        <w:rPr>
          <w:i/>
          <w:lang w:val="fr-FR"/>
        </w:rPr>
      </w:pPr>
      <w:r w:rsidRPr="00061E79">
        <w:rPr>
          <w:i/>
          <w:lang w:val="fr-FR"/>
        </w:rPr>
        <w:t>la complémentarité avec les politiques et les programmes gouvernementaux (présence, capacités et couverture)</w:t>
      </w:r>
      <w:r w:rsidR="00EE6DC4" w:rsidRPr="00061E79">
        <w:rPr>
          <w:lang w:val="fr-FR"/>
        </w:rPr>
        <w:br w:type="page"/>
      </w:r>
    </w:p>
    <w:p w:rsidR="00BD2E34" w:rsidRPr="00061E79" w:rsidRDefault="00286C82" w:rsidP="005167FA">
      <w:pPr>
        <w:pStyle w:val="Heading2"/>
        <w:rPr>
          <w:lang w:val="fr-FR"/>
        </w:rPr>
      </w:pPr>
      <w:r w:rsidRPr="00061E79">
        <w:rPr>
          <w:lang w:val="fr-FR"/>
        </w:rPr>
        <w:lastRenderedPageBreak/>
        <w:t>OUTIl</w:t>
      </w:r>
      <w:r w:rsidR="00F667EA" w:rsidRPr="00061E79">
        <w:rPr>
          <w:lang w:val="fr-FR"/>
        </w:rPr>
        <w:t xml:space="preserve"> 2</w:t>
      </w:r>
      <w:r w:rsidR="007F5C88" w:rsidRPr="00061E79">
        <w:rPr>
          <w:lang w:val="fr-FR"/>
        </w:rPr>
        <w:t> </w:t>
      </w:r>
      <w:r w:rsidR="00F667EA" w:rsidRPr="00061E79">
        <w:rPr>
          <w:lang w:val="fr-FR"/>
        </w:rPr>
        <w:t>:</w:t>
      </w:r>
      <w:r w:rsidR="005167FA" w:rsidRPr="00061E79">
        <w:rPr>
          <w:lang w:val="fr-FR"/>
        </w:rPr>
        <w:tab/>
      </w:r>
      <w:r w:rsidR="00DE14DC" w:rsidRPr="00061E79">
        <w:rPr>
          <w:lang w:val="fr-FR"/>
        </w:rPr>
        <w:t>cartographie</w:t>
      </w:r>
      <w:r w:rsidR="001F04C6" w:rsidRPr="00061E79">
        <w:rPr>
          <w:lang w:val="fr-FR"/>
        </w:rPr>
        <w:t xml:space="preserve"> DES MARCHÉS DE RÉFÉRENCE</w:t>
      </w:r>
    </w:p>
    <w:p w:rsidR="00BD2E34" w:rsidRPr="00061E79" w:rsidRDefault="007F5C88" w:rsidP="00E402EF">
      <w:pPr>
        <w:pStyle w:val="Heading3"/>
        <w:rPr>
          <w:lang w:val="fr-FR"/>
        </w:rPr>
      </w:pPr>
      <w:r w:rsidRPr="00061E79">
        <w:rPr>
          <w:lang w:val="fr-FR"/>
        </w:rPr>
        <w:t>But</w:t>
      </w:r>
    </w:p>
    <w:p w:rsidR="00BD2E34" w:rsidRPr="00061E79" w:rsidRDefault="007F5C88" w:rsidP="00E76585">
      <w:pPr>
        <w:rPr>
          <w:lang w:val="fr-FR"/>
        </w:rPr>
      </w:pPr>
      <w:r w:rsidRPr="00061E79">
        <w:rPr>
          <w:lang w:val="fr-FR"/>
        </w:rPr>
        <w:t>Cet outil vous aidera à </w:t>
      </w:r>
      <w:r w:rsidR="00BD2E34" w:rsidRPr="00061E79">
        <w:rPr>
          <w:lang w:val="fr-FR"/>
        </w:rPr>
        <w:t>:</w:t>
      </w:r>
    </w:p>
    <w:p w:rsidR="001F04C6" w:rsidRPr="00061E79" w:rsidRDefault="001F04C6" w:rsidP="004D6405">
      <w:pPr>
        <w:pStyle w:val="Bullet2"/>
        <w:rPr>
          <w:lang w:val="fr-FR"/>
        </w:rPr>
      </w:pPr>
      <w:r w:rsidRPr="00061E79">
        <w:rPr>
          <w:lang w:val="fr-FR"/>
        </w:rPr>
        <w:t>é</w:t>
      </w:r>
      <w:r w:rsidR="007E0AF6" w:rsidRPr="00061E79">
        <w:rPr>
          <w:lang w:val="fr-FR"/>
        </w:rPr>
        <w:t>laborer</w:t>
      </w:r>
      <w:r w:rsidR="00DE14DC" w:rsidRPr="00061E79">
        <w:rPr>
          <w:lang w:val="fr-FR"/>
        </w:rPr>
        <w:t xml:space="preserve"> des cartes de référence des marchés </w:t>
      </w:r>
      <w:r w:rsidRPr="00061E79">
        <w:rPr>
          <w:lang w:val="fr-FR"/>
        </w:rPr>
        <w:t>;</w:t>
      </w:r>
    </w:p>
    <w:p w:rsidR="00BD2E34" w:rsidRPr="00061E79" w:rsidRDefault="001F04C6" w:rsidP="004D6405">
      <w:pPr>
        <w:pStyle w:val="Bullet2"/>
        <w:rPr>
          <w:lang w:val="fr-FR"/>
        </w:rPr>
      </w:pPr>
      <w:r w:rsidRPr="00061E79">
        <w:rPr>
          <w:lang w:val="fr-FR"/>
        </w:rPr>
        <w:t xml:space="preserve">réduire le temps nécessaire pour </w:t>
      </w:r>
      <w:r w:rsidR="00023EAF" w:rsidRPr="00061E79">
        <w:rPr>
          <w:lang w:val="fr-FR"/>
        </w:rPr>
        <w:t>effectuer</w:t>
      </w:r>
      <w:r w:rsidRPr="00061E79">
        <w:rPr>
          <w:lang w:val="fr-FR"/>
        </w:rPr>
        <w:t xml:space="preserve"> une analyse du marché et prendre</w:t>
      </w:r>
      <w:r w:rsidR="00023EAF" w:rsidRPr="00061E79">
        <w:rPr>
          <w:lang w:val="fr-FR"/>
        </w:rPr>
        <w:t xml:space="preserve"> l</w:t>
      </w:r>
      <w:r w:rsidR="004E034D" w:rsidRPr="00061E79">
        <w:rPr>
          <w:lang w:val="fr-FR"/>
        </w:rPr>
        <w:t>es décisions</w:t>
      </w:r>
      <w:r w:rsidR="00023EAF" w:rsidRPr="00061E79">
        <w:rPr>
          <w:lang w:val="fr-FR"/>
        </w:rPr>
        <w:t xml:space="preserve"> relatives à une intervention</w:t>
      </w:r>
      <w:r w:rsidR="004E034D" w:rsidRPr="00061E79">
        <w:rPr>
          <w:lang w:val="fr-FR"/>
        </w:rPr>
        <w:t xml:space="preserve"> à la suite d’un choc ;</w:t>
      </w:r>
      <w:r w:rsidRPr="00061E79">
        <w:rPr>
          <w:lang w:val="fr-FR"/>
        </w:rPr>
        <w:t xml:space="preserve"> </w:t>
      </w:r>
    </w:p>
    <w:p w:rsidR="00BD2E34" w:rsidRPr="00061E79" w:rsidRDefault="004E034D" w:rsidP="007F5C88">
      <w:pPr>
        <w:pStyle w:val="Bullet2"/>
        <w:rPr>
          <w:lang w:val="fr-FR"/>
        </w:rPr>
      </w:pPr>
      <w:r w:rsidRPr="00061E79">
        <w:rPr>
          <w:lang w:val="fr-FR"/>
        </w:rPr>
        <w:t>prévoir les conséquences d’un choc potentiel sur les systèmes de marché essentiels dans un scénario donné.</w:t>
      </w:r>
    </w:p>
    <w:p w:rsidR="00BD2E34" w:rsidRPr="00061E79" w:rsidRDefault="007E0AF6" w:rsidP="00E402EF">
      <w:pPr>
        <w:pStyle w:val="Heading3"/>
        <w:rPr>
          <w:lang w:val="fr-FR"/>
        </w:rPr>
      </w:pPr>
      <w:r w:rsidRPr="00061E79">
        <w:rPr>
          <w:lang w:val="fr-FR"/>
        </w:rPr>
        <w:t>Comment élaborer une carte</w:t>
      </w:r>
      <w:r w:rsidR="00023EAF" w:rsidRPr="00061E79">
        <w:rPr>
          <w:lang w:val="fr-FR"/>
        </w:rPr>
        <w:t xml:space="preserve"> de référence</w:t>
      </w:r>
      <w:r w:rsidRPr="00061E79">
        <w:rPr>
          <w:lang w:val="fr-FR"/>
        </w:rPr>
        <w:t xml:space="preserve"> des marchés </w:t>
      </w:r>
    </w:p>
    <w:p w:rsidR="001F04C6" w:rsidRPr="00061E79" w:rsidRDefault="008026AA" w:rsidP="00B72DDD">
      <w:pPr>
        <w:rPr>
          <w:lang w:val="fr-FR"/>
        </w:rPr>
      </w:pPr>
      <w:r w:rsidRPr="00061E79">
        <w:rPr>
          <w:lang w:val="fr-FR"/>
        </w:rPr>
        <w:t>Cet outil a été adapté de l’outil</w:t>
      </w:r>
      <w:r w:rsidR="00BD2E34" w:rsidRPr="00061E79">
        <w:rPr>
          <w:lang w:val="fr-FR"/>
        </w:rPr>
        <w:t xml:space="preserve"> 1.4</w:t>
      </w:r>
      <w:r w:rsidRPr="00061E79">
        <w:rPr>
          <w:lang w:val="fr-FR"/>
        </w:rPr>
        <w:t xml:space="preserve"> intitulé </w:t>
      </w:r>
      <w:r w:rsidR="001F04C6" w:rsidRPr="00061E79">
        <w:rPr>
          <w:lang w:val="fr-FR"/>
        </w:rPr>
        <w:t>« </w:t>
      </w:r>
      <w:r w:rsidR="00023EAF" w:rsidRPr="00061E79">
        <w:rPr>
          <w:lang w:val="fr-FR"/>
        </w:rPr>
        <w:t>Cartographie des marchés »</w:t>
      </w:r>
      <w:r w:rsidR="00B72DDD" w:rsidRPr="00061E79">
        <w:rPr>
          <w:lang w:val="fr-FR"/>
        </w:rPr>
        <w:t>, qui est</w:t>
      </w:r>
      <w:r w:rsidR="00023EAF" w:rsidRPr="00061E79">
        <w:rPr>
          <w:lang w:val="fr-FR"/>
        </w:rPr>
        <w:t xml:space="preserve"> tiré </w:t>
      </w:r>
      <w:r w:rsidR="007E0AF6" w:rsidRPr="00061E79">
        <w:rPr>
          <w:lang w:val="fr-FR"/>
        </w:rPr>
        <w:t xml:space="preserve">du chapitre 1 </w:t>
      </w:r>
      <w:r w:rsidR="00B72DDD" w:rsidRPr="00061E79">
        <w:rPr>
          <w:lang w:val="fr-FR"/>
        </w:rPr>
        <w:t xml:space="preserve">du Guide pour l’analyse des marchés, </w:t>
      </w:r>
      <w:r w:rsidR="007E0AF6" w:rsidRPr="00061E79">
        <w:rPr>
          <w:lang w:val="fr-FR"/>
        </w:rPr>
        <w:t xml:space="preserve">consacré à l’évaluation. Il </w:t>
      </w:r>
      <w:r w:rsidR="00B72DDD" w:rsidRPr="00061E79">
        <w:rPr>
          <w:lang w:val="fr-FR"/>
        </w:rPr>
        <w:t>donne des instructions</w:t>
      </w:r>
      <w:r w:rsidR="007E0AF6" w:rsidRPr="00061E79">
        <w:rPr>
          <w:lang w:val="fr-FR"/>
        </w:rPr>
        <w:t xml:space="preserve"> sur l’élaboration de cartes de référence.</w:t>
      </w:r>
    </w:p>
    <w:p w:rsidR="007E0AF6" w:rsidRPr="00061E79" w:rsidRDefault="007E0AF6" w:rsidP="00E76585">
      <w:pPr>
        <w:rPr>
          <w:lang w:val="fr-FR"/>
        </w:rPr>
      </w:pPr>
      <w:r w:rsidRPr="00061E79">
        <w:rPr>
          <w:lang w:val="fr-FR"/>
        </w:rPr>
        <w:t xml:space="preserve">Les marchés de référence peuvent être représentés </w:t>
      </w:r>
      <w:r w:rsidR="00DE14DC" w:rsidRPr="00061E79">
        <w:rPr>
          <w:lang w:val="fr-FR"/>
        </w:rPr>
        <w:t>graphiquement</w:t>
      </w:r>
      <w:r w:rsidRPr="00061E79">
        <w:rPr>
          <w:lang w:val="fr-FR"/>
        </w:rPr>
        <w:t xml:space="preserve"> par trois </w:t>
      </w:r>
      <w:r w:rsidR="00DE14DC" w:rsidRPr="00061E79">
        <w:rPr>
          <w:lang w:val="fr-FR"/>
        </w:rPr>
        <w:t>éléments</w:t>
      </w:r>
      <w:r w:rsidRPr="00061E79">
        <w:rPr>
          <w:lang w:val="fr-FR"/>
        </w:rPr>
        <w:t xml:space="preserve"> linéaires : i) la chaîne de </w:t>
      </w:r>
      <w:r w:rsidR="00DE14DC" w:rsidRPr="00061E79">
        <w:rPr>
          <w:lang w:val="fr-FR"/>
        </w:rPr>
        <w:t>commercialisation</w:t>
      </w:r>
      <w:r w:rsidRPr="00061E79">
        <w:rPr>
          <w:lang w:val="fr-FR"/>
        </w:rPr>
        <w:t> ;</w:t>
      </w:r>
      <w:r w:rsidR="00DE14DC" w:rsidRPr="00061E79">
        <w:rPr>
          <w:lang w:val="fr-FR"/>
        </w:rPr>
        <w:t xml:space="preserve"> ii) l’infrastructure</w:t>
      </w:r>
      <w:r w:rsidRPr="00061E79">
        <w:rPr>
          <w:lang w:val="fr-FR"/>
        </w:rPr>
        <w:t xml:space="preserve"> et les services de soutien ;</w:t>
      </w:r>
      <w:r w:rsidR="00DE14DC" w:rsidRPr="00061E79">
        <w:rPr>
          <w:lang w:val="fr-FR"/>
        </w:rPr>
        <w:t xml:space="preserve"> et</w:t>
      </w:r>
      <w:r w:rsidRPr="00061E79">
        <w:rPr>
          <w:lang w:val="fr-FR"/>
        </w:rPr>
        <w:t xml:space="preserve"> iii) l’environnement externe.</w:t>
      </w:r>
    </w:p>
    <w:p w:rsidR="00BD2E34" w:rsidRPr="00061E79" w:rsidRDefault="00233E01" w:rsidP="006853D4">
      <w:pPr>
        <w:pStyle w:val="Heading4"/>
        <w:rPr>
          <w:lang w:val="fr-FR"/>
        </w:rPr>
      </w:pPr>
      <w:r w:rsidRPr="00061E79">
        <w:rPr>
          <w:lang w:val="fr-FR"/>
        </w:rPr>
        <w:t xml:space="preserve">i) </w:t>
      </w:r>
      <w:r w:rsidR="007E0AF6" w:rsidRPr="00061E79">
        <w:rPr>
          <w:lang w:val="fr-FR"/>
        </w:rPr>
        <w:t xml:space="preserve">La </w:t>
      </w:r>
      <w:r w:rsidR="00DE14DC" w:rsidRPr="00061E79">
        <w:rPr>
          <w:lang w:val="fr-FR"/>
        </w:rPr>
        <w:t>chaîne de commercialisation</w:t>
      </w:r>
    </w:p>
    <w:p w:rsidR="006B4ADC" w:rsidRPr="00061E79" w:rsidRDefault="00DE14DC" w:rsidP="00B72DDD">
      <w:pPr>
        <w:rPr>
          <w:lang w:val="fr-FR"/>
        </w:rPr>
      </w:pPr>
      <w:r w:rsidRPr="00061E79">
        <w:rPr>
          <w:lang w:val="fr-FR"/>
        </w:rPr>
        <w:t xml:space="preserve">L’élément central </w:t>
      </w:r>
      <w:r w:rsidR="00B72DDD" w:rsidRPr="00061E79">
        <w:rPr>
          <w:lang w:val="fr-FR"/>
        </w:rPr>
        <w:t>d’une</w:t>
      </w:r>
      <w:r w:rsidRPr="00061E79">
        <w:rPr>
          <w:lang w:val="fr-FR"/>
        </w:rPr>
        <w:t xml:space="preserve"> carte de</w:t>
      </w:r>
      <w:r w:rsidR="006B4ADC" w:rsidRPr="00061E79">
        <w:rPr>
          <w:lang w:val="fr-FR"/>
        </w:rPr>
        <w:t xml:space="preserve"> </w:t>
      </w:r>
      <w:r w:rsidRPr="00061E79">
        <w:rPr>
          <w:lang w:val="fr-FR"/>
        </w:rPr>
        <w:t>système</w:t>
      </w:r>
      <w:r w:rsidR="006B4ADC" w:rsidRPr="00061E79">
        <w:rPr>
          <w:lang w:val="fr-FR"/>
        </w:rPr>
        <w:t xml:space="preserve"> de marché est la « chaîne » des différents acteurs du marché qui échangent, achètent et vendent des produits de base, du producteur</w:t>
      </w:r>
      <w:r w:rsidR="00023EAF" w:rsidRPr="00061E79">
        <w:rPr>
          <w:lang w:val="fr-FR"/>
        </w:rPr>
        <w:t xml:space="preserve"> initial</w:t>
      </w:r>
      <w:r w:rsidR="006B4ADC" w:rsidRPr="00061E79">
        <w:rPr>
          <w:lang w:val="fr-FR"/>
        </w:rPr>
        <w:t xml:space="preserve"> au consommateur final. La chaîne de </w:t>
      </w:r>
      <w:r w:rsidRPr="00061E79">
        <w:rPr>
          <w:lang w:val="fr-FR"/>
        </w:rPr>
        <w:t>commercialisation</w:t>
      </w:r>
      <w:r w:rsidR="006B4ADC" w:rsidRPr="00061E79">
        <w:rPr>
          <w:lang w:val="fr-FR"/>
        </w:rPr>
        <w:t xml:space="preserve"> </w:t>
      </w:r>
      <w:r w:rsidRPr="00061E79">
        <w:rPr>
          <w:lang w:val="fr-FR"/>
        </w:rPr>
        <w:t>d</w:t>
      </w:r>
      <w:r w:rsidR="00023EAF" w:rsidRPr="00061E79">
        <w:rPr>
          <w:lang w:val="fr-FR"/>
        </w:rPr>
        <w:t>écrit</w:t>
      </w:r>
      <w:r w:rsidR="006B4ADC" w:rsidRPr="00061E79">
        <w:rPr>
          <w:lang w:val="fr-FR"/>
        </w:rPr>
        <w:t xml:space="preserve"> les acteurs et leur rôle dans l</w:t>
      </w:r>
      <w:r w:rsidRPr="00061E79">
        <w:rPr>
          <w:lang w:val="fr-FR"/>
        </w:rPr>
        <w:t>a chaîne</w:t>
      </w:r>
      <w:r w:rsidR="006B4ADC" w:rsidRPr="00061E79">
        <w:rPr>
          <w:lang w:val="fr-FR"/>
        </w:rPr>
        <w:t xml:space="preserve"> ainsi que les liens qui existent entre eux : qui vend à qui et comment.</w:t>
      </w:r>
    </w:p>
    <w:p w:rsidR="00BD2E34" w:rsidRPr="00061E79" w:rsidRDefault="00233E01" w:rsidP="006853D4">
      <w:pPr>
        <w:pStyle w:val="Heading4"/>
        <w:rPr>
          <w:lang w:val="fr-FR"/>
        </w:rPr>
      </w:pPr>
      <w:r w:rsidRPr="00061E79">
        <w:rPr>
          <w:lang w:val="fr-FR"/>
        </w:rPr>
        <w:t xml:space="preserve">ii) </w:t>
      </w:r>
      <w:r w:rsidR="00DE14DC" w:rsidRPr="00061E79">
        <w:rPr>
          <w:lang w:val="fr-FR"/>
        </w:rPr>
        <w:t>L’</w:t>
      </w:r>
      <w:r w:rsidRPr="00061E79">
        <w:rPr>
          <w:lang w:val="fr-FR"/>
        </w:rPr>
        <w:t xml:space="preserve">infrastructure </w:t>
      </w:r>
      <w:r w:rsidR="007E0AF6" w:rsidRPr="00061E79">
        <w:rPr>
          <w:lang w:val="fr-FR"/>
        </w:rPr>
        <w:t>et les</w:t>
      </w:r>
      <w:r w:rsidRPr="00061E79">
        <w:rPr>
          <w:lang w:val="fr-FR"/>
        </w:rPr>
        <w:t xml:space="preserve"> s</w:t>
      </w:r>
      <w:r w:rsidR="00BD2E34" w:rsidRPr="00061E79">
        <w:rPr>
          <w:lang w:val="fr-FR"/>
        </w:rPr>
        <w:t>ervices</w:t>
      </w:r>
      <w:r w:rsidR="007E0AF6" w:rsidRPr="00061E79">
        <w:rPr>
          <w:lang w:val="fr-FR"/>
        </w:rPr>
        <w:t xml:space="preserve"> de soutien</w:t>
      </w:r>
    </w:p>
    <w:p w:rsidR="006B4ADC" w:rsidRPr="00061E79" w:rsidRDefault="00023EAF" w:rsidP="00B72DDD">
      <w:pPr>
        <w:rPr>
          <w:lang w:val="fr-FR"/>
        </w:rPr>
      </w:pPr>
      <w:r w:rsidRPr="00061E79">
        <w:rPr>
          <w:lang w:val="fr-FR"/>
        </w:rPr>
        <w:t>Cette cartographie</w:t>
      </w:r>
      <w:r w:rsidR="002A5ACA" w:rsidRPr="00061E79">
        <w:rPr>
          <w:lang w:val="fr-FR"/>
        </w:rPr>
        <w:t xml:space="preserve"> doit vous permettre de </w:t>
      </w:r>
      <w:r w:rsidR="00B72DDD" w:rsidRPr="00061E79">
        <w:rPr>
          <w:lang w:val="fr-FR"/>
        </w:rPr>
        <w:t>recenser</w:t>
      </w:r>
      <w:r w:rsidR="002A5ACA" w:rsidRPr="00061E79">
        <w:rPr>
          <w:lang w:val="fr-FR"/>
        </w:rPr>
        <w:t xml:space="preserve"> et de </w:t>
      </w:r>
      <w:r w:rsidR="00B72DDD" w:rsidRPr="00061E79">
        <w:rPr>
          <w:lang w:val="fr-FR"/>
        </w:rPr>
        <w:t>mettre en évidence</w:t>
      </w:r>
      <w:r w:rsidRPr="00061E79">
        <w:rPr>
          <w:lang w:val="fr-FR"/>
        </w:rPr>
        <w:t xml:space="preserve"> </w:t>
      </w:r>
      <w:r w:rsidR="002A5ACA" w:rsidRPr="00061E79">
        <w:rPr>
          <w:lang w:val="fr-FR"/>
        </w:rPr>
        <w:t xml:space="preserve">les </w:t>
      </w:r>
      <w:r w:rsidR="00CC7E2B" w:rsidRPr="00061E79">
        <w:rPr>
          <w:lang w:val="fr-FR"/>
        </w:rPr>
        <w:t>principaux éléments de l’infrastructure</w:t>
      </w:r>
      <w:r w:rsidR="002A5ACA" w:rsidRPr="00061E79">
        <w:rPr>
          <w:lang w:val="fr-FR"/>
        </w:rPr>
        <w:t xml:space="preserve"> et des services de soutien, et de les relier à leurs utilisateurs </w:t>
      </w:r>
      <w:r w:rsidR="00CC7E2B" w:rsidRPr="00061E79">
        <w:rPr>
          <w:lang w:val="fr-FR"/>
        </w:rPr>
        <w:t>dans</w:t>
      </w:r>
      <w:r w:rsidR="002A5ACA" w:rsidRPr="00061E79">
        <w:rPr>
          <w:lang w:val="fr-FR"/>
        </w:rPr>
        <w:t xml:space="preserve"> la </w:t>
      </w:r>
      <w:r w:rsidR="00DE14DC" w:rsidRPr="00061E79">
        <w:rPr>
          <w:lang w:val="fr-FR"/>
        </w:rPr>
        <w:t>chaîne de commercialisation</w:t>
      </w:r>
      <w:r w:rsidR="002A5ACA" w:rsidRPr="00061E79">
        <w:rPr>
          <w:lang w:val="fr-FR"/>
        </w:rPr>
        <w:t xml:space="preserve">. </w:t>
      </w:r>
      <w:r w:rsidR="00B72DDD" w:rsidRPr="00061E79">
        <w:rPr>
          <w:lang w:val="fr-FR"/>
        </w:rPr>
        <w:t>Elle</w:t>
      </w:r>
      <w:r w:rsidR="002A5ACA" w:rsidRPr="00061E79">
        <w:rPr>
          <w:lang w:val="fr-FR"/>
        </w:rPr>
        <w:t xml:space="preserve"> </w:t>
      </w:r>
      <w:r w:rsidR="00CC7E2B" w:rsidRPr="00061E79">
        <w:rPr>
          <w:lang w:val="fr-FR"/>
        </w:rPr>
        <w:t>doit</w:t>
      </w:r>
      <w:r w:rsidR="002A5ACA" w:rsidRPr="00061E79">
        <w:rPr>
          <w:lang w:val="fr-FR"/>
        </w:rPr>
        <w:t xml:space="preserve"> également vous permettre de comprendre le rôle </w:t>
      </w:r>
      <w:r w:rsidR="00CC7E2B" w:rsidRPr="00061E79">
        <w:rPr>
          <w:lang w:val="fr-FR"/>
        </w:rPr>
        <w:t>joué par l’infrastructure</w:t>
      </w:r>
      <w:r w:rsidR="002A5ACA" w:rsidRPr="00061E79">
        <w:rPr>
          <w:lang w:val="fr-FR"/>
        </w:rPr>
        <w:t xml:space="preserve"> et les services</w:t>
      </w:r>
      <w:r w:rsidR="00CC7E2B" w:rsidRPr="00061E79">
        <w:rPr>
          <w:lang w:val="fr-FR"/>
        </w:rPr>
        <w:t xml:space="preserve"> de soutien</w:t>
      </w:r>
      <w:r w:rsidR="002A5ACA" w:rsidRPr="00061E79">
        <w:rPr>
          <w:lang w:val="fr-FR"/>
        </w:rPr>
        <w:t xml:space="preserve"> dans le maintien de l’efficacité </w:t>
      </w:r>
      <w:r w:rsidR="00CC7E2B" w:rsidRPr="00061E79">
        <w:rPr>
          <w:lang w:val="fr-FR"/>
        </w:rPr>
        <w:t>et de l’</w:t>
      </w:r>
      <w:r w:rsidR="002A5ACA" w:rsidRPr="00061E79">
        <w:rPr>
          <w:lang w:val="fr-FR"/>
        </w:rPr>
        <w:t>accessibilité</w:t>
      </w:r>
      <w:r w:rsidR="00CC7E2B" w:rsidRPr="00061E79">
        <w:rPr>
          <w:lang w:val="fr-FR"/>
        </w:rPr>
        <w:t xml:space="preserve"> du système de marché</w:t>
      </w:r>
      <w:r w:rsidR="002A5ACA" w:rsidRPr="00061E79">
        <w:rPr>
          <w:lang w:val="fr-FR"/>
        </w:rPr>
        <w:t>.</w:t>
      </w:r>
    </w:p>
    <w:p w:rsidR="00BD2E34" w:rsidRPr="00061E79" w:rsidRDefault="00233E01" w:rsidP="006853D4">
      <w:pPr>
        <w:pStyle w:val="Heading4"/>
        <w:rPr>
          <w:lang w:val="fr-FR"/>
        </w:rPr>
      </w:pPr>
      <w:r w:rsidRPr="00061E79">
        <w:rPr>
          <w:lang w:val="fr-FR"/>
        </w:rPr>
        <w:t xml:space="preserve">iii) </w:t>
      </w:r>
      <w:r w:rsidR="007E0AF6" w:rsidRPr="00061E79">
        <w:rPr>
          <w:lang w:val="fr-FR"/>
        </w:rPr>
        <w:t>L’</w:t>
      </w:r>
      <w:r w:rsidRPr="00061E79">
        <w:rPr>
          <w:lang w:val="fr-FR"/>
        </w:rPr>
        <w:t>e</w:t>
      </w:r>
      <w:r w:rsidR="00BD2E34" w:rsidRPr="00061E79">
        <w:rPr>
          <w:lang w:val="fr-FR"/>
        </w:rPr>
        <w:t>nviron</w:t>
      </w:r>
      <w:r w:rsidR="007E0AF6" w:rsidRPr="00061E79">
        <w:rPr>
          <w:lang w:val="fr-FR"/>
        </w:rPr>
        <w:t>ne</w:t>
      </w:r>
      <w:r w:rsidR="00BD2E34" w:rsidRPr="00061E79">
        <w:rPr>
          <w:lang w:val="fr-FR"/>
        </w:rPr>
        <w:t>ment</w:t>
      </w:r>
      <w:r w:rsidR="007E0AF6" w:rsidRPr="00061E79">
        <w:rPr>
          <w:lang w:val="fr-FR"/>
        </w:rPr>
        <w:t xml:space="preserve"> externe</w:t>
      </w:r>
    </w:p>
    <w:p w:rsidR="002A5ACA" w:rsidRPr="00061E79" w:rsidRDefault="002A5ACA" w:rsidP="00B72DDD">
      <w:pPr>
        <w:rPr>
          <w:lang w:val="fr-FR"/>
        </w:rPr>
      </w:pPr>
      <w:r w:rsidRPr="00061E79">
        <w:rPr>
          <w:lang w:val="fr-FR"/>
        </w:rPr>
        <w:t xml:space="preserve">Le troisième </w:t>
      </w:r>
      <w:r w:rsidR="00CC7E2B" w:rsidRPr="00061E79">
        <w:rPr>
          <w:lang w:val="fr-FR"/>
        </w:rPr>
        <w:t>élément de ce</w:t>
      </w:r>
      <w:r w:rsidRPr="00061E79">
        <w:rPr>
          <w:lang w:val="fr-FR"/>
        </w:rPr>
        <w:t xml:space="preserve"> processus de cartograp</w:t>
      </w:r>
      <w:r w:rsidR="00CC7E2B" w:rsidRPr="00061E79">
        <w:rPr>
          <w:lang w:val="fr-FR"/>
        </w:rPr>
        <w:t>hie porte sur les règles, les rè</w:t>
      </w:r>
      <w:r w:rsidRPr="00061E79">
        <w:rPr>
          <w:lang w:val="fr-FR"/>
        </w:rPr>
        <w:t>gle</w:t>
      </w:r>
      <w:r w:rsidR="00CC7E2B" w:rsidRPr="00061E79">
        <w:rPr>
          <w:lang w:val="fr-FR"/>
        </w:rPr>
        <w:t>ments</w:t>
      </w:r>
      <w:r w:rsidRPr="00061E79">
        <w:rPr>
          <w:lang w:val="fr-FR"/>
        </w:rPr>
        <w:t xml:space="preserve">, les </w:t>
      </w:r>
      <w:r w:rsidR="00CC7E2B" w:rsidRPr="00061E79">
        <w:rPr>
          <w:lang w:val="fr-FR"/>
        </w:rPr>
        <w:t>enjeux</w:t>
      </w:r>
      <w:r w:rsidR="00892613" w:rsidRPr="00061E79">
        <w:rPr>
          <w:lang w:val="fr-FR"/>
        </w:rPr>
        <w:t xml:space="preserve"> et les tendances qui ont une influence significative sur </w:t>
      </w:r>
      <w:r w:rsidR="00B72DDD" w:rsidRPr="00061E79">
        <w:rPr>
          <w:lang w:val="fr-FR"/>
        </w:rPr>
        <w:t>l’environnement</w:t>
      </w:r>
      <w:r w:rsidR="00892613" w:rsidRPr="00061E79">
        <w:rPr>
          <w:lang w:val="fr-FR"/>
        </w:rPr>
        <w:t xml:space="preserve"> dans lequel opèrent les acteurs du marché.</w:t>
      </w:r>
    </w:p>
    <w:p w:rsidR="00BD2E34" w:rsidRPr="00061E79" w:rsidRDefault="001070B1" w:rsidP="00892613">
      <w:pPr>
        <w:pStyle w:val="TableauTitre1"/>
        <w:jc w:val="both"/>
        <w:rPr>
          <w:lang w:val="fr-FR"/>
        </w:rPr>
      </w:pPr>
      <w:r w:rsidRPr="00061E79">
        <w:rPr>
          <w:lang w:val="fr-FR"/>
        </w:rPr>
        <w:t xml:space="preserve">Chaîne de commercialisation du riz dans les municipalités de </w:t>
      </w:r>
      <w:r w:rsidR="00DF43C7" w:rsidRPr="00061E79">
        <w:rPr>
          <w:lang w:val="fr-FR"/>
        </w:rPr>
        <w:t>Compostela</w:t>
      </w:r>
      <w:r w:rsidRPr="00061E79">
        <w:rPr>
          <w:lang w:val="fr-FR"/>
        </w:rPr>
        <w:t xml:space="preserve"> et</w:t>
      </w:r>
      <w:r w:rsidR="00DF43C7" w:rsidRPr="00061E79">
        <w:rPr>
          <w:lang w:val="fr-FR"/>
        </w:rPr>
        <w:t xml:space="preserve"> </w:t>
      </w:r>
      <w:r w:rsidRPr="00061E79">
        <w:rPr>
          <w:lang w:val="fr-FR"/>
        </w:rPr>
        <w:t>de New Bataan</w:t>
      </w:r>
    </w:p>
    <w:p w:rsidR="00BD2E34" w:rsidRPr="00061E79" w:rsidRDefault="00BD2E34" w:rsidP="00F667EA">
      <w:pPr>
        <w:jc w:val="center"/>
        <w:rPr>
          <w:lang w:val="fr-FR"/>
        </w:rPr>
      </w:pPr>
    </w:p>
    <w:p w:rsidR="00BD2E34" w:rsidRPr="00061E79" w:rsidRDefault="0002256C" w:rsidP="0002256C">
      <w:pPr>
        <w:rPr>
          <w:lang w:val="fr-FR"/>
        </w:rPr>
      </w:pPr>
      <w:r w:rsidRPr="00061E79">
        <w:rPr>
          <w:noProof/>
          <w:lang w:val="en-GB" w:eastAsia="en-GB"/>
        </w:rPr>
        <w:drawing>
          <wp:inline distT="0" distB="0" distL="0" distR="0" wp14:anchorId="10AD24E1" wp14:editId="5D6C95FE">
            <wp:extent cx="6116320" cy="4582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4582451"/>
                    </a:xfrm>
                    <a:prstGeom prst="rect">
                      <a:avLst/>
                    </a:prstGeom>
                    <a:noFill/>
                    <a:ln>
                      <a:noFill/>
                    </a:ln>
                  </pic:spPr>
                </pic:pic>
              </a:graphicData>
            </a:graphic>
          </wp:inline>
        </w:drawing>
      </w:r>
    </w:p>
    <w:p w:rsidR="001070B1" w:rsidRPr="00061E79" w:rsidRDefault="001070B1" w:rsidP="00165384">
      <w:pPr>
        <w:keepNext/>
        <w:keepLines/>
        <w:rPr>
          <w:lang w:val="fr-FR"/>
        </w:rPr>
      </w:pPr>
      <w:r w:rsidRPr="00061E79">
        <w:rPr>
          <w:lang w:val="fr-FR"/>
        </w:rPr>
        <w:t>Les</w:t>
      </w:r>
      <w:r w:rsidRPr="00061E79">
        <w:rPr>
          <w:b/>
          <w:lang w:val="fr-FR"/>
        </w:rPr>
        <w:t xml:space="preserve"> « </w:t>
      </w:r>
      <w:r w:rsidR="00FF6920" w:rsidRPr="00061E79">
        <w:rPr>
          <w:b/>
          <w:lang w:val="fr-FR"/>
        </w:rPr>
        <w:t xml:space="preserve">cartes prévisionnelles » </w:t>
      </w:r>
      <w:r w:rsidR="00FF6920" w:rsidRPr="00061E79">
        <w:rPr>
          <w:lang w:val="fr-FR"/>
        </w:rPr>
        <w:t xml:space="preserve">peuvent aussi se révéler utiles </w:t>
      </w:r>
      <w:r w:rsidR="00165384" w:rsidRPr="00061E79">
        <w:rPr>
          <w:lang w:val="fr-FR"/>
        </w:rPr>
        <w:t>pour</w:t>
      </w:r>
      <w:r w:rsidR="00FF6920" w:rsidRPr="00061E79">
        <w:rPr>
          <w:lang w:val="fr-FR"/>
        </w:rPr>
        <w:t xml:space="preserve"> la planification d’urgence. Elles illustrent les changements susceptibles de se produire dans le système de marché à la suite d’un choc. Les cartes prévisionnelles doivent prendre en compte les attentes des acte</w:t>
      </w:r>
      <w:r w:rsidR="00023EAF" w:rsidRPr="00061E79">
        <w:rPr>
          <w:lang w:val="fr-FR"/>
        </w:rPr>
        <w:t xml:space="preserve">urs concernant la capacité </w:t>
      </w:r>
      <w:r w:rsidR="00165384" w:rsidRPr="00061E79">
        <w:rPr>
          <w:lang w:val="fr-FR"/>
        </w:rPr>
        <w:t>de relèvement du marché</w:t>
      </w:r>
      <w:r w:rsidR="00FF6920" w:rsidRPr="00061E79">
        <w:rPr>
          <w:lang w:val="fr-FR"/>
        </w:rPr>
        <w:t>, les plans gouvernementaux et non gouvernementaux d’intervention à la suite d’un choc et les éventuel</w:t>
      </w:r>
      <w:r w:rsidR="00CC62DB" w:rsidRPr="00061E79">
        <w:rPr>
          <w:lang w:val="fr-FR"/>
        </w:rPr>
        <w:t>les répercussions</w:t>
      </w:r>
      <w:r w:rsidR="00FF6920" w:rsidRPr="00061E79">
        <w:rPr>
          <w:lang w:val="fr-FR"/>
        </w:rPr>
        <w:t xml:space="preserve"> saisonnières sur les prix, la production, l’accès, etc. Ces cartes sont difficiles à élaborer car elles sont fondées sur des</w:t>
      </w:r>
      <w:r w:rsidR="00084F29" w:rsidRPr="00061E79">
        <w:rPr>
          <w:lang w:val="fr-FR"/>
        </w:rPr>
        <w:t xml:space="preserve"> attentes et des informations </w:t>
      </w:r>
      <w:r w:rsidR="00165384" w:rsidRPr="00061E79">
        <w:rPr>
          <w:lang w:val="fr-FR"/>
        </w:rPr>
        <w:t>préalables. Toutefois, elles</w:t>
      </w:r>
      <w:r w:rsidR="00084F29" w:rsidRPr="00061E79">
        <w:rPr>
          <w:lang w:val="fr-FR"/>
        </w:rPr>
        <w:t xml:space="preserve"> peuvent fournir des informations essentielles sur le type de soutien nécessaire à long terme.</w:t>
      </w:r>
    </w:p>
    <w:p w:rsidR="00EE6DC4" w:rsidRPr="00061E79" w:rsidRDefault="00084F29" w:rsidP="00165384">
      <w:pPr>
        <w:rPr>
          <w:lang w:val="fr-FR"/>
        </w:rPr>
      </w:pPr>
      <w:r w:rsidRPr="00061E79">
        <w:rPr>
          <w:lang w:val="fr-FR"/>
        </w:rPr>
        <w:t xml:space="preserve">Pour obtenir de plus amples </w:t>
      </w:r>
      <w:r w:rsidR="00165384" w:rsidRPr="00061E79">
        <w:rPr>
          <w:lang w:val="fr-FR"/>
        </w:rPr>
        <w:t>informations</w:t>
      </w:r>
      <w:r w:rsidRPr="00061E79">
        <w:rPr>
          <w:lang w:val="fr-FR"/>
        </w:rPr>
        <w:t xml:space="preserve"> sur l</w:t>
      </w:r>
      <w:r w:rsidR="00165384" w:rsidRPr="00061E79">
        <w:rPr>
          <w:lang w:val="fr-FR"/>
        </w:rPr>
        <w:t>’élaboration</w:t>
      </w:r>
      <w:r w:rsidRPr="00061E79">
        <w:rPr>
          <w:lang w:val="fr-FR"/>
        </w:rPr>
        <w:t xml:space="preserve"> des cartes de référence et des cartes prévisionnelles, veuillez vous référer à l’outil 1.4.</w:t>
      </w:r>
      <w:r w:rsidR="00EE6DC4" w:rsidRPr="00061E79">
        <w:rPr>
          <w:lang w:val="fr-FR"/>
        </w:rPr>
        <w:br w:type="page"/>
      </w:r>
    </w:p>
    <w:p w:rsidR="00BD2E34" w:rsidRPr="00061E79" w:rsidRDefault="007B038B" w:rsidP="00BF65AD">
      <w:pPr>
        <w:pStyle w:val="Heading2"/>
        <w:ind w:left="1440" w:hanging="1440"/>
        <w:rPr>
          <w:lang w:val="fr-FR"/>
        </w:rPr>
      </w:pPr>
      <w:r w:rsidRPr="00061E79">
        <w:rPr>
          <w:lang w:val="fr-FR"/>
        </w:rPr>
        <w:t>OUTIL</w:t>
      </w:r>
      <w:r w:rsidR="003F4470" w:rsidRPr="00061E79">
        <w:rPr>
          <w:lang w:val="fr-FR"/>
        </w:rPr>
        <w:t xml:space="preserve"> 3</w:t>
      </w:r>
      <w:r w:rsidR="00323E0E" w:rsidRPr="00061E79">
        <w:rPr>
          <w:lang w:val="fr-FR"/>
        </w:rPr>
        <w:t> </w:t>
      </w:r>
      <w:r w:rsidR="003F4470" w:rsidRPr="00061E79">
        <w:rPr>
          <w:lang w:val="fr-FR"/>
        </w:rPr>
        <w:t>:</w:t>
      </w:r>
      <w:r w:rsidR="005167FA" w:rsidRPr="00061E79">
        <w:rPr>
          <w:lang w:val="fr-FR"/>
        </w:rPr>
        <w:tab/>
      </w:r>
      <w:r w:rsidR="00323E0E" w:rsidRPr="00061E79">
        <w:rPr>
          <w:lang w:val="fr-FR"/>
        </w:rPr>
        <w:t>donnÉes de rÉfÉrence </w:t>
      </w:r>
      <w:r w:rsidR="003F4470" w:rsidRPr="00061E79">
        <w:rPr>
          <w:lang w:val="fr-FR"/>
        </w:rPr>
        <w:t xml:space="preserve">: </w:t>
      </w:r>
      <w:r w:rsidR="00F37C50" w:rsidRPr="00061E79">
        <w:rPr>
          <w:lang w:val="fr-FR"/>
        </w:rPr>
        <w:t>listes de contrÔle pour les entretiens avec la population cible, les commerçants et les interlocuteurs clÉs</w:t>
      </w:r>
    </w:p>
    <w:p w:rsidR="00BD2E34" w:rsidRPr="00061E79" w:rsidRDefault="007B038B" w:rsidP="00A53ED0">
      <w:pPr>
        <w:pStyle w:val="Heading3"/>
        <w:keepLines/>
        <w:rPr>
          <w:lang w:val="fr-FR"/>
        </w:rPr>
      </w:pPr>
      <w:r w:rsidRPr="00061E79">
        <w:rPr>
          <w:lang w:val="fr-FR"/>
        </w:rPr>
        <w:t>Objectif</w:t>
      </w:r>
    </w:p>
    <w:p w:rsidR="00BD2E34" w:rsidRPr="00061E79" w:rsidRDefault="007B038B" w:rsidP="00A53ED0">
      <w:pPr>
        <w:keepNext/>
        <w:keepLines/>
        <w:rPr>
          <w:lang w:val="fr-FR"/>
        </w:rPr>
      </w:pPr>
      <w:r w:rsidRPr="00061E79">
        <w:rPr>
          <w:lang w:val="fr-FR"/>
        </w:rPr>
        <w:t>Cet outil vous aider</w:t>
      </w:r>
      <w:r w:rsidR="00F37C50" w:rsidRPr="00061E79">
        <w:rPr>
          <w:lang w:val="fr-FR"/>
        </w:rPr>
        <w:t>a</w:t>
      </w:r>
      <w:r w:rsidR="00323E0E" w:rsidRPr="00061E79">
        <w:rPr>
          <w:lang w:val="fr-FR"/>
        </w:rPr>
        <w:t xml:space="preserve"> à comprendre </w:t>
      </w:r>
      <w:r w:rsidR="00BD2E34" w:rsidRPr="00061E79">
        <w:rPr>
          <w:lang w:val="fr-FR"/>
        </w:rPr>
        <w:t>:</w:t>
      </w:r>
    </w:p>
    <w:p w:rsidR="00F37C50" w:rsidRPr="00061E79" w:rsidRDefault="00F37C50" w:rsidP="00AC29EA">
      <w:pPr>
        <w:pStyle w:val="Bullet2"/>
        <w:keepNext/>
        <w:keepLines/>
        <w:rPr>
          <w:lang w:val="fr-FR"/>
        </w:rPr>
      </w:pPr>
      <w:r w:rsidRPr="00061E79">
        <w:rPr>
          <w:lang w:val="fr-FR"/>
        </w:rPr>
        <w:t xml:space="preserve">la demande et </w:t>
      </w:r>
      <w:r w:rsidR="00AC29EA" w:rsidRPr="00061E79">
        <w:rPr>
          <w:lang w:val="fr-FR"/>
        </w:rPr>
        <w:t>ses variations saisonnières ; la</w:t>
      </w:r>
      <w:r w:rsidR="00023EAF" w:rsidRPr="00061E79">
        <w:rPr>
          <w:lang w:val="fr-FR"/>
        </w:rPr>
        <w:t xml:space="preserve"> mesure</w:t>
      </w:r>
      <w:r w:rsidR="00AC29EA" w:rsidRPr="00061E79">
        <w:rPr>
          <w:lang w:val="fr-FR"/>
        </w:rPr>
        <w:t xml:space="preserve"> dans laquelle</w:t>
      </w:r>
      <w:r w:rsidR="00CC62DB" w:rsidRPr="00061E79">
        <w:rPr>
          <w:lang w:val="fr-FR"/>
        </w:rPr>
        <w:t xml:space="preserve"> la population cible dépend du marché</w:t>
      </w:r>
      <w:r w:rsidR="00AC29EA" w:rsidRPr="00061E79">
        <w:rPr>
          <w:lang w:val="fr-FR"/>
        </w:rPr>
        <w:t> ;</w:t>
      </w:r>
      <w:r w:rsidR="00CC62DB" w:rsidRPr="00061E79">
        <w:rPr>
          <w:lang w:val="fr-FR"/>
        </w:rPr>
        <w:t xml:space="preserve"> et l’écart entre ce dont </w:t>
      </w:r>
      <w:r w:rsidR="00AC29EA" w:rsidRPr="00061E79">
        <w:rPr>
          <w:lang w:val="fr-FR"/>
        </w:rPr>
        <w:t>la population</w:t>
      </w:r>
      <w:r w:rsidR="00CC62DB" w:rsidRPr="00061E79">
        <w:rPr>
          <w:lang w:val="fr-FR"/>
        </w:rPr>
        <w:t xml:space="preserve"> a besoin et ce </w:t>
      </w:r>
      <w:r w:rsidR="00AC29EA" w:rsidRPr="00061E79">
        <w:rPr>
          <w:lang w:val="fr-FR"/>
        </w:rPr>
        <w:t>qui est disponible sur le march</w:t>
      </w:r>
      <w:r w:rsidR="00CC62DB" w:rsidRPr="00061E79">
        <w:rPr>
          <w:lang w:val="fr-FR"/>
        </w:rPr>
        <w:t>é ;</w:t>
      </w:r>
    </w:p>
    <w:p w:rsidR="00CC62DB" w:rsidRPr="00061E79" w:rsidRDefault="00CC62DB" w:rsidP="00AC29EA">
      <w:pPr>
        <w:pStyle w:val="Bullet2"/>
        <w:rPr>
          <w:lang w:val="fr-FR"/>
        </w:rPr>
      </w:pPr>
      <w:r w:rsidRPr="00061E79">
        <w:rPr>
          <w:lang w:val="fr-FR"/>
        </w:rPr>
        <w:t xml:space="preserve">les </w:t>
      </w:r>
      <w:r w:rsidR="003A4DDF" w:rsidRPr="00061E79">
        <w:rPr>
          <w:lang w:val="fr-FR"/>
        </w:rPr>
        <w:t>possibilit</w:t>
      </w:r>
      <w:r w:rsidR="00023EAF" w:rsidRPr="00061E79">
        <w:rPr>
          <w:lang w:val="fr-FR"/>
        </w:rPr>
        <w:t>és d’approvisionnement du marché</w:t>
      </w:r>
      <w:r w:rsidR="003A4DDF" w:rsidRPr="00061E79">
        <w:rPr>
          <w:lang w:val="fr-FR"/>
        </w:rPr>
        <w:t xml:space="preserve"> et la capacité des commerçants </w:t>
      </w:r>
      <w:r w:rsidR="00AC29EA" w:rsidRPr="00061E79">
        <w:rPr>
          <w:lang w:val="fr-FR"/>
        </w:rPr>
        <w:t>d’</w:t>
      </w:r>
      <w:r w:rsidR="003A4DDF" w:rsidRPr="00061E79">
        <w:rPr>
          <w:lang w:val="fr-FR"/>
        </w:rPr>
        <w:t>é</w:t>
      </w:r>
      <w:r w:rsidR="00B05037" w:rsidRPr="00061E79">
        <w:rPr>
          <w:lang w:val="fr-FR"/>
        </w:rPr>
        <w:t>tendre</w:t>
      </w:r>
      <w:r w:rsidR="003A4DDF" w:rsidRPr="00061E79">
        <w:rPr>
          <w:lang w:val="fr-FR"/>
        </w:rPr>
        <w:t xml:space="preserve"> leur off</w:t>
      </w:r>
      <w:r w:rsidR="00023EAF" w:rsidRPr="00061E79">
        <w:rPr>
          <w:lang w:val="fr-FR"/>
        </w:rPr>
        <w:t>re (en combien de temps, à quel</w:t>
      </w:r>
      <w:r w:rsidR="003A4DDF" w:rsidRPr="00061E79">
        <w:rPr>
          <w:lang w:val="fr-FR"/>
        </w:rPr>
        <w:t xml:space="preserve"> prix et pour combien de temps) ;</w:t>
      </w:r>
    </w:p>
    <w:p w:rsidR="00BD2E34" w:rsidRPr="00061E79" w:rsidRDefault="00B05037" w:rsidP="004D6405">
      <w:pPr>
        <w:pStyle w:val="Bullet2"/>
        <w:rPr>
          <w:lang w:val="fr-FR"/>
        </w:rPr>
      </w:pPr>
      <w:r w:rsidRPr="00061E79">
        <w:rPr>
          <w:bCs/>
          <w:lang w:val="fr-FR"/>
        </w:rPr>
        <w:t>la structure du marché, sa compétitivité et son fonctionnement.</w:t>
      </w:r>
    </w:p>
    <w:p w:rsidR="00BD2E34" w:rsidRPr="00061E79" w:rsidRDefault="007B038B" w:rsidP="004D6405">
      <w:pPr>
        <w:pStyle w:val="Heading3"/>
        <w:rPr>
          <w:lang w:val="fr-FR"/>
        </w:rPr>
      </w:pPr>
      <w:r w:rsidRPr="00061E79">
        <w:rPr>
          <w:lang w:val="fr-FR"/>
        </w:rPr>
        <w:t>Comment utiliser cet outil</w:t>
      </w:r>
    </w:p>
    <w:p w:rsidR="00B05037" w:rsidRPr="00061E79" w:rsidRDefault="00B05037" w:rsidP="00E76585">
      <w:pPr>
        <w:rPr>
          <w:lang w:val="fr-FR"/>
        </w:rPr>
      </w:pPr>
      <w:r w:rsidRPr="00061E79">
        <w:rPr>
          <w:lang w:val="fr-FR"/>
        </w:rPr>
        <w:t>Cet outil doit être utilisé pour mener les discussions de groupe et les entretiens individuels avec la population cible, les commerçants et les interlocuteurs clés.</w:t>
      </w:r>
    </w:p>
    <w:p w:rsidR="00B05037" w:rsidRPr="00061E79" w:rsidRDefault="00B05037" w:rsidP="00C36D52">
      <w:pPr>
        <w:rPr>
          <w:lang w:val="fr-FR"/>
        </w:rPr>
      </w:pPr>
      <w:r w:rsidRPr="00061E79">
        <w:rPr>
          <w:lang w:val="fr-FR"/>
        </w:rPr>
        <w:t xml:space="preserve">Pour réunir des groupes représentatifs de la population cible, vous devez contacter soit les autorités locales, soit des interlocuteurs clés, leur expliquer votre </w:t>
      </w:r>
      <w:r w:rsidR="00C36D52" w:rsidRPr="00061E79">
        <w:rPr>
          <w:lang w:val="fr-FR"/>
        </w:rPr>
        <w:t>démarche</w:t>
      </w:r>
      <w:r w:rsidRPr="00061E79">
        <w:rPr>
          <w:lang w:val="fr-FR"/>
        </w:rPr>
        <w:t xml:space="preserve"> et leur demander de </w:t>
      </w:r>
      <w:r w:rsidR="00C36D52" w:rsidRPr="00061E79">
        <w:rPr>
          <w:lang w:val="fr-FR"/>
        </w:rPr>
        <w:t>constituer</w:t>
      </w:r>
      <w:r w:rsidRPr="00061E79">
        <w:rPr>
          <w:lang w:val="fr-FR"/>
        </w:rPr>
        <w:t xml:space="preserve"> un groupe de six à huit personnes (hommes et femmes) ayant une bonne connaissance de la communauté et de ses moyens de subsistance. Si </w:t>
      </w:r>
      <w:r w:rsidR="00C36D52" w:rsidRPr="00061E79">
        <w:rPr>
          <w:lang w:val="fr-FR"/>
        </w:rPr>
        <w:t>la</w:t>
      </w:r>
      <w:r w:rsidRPr="00061E79">
        <w:rPr>
          <w:lang w:val="fr-FR"/>
        </w:rPr>
        <w:t xml:space="preserve"> population cible est composée de </w:t>
      </w:r>
      <w:r w:rsidR="00D649A8" w:rsidRPr="00061E79">
        <w:rPr>
          <w:lang w:val="fr-FR"/>
        </w:rPr>
        <w:t xml:space="preserve">groupes ayant différents moyens de subsistance, il peut être judicieux </w:t>
      </w:r>
      <w:r w:rsidR="00C36D52" w:rsidRPr="00061E79">
        <w:rPr>
          <w:lang w:val="fr-FR"/>
        </w:rPr>
        <w:t>de mener des analyses distinctes</w:t>
      </w:r>
      <w:r w:rsidR="00D649A8" w:rsidRPr="00061E79">
        <w:rPr>
          <w:lang w:val="fr-FR"/>
        </w:rPr>
        <w:t>, car</w:t>
      </w:r>
      <w:r w:rsidR="00C36D52" w:rsidRPr="00061E79">
        <w:rPr>
          <w:lang w:val="fr-FR"/>
        </w:rPr>
        <w:t xml:space="preserve"> l’utilisation faite des marchés par chacun de ces groupes peut être différente</w:t>
      </w:r>
      <w:r w:rsidR="00D649A8" w:rsidRPr="00061E79">
        <w:rPr>
          <w:lang w:val="fr-FR"/>
        </w:rPr>
        <w:t>.</w:t>
      </w:r>
      <w:r w:rsidRPr="00061E79">
        <w:rPr>
          <w:lang w:val="fr-FR"/>
        </w:rPr>
        <w:t xml:space="preserve"> </w:t>
      </w:r>
      <w:r w:rsidR="00D649A8" w:rsidRPr="00061E79">
        <w:rPr>
          <w:lang w:val="fr-FR"/>
        </w:rPr>
        <w:t xml:space="preserve">En outre, tenez compte des dynamiques </w:t>
      </w:r>
      <w:r w:rsidR="00C36D52" w:rsidRPr="00061E79">
        <w:rPr>
          <w:lang w:val="fr-FR"/>
        </w:rPr>
        <w:t>liées au genre</w:t>
      </w:r>
      <w:r w:rsidR="00D649A8" w:rsidRPr="00061E79">
        <w:rPr>
          <w:lang w:val="fr-FR"/>
        </w:rPr>
        <w:t xml:space="preserve"> et à l’appartenance ethnique, et, si nécessaire, menez des discussions de groupe séparées.</w:t>
      </w:r>
    </w:p>
    <w:p w:rsidR="00D649A8" w:rsidRPr="00061E79" w:rsidRDefault="00D649A8" w:rsidP="00606AD6">
      <w:pPr>
        <w:rPr>
          <w:lang w:val="fr-FR"/>
        </w:rPr>
      </w:pPr>
      <w:r w:rsidRPr="00061E79">
        <w:rPr>
          <w:lang w:val="fr-FR"/>
        </w:rPr>
        <w:t xml:space="preserve">Les commerçants peuvent être interrogés individuellement ou dans le cadre de discussions de groupe. Si vous optez pour les entretiens individuels, vous devez interroger au minimum trois ou quatre </w:t>
      </w:r>
      <w:r w:rsidR="003E5F0A" w:rsidRPr="00061E79">
        <w:rPr>
          <w:lang w:val="fr-FR"/>
        </w:rPr>
        <w:t>commerçants</w:t>
      </w:r>
      <w:r w:rsidRPr="00061E79">
        <w:rPr>
          <w:lang w:val="fr-FR"/>
        </w:rPr>
        <w:t xml:space="preserve"> </w:t>
      </w:r>
      <w:r w:rsidR="00A11B14" w:rsidRPr="00061E79">
        <w:rPr>
          <w:lang w:val="fr-FR"/>
        </w:rPr>
        <w:t>pour chaque</w:t>
      </w:r>
      <w:r w:rsidR="003E5F0A" w:rsidRPr="00061E79">
        <w:rPr>
          <w:lang w:val="fr-FR"/>
        </w:rPr>
        <w:t xml:space="preserve"> catégorie</w:t>
      </w:r>
      <w:r w:rsidR="00A11B14" w:rsidRPr="00061E79">
        <w:rPr>
          <w:lang w:val="fr-FR"/>
        </w:rPr>
        <w:t xml:space="preserve"> et chaque </w:t>
      </w:r>
      <w:r w:rsidR="004038FD" w:rsidRPr="00061E79">
        <w:rPr>
          <w:lang w:val="fr-FR"/>
        </w:rPr>
        <w:t>région</w:t>
      </w:r>
      <w:r w:rsidR="00A11B14" w:rsidRPr="00061E79">
        <w:rPr>
          <w:lang w:val="fr-FR"/>
        </w:rPr>
        <w:t>. Lorsque vous avez affaire à de gros commerçants et à des grossistes, il est préférable d’opter pour des entretiens individuels. Il est probable que vous ne puissiez vous entretenir qu’avec quelques-uns (un ou deux) de ces acteurs importants dans c</w:t>
      </w:r>
      <w:r w:rsidR="003E5F0A" w:rsidRPr="00061E79">
        <w:rPr>
          <w:lang w:val="fr-FR"/>
        </w:rPr>
        <w:t>haque région. Si vous optez pour d</w:t>
      </w:r>
      <w:r w:rsidR="00A11B14" w:rsidRPr="00061E79">
        <w:rPr>
          <w:lang w:val="fr-FR"/>
        </w:rPr>
        <w:t>es discussions de groupe, vous devez former des groupes</w:t>
      </w:r>
      <w:r w:rsidR="00182A7C" w:rsidRPr="00061E79">
        <w:rPr>
          <w:lang w:val="fr-FR"/>
        </w:rPr>
        <w:t xml:space="preserve"> </w:t>
      </w:r>
      <w:r w:rsidR="003E5F0A" w:rsidRPr="00061E79">
        <w:rPr>
          <w:lang w:val="fr-FR"/>
        </w:rPr>
        <w:t>plus ou moins</w:t>
      </w:r>
      <w:r w:rsidR="00606AD6" w:rsidRPr="00061E79">
        <w:rPr>
          <w:lang w:val="fr-FR"/>
        </w:rPr>
        <w:t xml:space="preserve"> homogènes. C</w:t>
      </w:r>
      <w:r w:rsidR="00182A7C" w:rsidRPr="00061E79">
        <w:rPr>
          <w:lang w:val="fr-FR"/>
        </w:rPr>
        <w:t>es groupes doivent être</w:t>
      </w:r>
      <w:r w:rsidR="00A11B14" w:rsidRPr="00061E79">
        <w:rPr>
          <w:lang w:val="fr-FR"/>
        </w:rPr>
        <w:t xml:space="preserve"> constitués en fonction </w:t>
      </w:r>
      <w:r w:rsidR="003E5F0A" w:rsidRPr="00061E79">
        <w:rPr>
          <w:lang w:val="fr-FR"/>
        </w:rPr>
        <w:t>de la catégorie</w:t>
      </w:r>
      <w:r w:rsidR="00A11B14" w:rsidRPr="00061E79">
        <w:rPr>
          <w:lang w:val="fr-FR"/>
        </w:rPr>
        <w:t xml:space="preserve"> de commerçants</w:t>
      </w:r>
      <w:r w:rsidR="00182A7C" w:rsidRPr="00061E79">
        <w:rPr>
          <w:lang w:val="fr-FR"/>
        </w:rPr>
        <w:t xml:space="preserve"> et</w:t>
      </w:r>
      <w:r w:rsidR="003E5F0A" w:rsidRPr="00061E79">
        <w:rPr>
          <w:lang w:val="fr-FR"/>
        </w:rPr>
        <w:t xml:space="preserve"> doivent</w:t>
      </w:r>
      <w:r w:rsidR="00182A7C" w:rsidRPr="00061E79">
        <w:rPr>
          <w:lang w:val="fr-FR"/>
        </w:rPr>
        <w:t xml:space="preserve"> réunir</w:t>
      </w:r>
      <w:r w:rsidR="00A11B14" w:rsidRPr="00061E79">
        <w:rPr>
          <w:lang w:val="fr-FR"/>
        </w:rPr>
        <w:t xml:space="preserve"> chacun huit à dix participants.</w:t>
      </w:r>
      <w:r w:rsidR="00182A7C" w:rsidRPr="00061E79">
        <w:rPr>
          <w:lang w:val="fr-FR"/>
        </w:rPr>
        <w:t xml:space="preserve"> Vous devez mener au moins une di</w:t>
      </w:r>
      <w:r w:rsidR="003E5F0A" w:rsidRPr="00061E79">
        <w:rPr>
          <w:lang w:val="fr-FR"/>
        </w:rPr>
        <w:t>scussion de groupe avec chaque catégorie</w:t>
      </w:r>
      <w:r w:rsidR="00182A7C" w:rsidRPr="00061E79">
        <w:rPr>
          <w:lang w:val="fr-FR"/>
        </w:rPr>
        <w:t xml:space="preserve"> de commerçants dans chaque </w:t>
      </w:r>
      <w:r w:rsidR="003E5F0A" w:rsidRPr="00061E79">
        <w:rPr>
          <w:lang w:val="fr-FR"/>
        </w:rPr>
        <w:t>région</w:t>
      </w:r>
      <w:r w:rsidR="00182A7C" w:rsidRPr="00061E79">
        <w:rPr>
          <w:lang w:val="fr-FR"/>
        </w:rPr>
        <w:t>.</w:t>
      </w:r>
    </w:p>
    <w:p w:rsidR="00182A7C" w:rsidRPr="00061E79" w:rsidRDefault="00182A7C" w:rsidP="00606AD6">
      <w:pPr>
        <w:rPr>
          <w:lang w:val="fr-FR"/>
        </w:rPr>
      </w:pPr>
      <w:r w:rsidRPr="00061E79">
        <w:rPr>
          <w:lang w:val="fr-FR"/>
        </w:rPr>
        <w:t xml:space="preserve">Les interlocuteurs clés peuvent être des </w:t>
      </w:r>
      <w:r w:rsidR="00270C48" w:rsidRPr="00061E79">
        <w:rPr>
          <w:lang w:val="fr-FR"/>
        </w:rPr>
        <w:t>représentants du gouvernement, du marché, du secteur de l’agriculture, etc. Chacun d’entre eux aura une bonne connaissance de problématiques données et, peut-être, une moins bonne connaissance d’</w:t>
      </w:r>
      <w:r w:rsidR="008A532C" w:rsidRPr="00061E79">
        <w:rPr>
          <w:lang w:val="fr-FR"/>
        </w:rPr>
        <w:t>autres problématiques.</w:t>
      </w:r>
      <w:r w:rsidR="001C5FC9" w:rsidRPr="00061E79">
        <w:rPr>
          <w:lang w:val="fr-FR"/>
        </w:rPr>
        <w:t xml:space="preserve"> V</w:t>
      </w:r>
      <w:r w:rsidR="00270C48" w:rsidRPr="00061E79">
        <w:rPr>
          <w:lang w:val="fr-FR"/>
        </w:rPr>
        <w:t xml:space="preserve">ous devez passer en revue la liste de contrôle </w:t>
      </w:r>
      <w:r w:rsidR="001C5FC9" w:rsidRPr="00061E79">
        <w:rPr>
          <w:lang w:val="fr-FR"/>
        </w:rPr>
        <w:t xml:space="preserve">avant chaque entretien </w:t>
      </w:r>
      <w:r w:rsidR="00270C48" w:rsidRPr="00061E79">
        <w:rPr>
          <w:lang w:val="fr-FR"/>
        </w:rPr>
        <w:t xml:space="preserve">afin de définir les questions que vous allez poser en fonction de la situation. Il est très important d’adopter une attitude ouverte et </w:t>
      </w:r>
      <w:r w:rsidR="00DD3166" w:rsidRPr="00061E79">
        <w:rPr>
          <w:lang w:val="fr-FR"/>
        </w:rPr>
        <w:t xml:space="preserve">exploratoire et de prendre en compte les aspects liés au </w:t>
      </w:r>
      <w:r w:rsidR="00606AD6" w:rsidRPr="00061E79">
        <w:rPr>
          <w:lang w:val="fr-FR"/>
        </w:rPr>
        <w:t>genre</w:t>
      </w:r>
      <w:r w:rsidR="00DD3166" w:rsidRPr="00061E79">
        <w:rPr>
          <w:lang w:val="fr-FR"/>
        </w:rPr>
        <w:t xml:space="preserve">, à la protection, à la sécurité et à l’appartenance ethnique. Les questions </w:t>
      </w:r>
      <w:r w:rsidR="009471F5" w:rsidRPr="00061E79">
        <w:rPr>
          <w:lang w:val="fr-FR"/>
        </w:rPr>
        <w:t>à</w:t>
      </w:r>
      <w:r w:rsidR="00DD3166" w:rsidRPr="00061E79">
        <w:rPr>
          <w:lang w:val="fr-FR"/>
        </w:rPr>
        <w:t xml:space="preserve"> poser dépendront du domaine d’</w:t>
      </w:r>
      <w:r w:rsidR="009471F5" w:rsidRPr="00061E79">
        <w:rPr>
          <w:lang w:val="fr-FR"/>
        </w:rPr>
        <w:t>expertise et de connaissance</w:t>
      </w:r>
      <w:r w:rsidR="00DD3166" w:rsidRPr="00061E79">
        <w:rPr>
          <w:lang w:val="fr-FR"/>
        </w:rPr>
        <w:t xml:space="preserve"> des interlocuteurs clés</w:t>
      </w:r>
      <w:r w:rsidR="00CB0DC1" w:rsidRPr="00061E79">
        <w:rPr>
          <w:lang w:val="fr-FR"/>
        </w:rPr>
        <w:t xml:space="preserve"> que vous allez</w:t>
      </w:r>
      <w:r w:rsidR="00DD3166" w:rsidRPr="00061E79">
        <w:rPr>
          <w:lang w:val="fr-FR"/>
        </w:rPr>
        <w:t xml:space="preserve"> i</w:t>
      </w:r>
      <w:r w:rsidR="00CB0DC1" w:rsidRPr="00061E79">
        <w:rPr>
          <w:lang w:val="fr-FR"/>
        </w:rPr>
        <w:t>nterroger</w:t>
      </w:r>
      <w:r w:rsidR="00DD3166" w:rsidRPr="00061E79">
        <w:rPr>
          <w:lang w:val="fr-FR"/>
        </w:rPr>
        <w:t>.</w:t>
      </w:r>
    </w:p>
    <w:p w:rsidR="00BD2E34" w:rsidRPr="00061E79" w:rsidRDefault="007B038B" w:rsidP="004D6405">
      <w:pPr>
        <w:pStyle w:val="Heading3"/>
        <w:rPr>
          <w:lang w:val="fr-FR"/>
        </w:rPr>
      </w:pPr>
      <w:r w:rsidRPr="00061E79">
        <w:rPr>
          <w:lang w:val="fr-FR"/>
        </w:rPr>
        <w:t>Liste de contrôle pour la population cible</w:t>
      </w:r>
    </w:p>
    <w:p w:rsidR="00BD2E34" w:rsidRPr="00061E79" w:rsidRDefault="00BD2E34" w:rsidP="00E9685C">
      <w:pPr>
        <w:pStyle w:val="Heading4"/>
        <w:rPr>
          <w:lang w:val="fr-FR"/>
        </w:rPr>
      </w:pPr>
      <w:r w:rsidRPr="00061E79">
        <w:rPr>
          <w:lang w:val="fr-FR"/>
        </w:rPr>
        <w:t>Acc</w:t>
      </w:r>
      <w:r w:rsidR="00DD3166" w:rsidRPr="00061E79">
        <w:rPr>
          <w:lang w:val="fr-FR"/>
        </w:rPr>
        <w:t xml:space="preserve">ès au marché et dépendance vis-à-vis </w:t>
      </w:r>
      <w:r w:rsidR="00E9685C" w:rsidRPr="00061E79">
        <w:rPr>
          <w:lang w:val="fr-FR"/>
        </w:rPr>
        <w:t>du marché</w:t>
      </w:r>
    </w:p>
    <w:p w:rsidR="0075370D" w:rsidRPr="00061E79" w:rsidRDefault="00EF42EB" w:rsidP="00EF42EB">
      <w:pPr>
        <w:pStyle w:val="Bullet2"/>
        <w:rPr>
          <w:lang w:val="fr-FR"/>
        </w:rPr>
      </w:pPr>
      <w:r w:rsidRPr="00061E79">
        <w:rPr>
          <w:lang w:val="fr-FR"/>
        </w:rPr>
        <w:t>En quelles</w:t>
      </w:r>
      <w:r w:rsidR="0075370D" w:rsidRPr="00061E79">
        <w:rPr>
          <w:lang w:val="fr-FR"/>
        </w:rPr>
        <w:t xml:space="preserve"> </w:t>
      </w:r>
      <w:r w:rsidRPr="00061E79">
        <w:rPr>
          <w:lang w:val="fr-FR"/>
        </w:rPr>
        <w:t>quantités les</w:t>
      </w:r>
      <w:r w:rsidR="0075370D" w:rsidRPr="00061E79">
        <w:rPr>
          <w:lang w:val="fr-FR"/>
        </w:rPr>
        <w:t xml:space="preserve"> produits de base</w:t>
      </w:r>
      <w:r w:rsidR="003E5F0A" w:rsidRPr="00061E79">
        <w:rPr>
          <w:lang w:val="fr-FR"/>
        </w:rPr>
        <w:t xml:space="preserve"> clés</w:t>
      </w:r>
      <w:r w:rsidR="0075370D" w:rsidRPr="00061E79">
        <w:rPr>
          <w:lang w:val="fr-FR"/>
        </w:rPr>
        <w:t xml:space="preserve"> sont</w:t>
      </w:r>
      <w:r w:rsidRPr="00061E79">
        <w:rPr>
          <w:lang w:val="fr-FR"/>
        </w:rPr>
        <w:t>-ils achetés ou vendu</w:t>
      </w:r>
      <w:r w:rsidR="0075370D" w:rsidRPr="00061E79">
        <w:rPr>
          <w:lang w:val="fr-FR"/>
        </w:rPr>
        <w:t>s sur le marché ? Quelle es</w:t>
      </w:r>
      <w:r w:rsidR="00B827FC" w:rsidRPr="00061E79">
        <w:rPr>
          <w:lang w:val="fr-FR"/>
        </w:rPr>
        <w:t xml:space="preserve">t la demande de main-d’œuvre (par </w:t>
      </w:r>
      <w:r w:rsidR="0075370D" w:rsidRPr="00061E79">
        <w:rPr>
          <w:lang w:val="fr-FR"/>
        </w:rPr>
        <w:t>ex. en nombre de jours/mois) sur le marché ?</w:t>
      </w:r>
    </w:p>
    <w:p w:rsidR="00BD2E34" w:rsidRPr="00061E79" w:rsidRDefault="0075370D" w:rsidP="004D6405">
      <w:pPr>
        <w:pStyle w:val="Bullet2"/>
        <w:rPr>
          <w:lang w:val="fr-FR"/>
        </w:rPr>
      </w:pPr>
      <w:r w:rsidRPr="00061E79">
        <w:rPr>
          <w:lang w:val="fr-FR"/>
        </w:rPr>
        <w:t>Quelle est la qualité des produits de base que les ménages achètent ou vendent sur le marché ?</w:t>
      </w:r>
    </w:p>
    <w:p w:rsidR="00BD2E34" w:rsidRPr="00061E79" w:rsidRDefault="0075370D" w:rsidP="004D6405">
      <w:pPr>
        <w:pStyle w:val="Bullet2"/>
        <w:rPr>
          <w:lang w:val="fr-FR"/>
        </w:rPr>
      </w:pPr>
      <w:r w:rsidRPr="00061E79">
        <w:rPr>
          <w:lang w:val="fr-FR"/>
        </w:rPr>
        <w:t>Quels sont les prix d’achat ou de vente des produits de base</w:t>
      </w:r>
      <w:r w:rsidR="00BA086F" w:rsidRPr="00061E79">
        <w:rPr>
          <w:lang w:val="fr-FR"/>
        </w:rPr>
        <w:t xml:space="preserve"> clés</w:t>
      </w:r>
      <w:r w:rsidRPr="00061E79">
        <w:rPr>
          <w:lang w:val="fr-FR"/>
        </w:rPr>
        <w:t> ? Quel est le salaire « normal » ? Existe-t-il un salaire minimal ?</w:t>
      </w:r>
    </w:p>
    <w:p w:rsidR="0075370D" w:rsidRPr="00061E79" w:rsidRDefault="0075370D" w:rsidP="00EF42EB">
      <w:pPr>
        <w:pStyle w:val="Bullet2"/>
        <w:rPr>
          <w:lang w:val="fr-FR"/>
        </w:rPr>
      </w:pPr>
      <w:r w:rsidRPr="00061E79">
        <w:rPr>
          <w:lang w:val="fr-FR"/>
        </w:rPr>
        <w:t xml:space="preserve">Quelle proportion </w:t>
      </w:r>
      <w:r w:rsidR="003E5F0A" w:rsidRPr="00061E79">
        <w:rPr>
          <w:lang w:val="fr-FR"/>
        </w:rPr>
        <w:t>des</w:t>
      </w:r>
      <w:r w:rsidRPr="00061E79">
        <w:rPr>
          <w:lang w:val="fr-FR"/>
        </w:rPr>
        <w:t xml:space="preserve"> produits de base</w:t>
      </w:r>
      <w:r w:rsidR="003E5F0A" w:rsidRPr="00061E79">
        <w:rPr>
          <w:lang w:val="fr-FR"/>
        </w:rPr>
        <w:t xml:space="preserve"> clés</w:t>
      </w:r>
      <w:r w:rsidRPr="00061E79">
        <w:rPr>
          <w:lang w:val="fr-FR"/>
        </w:rPr>
        <w:t xml:space="preserve"> </w:t>
      </w:r>
      <w:r w:rsidR="00EF42EB" w:rsidRPr="00061E79">
        <w:rPr>
          <w:lang w:val="fr-FR"/>
        </w:rPr>
        <w:t>est achetée</w:t>
      </w:r>
      <w:r w:rsidRPr="00061E79">
        <w:rPr>
          <w:lang w:val="fr-FR"/>
        </w:rPr>
        <w:t xml:space="preserve"> sur le marché ? (Indiquez un pourcentage)</w:t>
      </w:r>
    </w:p>
    <w:p w:rsidR="00BD2E34" w:rsidRPr="00061E79" w:rsidRDefault="00EF42EB" w:rsidP="00BB340B">
      <w:pPr>
        <w:pStyle w:val="Bullet2"/>
        <w:rPr>
          <w:lang w:val="fr-FR"/>
        </w:rPr>
      </w:pPr>
      <w:r w:rsidRPr="00061E79">
        <w:rPr>
          <w:lang w:val="fr-FR"/>
        </w:rPr>
        <w:t>De manière générale, q</w:t>
      </w:r>
      <w:r w:rsidR="0075370D" w:rsidRPr="00061E79">
        <w:rPr>
          <w:lang w:val="fr-FR"/>
        </w:rPr>
        <w:t>uelle proportion d</w:t>
      </w:r>
      <w:r w:rsidR="003E5F0A" w:rsidRPr="00061E79">
        <w:rPr>
          <w:lang w:val="fr-FR"/>
        </w:rPr>
        <w:t>u</w:t>
      </w:r>
      <w:r w:rsidR="0075370D" w:rsidRPr="00061E79">
        <w:rPr>
          <w:lang w:val="fr-FR"/>
        </w:rPr>
        <w:t xml:space="preserve"> revenu des ménages </w:t>
      </w:r>
      <w:r w:rsidRPr="00061E79">
        <w:rPr>
          <w:lang w:val="fr-FR"/>
        </w:rPr>
        <w:t>résulte</w:t>
      </w:r>
      <w:r w:rsidR="0075370D" w:rsidRPr="00061E79">
        <w:rPr>
          <w:lang w:val="fr-FR"/>
        </w:rPr>
        <w:t xml:space="preserve"> de la vente </w:t>
      </w:r>
      <w:r w:rsidRPr="00061E79">
        <w:rPr>
          <w:lang w:val="fr-FR"/>
        </w:rPr>
        <w:t>d</w:t>
      </w:r>
      <w:r w:rsidR="0075370D" w:rsidRPr="00061E79">
        <w:rPr>
          <w:lang w:val="fr-FR"/>
        </w:rPr>
        <w:t>es pr</w:t>
      </w:r>
      <w:r w:rsidR="00123DD4" w:rsidRPr="00061E79">
        <w:rPr>
          <w:lang w:val="fr-FR"/>
        </w:rPr>
        <w:t>oduits de base ou</w:t>
      </w:r>
      <w:r w:rsidR="00BB340B" w:rsidRPr="00061E79">
        <w:rPr>
          <w:lang w:val="fr-FR"/>
        </w:rPr>
        <w:t xml:space="preserve"> du travail sur le marché </w:t>
      </w:r>
      <w:r w:rsidR="0075370D" w:rsidRPr="00061E79">
        <w:rPr>
          <w:lang w:val="fr-FR"/>
        </w:rPr>
        <w:t>? (Indiquez un pourcentage)</w:t>
      </w:r>
    </w:p>
    <w:p w:rsidR="00BD2E34" w:rsidRPr="00061E79" w:rsidRDefault="0075370D" w:rsidP="00123DD4">
      <w:pPr>
        <w:pStyle w:val="Bullet2"/>
        <w:rPr>
          <w:lang w:val="fr-FR"/>
        </w:rPr>
      </w:pPr>
      <w:r w:rsidRPr="00061E79">
        <w:rPr>
          <w:lang w:val="fr-FR"/>
        </w:rPr>
        <w:t xml:space="preserve">Les </w:t>
      </w:r>
      <w:r w:rsidR="00461337" w:rsidRPr="00061E79">
        <w:rPr>
          <w:lang w:val="fr-FR"/>
        </w:rPr>
        <w:t>ménages sont-ils en mesure d’obtenir les quantités nécessaires ou de générer les revenus nécessaires grâce au marché ? Si non, pourquoi ?</w:t>
      </w:r>
    </w:p>
    <w:p w:rsidR="00BD2E34" w:rsidRPr="00061E79" w:rsidRDefault="00461337" w:rsidP="004D6405">
      <w:pPr>
        <w:pStyle w:val="Bullet2"/>
        <w:rPr>
          <w:lang w:val="fr-FR"/>
        </w:rPr>
      </w:pPr>
      <w:r w:rsidRPr="00061E79">
        <w:rPr>
          <w:lang w:val="fr-FR"/>
        </w:rPr>
        <w:t>Quelles sont « normalement » les modalités</w:t>
      </w:r>
      <w:r w:rsidR="003E5F0A" w:rsidRPr="00061E79">
        <w:rPr>
          <w:lang w:val="fr-FR"/>
        </w:rPr>
        <w:t xml:space="preserve"> de paiement</w:t>
      </w:r>
      <w:r w:rsidRPr="00061E79">
        <w:rPr>
          <w:lang w:val="fr-FR"/>
        </w:rPr>
        <w:t xml:space="preserve"> et la fréquence de</w:t>
      </w:r>
      <w:r w:rsidR="003E5F0A" w:rsidRPr="00061E79">
        <w:rPr>
          <w:lang w:val="fr-FR"/>
        </w:rPr>
        <w:t>s</w:t>
      </w:r>
      <w:r w:rsidRPr="00061E79">
        <w:rPr>
          <w:lang w:val="fr-FR"/>
        </w:rPr>
        <w:t xml:space="preserve"> paiement</w:t>
      </w:r>
      <w:r w:rsidR="003E5F0A" w:rsidRPr="00061E79">
        <w:rPr>
          <w:lang w:val="fr-FR"/>
        </w:rPr>
        <w:t>s</w:t>
      </w:r>
      <w:r w:rsidRPr="00061E79">
        <w:rPr>
          <w:lang w:val="fr-FR"/>
        </w:rPr>
        <w:t> ?</w:t>
      </w:r>
    </w:p>
    <w:p w:rsidR="00BD2E34" w:rsidRPr="00061E79" w:rsidRDefault="00461337" w:rsidP="004D6405">
      <w:pPr>
        <w:pStyle w:val="Bullet2"/>
        <w:rPr>
          <w:lang w:val="fr-FR"/>
        </w:rPr>
      </w:pPr>
      <w:r w:rsidRPr="00061E79">
        <w:rPr>
          <w:lang w:val="fr-FR"/>
        </w:rPr>
        <w:t>Les ménages sont-ils en mesure d’obtenir un crédit (soit formel, soit informel) et auprès de qui ? Quelles sont les conditions (montants, durée et taux d’intérêt) ?</w:t>
      </w:r>
    </w:p>
    <w:p w:rsidR="00BD2E34" w:rsidRPr="00061E79" w:rsidRDefault="00461337" w:rsidP="004D6405">
      <w:pPr>
        <w:pStyle w:val="Bullet2"/>
        <w:rPr>
          <w:lang w:val="fr-FR"/>
        </w:rPr>
      </w:pPr>
      <w:r w:rsidRPr="00061E79">
        <w:rPr>
          <w:lang w:val="fr-FR"/>
        </w:rPr>
        <w:t xml:space="preserve">Les ménages peuvent-ils </w:t>
      </w:r>
      <w:r w:rsidR="003E5F0A" w:rsidRPr="00061E79">
        <w:rPr>
          <w:lang w:val="fr-FR"/>
        </w:rPr>
        <w:t>bénéficier</w:t>
      </w:r>
      <w:r w:rsidRPr="00061E79">
        <w:rPr>
          <w:lang w:val="fr-FR"/>
        </w:rPr>
        <w:t xml:space="preserve"> </w:t>
      </w:r>
      <w:r w:rsidR="003E5F0A" w:rsidRPr="00061E79">
        <w:rPr>
          <w:lang w:val="fr-FR"/>
        </w:rPr>
        <w:t>d’</w:t>
      </w:r>
      <w:r w:rsidRPr="00061E79">
        <w:rPr>
          <w:lang w:val="fr-FR"/>
        </w:rPr>
        <w:t>une aide sociale, sous la forme d’emprunts, de transferts de fonds, etc. ?</w:t>
      </w:r>
    </w:p>
    <w:p w:rsidR="00BD2E34" w:rsidRPr="00061E79" w:rsidRDefault="00DD3166" w:rsidP="006853D4">
      <w:pPr>
        <w:pStyle w:val="Heading4"/>
        <w:rPr>
          <w:lang w:val="fr-FR"/>
        </w:rPr>
      </w:pPr>
      <w:r w:rsidRPr="00061E79">
        <w:rPr>
          <w:lang w:val="fr-FR"/>
        </w:rPr>
        <w:t>Accès physique au marché</w:t>
      </w:r>
    </w:p>
    <w:p w:rsidR="00461337" w:rsidRPr="00061E79" w:rsidRDefault="00461337" w:rsidP="00EE6DC4">
      <w:pPr>
        <w:pStyle w:val="Bullet2"/>
        <w:keepNext/>
        <w:keepLines/>
        <w:rPr>
          <w:lang w:val="fr-FR"/>
        </w:rPr>
      </w:pPr>
      <w:r w:rsidRPr="00061E79">
        <w:rPr>
          <w:lang w:val="fr-FR"/>
        </w:rPr>
        <w:t>À quels marchés/fournisseurs/</w:t>
      </w:r>
      <w:r w:rsidR="003E5F0A" w:rsidRPr="00061E79">
        <w:rPr>
          <w:lang w:val="fr-FR"/>
        </w:rPr>
        <w:t>places</w:t>
      </w:r>
      <w:r w:rsidRPr="00061E79">
        <w:rPr>
          <w:lang w:val="fr-FR"/>
        </w:rPr>
        <w:t xml:space="preserve"> de travail les ménages ont-ils accès ?</w:t>
      </w:r>
    </w:p>
    <w:p w:rsidR="00BD2E34" w:rsidRPr="00061E79" w:rsidRDefault="00461337" w:rsidP="003D71AD">
      <w:pPr>
        <w:pStyle w:val="Bullet2"/>
        <w:keepNext/>
        <w:keepLines/>
        <w:rPr>
          <w:lang w:val="fr-FR"/>
        </w:rPr>
      </w:pPr>
      <w:r w:rsidRPr="00061E79">
        <w:rPr>
          <w:lang w:val="fr-FR"/>
        </w:rPr>
        <w:t xml:space="preserve">Décrivez </w:t>
      </w:r>
      <w:r w:rsidR="003D71AD" w:rsidRPr="00061E79">
        <w:rPr>
          <w:lang w:val="fr-FR"/>
        </w:rPr>
        <w:t>les modalités d</w:t>
      </w:r>
      <w:r w:rsidRPr="00061E79">
        <w:rPr>
          <w:lang w:val="fr-FR"/>
        </w:rPr>
        <w:t>’</w:t>
      </w:r>
      <w:r w:rsidR="003E5F0A" w:rsidRPr="00061E79">
        <w:rPr>
          <w:lang w:val="fr-FR"/>
        </w:rPr>
        <w:t>accès des ménages aux marchés/fournisseurs/places</w:t>
      </w:r>
      <w:r w:rsidRPr="00061E79">
        <w:rPr>
          <w:lang w:val="fr-FR"/>
        </w:rPr>
        <w:t xml:space="preserve"> de travail (distance, moyens de transport, coût et durée du trajet, fréquence des trajets).</w:t>
      </w:r>
    </w:p>
    <w:p w:rsidR="00461337" w:rsidRPr="00061E79" w:rsidRDefault="003D71AD" w:rsidP="003D71AD">
      <w:pPr>
        <w:pStyle w:val="Bullet2"/>
        <w:rPr>
          <w:lang w:val="fr-FR"/>
        </w:rPr>
      </w:pPr>
      <w:r w:rsidRPr="00061E79">
        <w:rPr>
          <w:lang w:val="fr-FR"/>
        </w:rPr>
        <w:t>Certains</w:t>
      </w:r>
      <w:r w:rsidR="00461337" w:rsidRPr="00061E79">
        <w:rPr>
          <w:lang w:val="fr-FR"/>
        </w:rPr>
        <w:t xml:space="preserve"> groupe</w:t>
      </w:r>
      <w:r w:rsidRPr="00061E79">
        <w:rPr>
          <w:lang w:val="fr-FR"/>
        </w:rPr>
        <w:t>s sociaux</w:t>
      </w:r>
      <w:r w:rsidR="00461337" w:rsidRPr="00061E79">
        <w:rPr>
          <w:lang w:val="fr-FR"/>
        </w:rPr>
        <w:t xml:space="preserve"> (sexe, âge, appartenance ethnique, etc.) </w:t>
      </w:r>
      <w:r w:rsidRPr="00061E79">
        <w:rPr>
          <w:lang w:val="fr-FR"/>
        </w:rPr>
        <w:t>ont-ils un</w:t>
      </w:r>
      <w:r w:rsidR="00461337" w:rsidRPr="00061E79">
        <w:rPr>
          <w:lang w:val="fr-FR"/>
        </w:rPr>
        <w:t xml:space="preserve"> accès limité au marché (possibilités de travail) ? Pourquoi ?</w:t>
      </w:r>
    </w:p>
    <w:p w:rsidR="00BD2E34" w:rsidRPr="00061E79" w:rsidRDefault="007B038B" w:rsidP="006853D4">
      <w:pPr>
        <w:pStyle w:val="Heading4"/>
        <w:rPr>
          <w:lang w:val="fr-FR"/>
        </w:rPr>
      </w:pPr>
      <w:r w:rsidRPr="00061E79">
        <w:rPr>
          <w:lang w:val="fr-FR"/>
        </w:rPr>
        <w:t>Préfé</w:t>
      </w:r>
      <w:r w:rsidR="00BD2E34" w:rsidRPr="00061E79">
        <w:rPr>
          <w:lang w:val="fr-FR"/>
        </w:rPr>
        <w:t>rences</w:t>
      </w:r>
    </w:p>
    <w:p w:rsidR="00461337" w:rsidRPr="00061E79" w:rsidRDefault="001B77DB" w:rsidP="004D6405">
      <w:pPr>
        <w:pStyle w:val="Bullet2"/>
        <w:rPr>
          <w:lang w:val="fr-FR"/>
        </w:rPr>
      </w:pPr>
      <w:r w:rsidRPr="00061E79">
        <w:rPr>
          <w:lang w:val="fr-FR"/>
        </w:rPr>
        <w:t>Quels sont les choix et les préférences des ménages en ce qui concerne le type et/ou la qualité des produits de base ?</w:t>
      </w:r>
      <w:r w:rsidR="00461337" w:rsidRPr="00061E79">
        <w:rPr>
          <w:lang w:val="fr-FR"/>
        </w:rPr>
        <w:t xml:space="preserve"> </w:t>
      </w:r>
    </w:p>
    <w:p w:rsidR="00BD2E34" w:rsidRPr="00061E79" w:rsidRDefault="007B038B" w:rsidP="004D6405">
      <w:pPr>
        <w:pStyle w:val="Heading3"/>
        <w:rPr>
          <w:lang w:val="fr-FR"/>
        </w:rPr>
      </w:pPr>
      <w:r w:rsidRPr="00061E79">
        <w:rPr>
          <w:lang w:val="fr-FR"/>
        </w:rPr>
        <w:t>Liste de contrôle pour les commerçants</w:t>
      </w:r>
    </w:p>
    <w:p w:rsidR="00BD2E34" w:rsidRPr="00061E79" w:rsidRDefault="007B038B" w:rsidP="006853D4">
      <w:pPr>
        <w:pStyle w:val="Heading4"/>
        <w:rPr>
          <w:lang w:val="fr-FR"/>
        </w:rPr>
      </w:pPr>
      <w:r w:rsidRPr="00061E79">
        <w:rPr>
          <w:lang w:val="fr-FR"/>
        </w:rPr>
        <w:t>Caractéristiques</w:t>
      </w:r>
      <w:r w:rsidR="00BD2E34" w:rsidRPr="00061E79">
        <w:rPr>
          <w:lang w:val="fr-FR"/>
        </w:rPr>
        <w:t xml:space="preserve"> </w:t>
      </w:r>
      <w:r w:rsidRPr="00061E79">
        <w:rPr>
          <w:lang w:val="fr-FR"/>
        </w:rPr>
        <w:t>des commerçants</w:t>
      </w:r>
    </w:p>
    <w:p w:rsidR="001B77DB" w:rsidRPr="00061E79" w:rsidRDefault="003E5F0A" w:rsidP="004D6405">
      <w:pPr>
        <w:pStyle w:val="Bullet2"/>
        <w:rPr>
          <w:lang w:val="fr-FR"/>
        </w:rPr>
      </w:pPr>
      <w:r w:rsidRPr="00061E79">
        <w:rPr>
          <w:lang w:val="fr-FR"/>
        </w:rPr>
        <w:t>Décrivez les différentes catégories</w:t>
      </w:r>
      <w:r w:rsidR="001B77DB" w:rsidRPr="00061E79">
        <w:rPr>
          <w:lang w:val="fr-FR"/>
        </w:rPr>
        <w:t xml:space="preserve"> de commerçants.</w:t>
      </w:r>
    </w:p>
    <w:p w:rsidR="00BD2E34" w:rsidRPr="00061E79" w:rsidRDefault="001B77DB" w:rsidP="00621E8B">
      <w:pPr>
        <w:pStyle w:val="Bullet2"/>
        <w:rPr>
          <w:lang w:val="fr-FR"/>
        </w:rPr>
      </w:pPr>
      <w:r w:rsidRPr="00061E79">
        <w:rPr>
          <w:lang w:val="fr-FR"/>
        </w:rPr>
        <w:t xml:space="preserve">Quels </w:t>
      </w:r>
      <w:r w:rsidR="003E5F0A" w:rsidRPr="00061E79">
        <w:rPr>
          <w:lang w:val="fr-FR"/>
        </w:rPr>
        <w:t>produits de base/</w:t>
      </w:r>
      <w:r w:rsidRPr="00061E79">
        <w:rPr>
          <w:lang w:val="fr-FR"/>
        </w:rPr>
        <w:t>services proposent</w:t>
      </w:r>
      <w:r w:rsidR="00621E8B" w:rsidRPr="00061E79">
        <w:rPr>
          <w:lang w:val="fr-FR"/>
        </w:rPr>
        <w:t>-ils</w:t>
      </w:r>
      <w:r w:rsidRPr="00061E79">
        <w:rPr>
          <w:lang w:val="fr-FR"/>
        </w:rPr>
        <w:t> ?</w:t>
      </w:r>
    </w:p>
    <w:p w:rsidR="001B77DB" w:rsidRPr="00061E79" w:rsidRDefault="001B77DB" w:rsidP="004D6405">
      <w:pPr>
        <w:pStyle w:val="Bullet2"/>
        <w:rPr>
          <w:lang w:val="fr-FR"/>
        </w:rPr>
      </w:pPr>
      <w:r w:rsidRPr="00061E79">
        <w:rPr>
          <w:lang w:val="fr-FR"/>
        </w:rPr>
        <w:t xml:space="preserve">Qui sont leurs clients ? D’où viennent-ils ? Les clients varient-ils </w:t>
      </w:r>
      <w:r w:rsidR="003E5F0A" w:rsidRPr="00061E79">
        <w:rPr>
          <w:lang w:val="fr-FR"/>
        </w:rPr>
        <w:t>en fonction d</w:t>
      </w:r>
      <w:r w:rsidRPr="00061E79">
        <w:rPr>
          <w:lang w:val="fr-FR"/>
        </w:rPr>
        <w:t>es saisons ?</w:t>
      </w:r>
    </w:p>
    <w:p w:rsidR="00BD2E34" w:rsidRPr="00061E79" w:rsidRDefault="00DD3166" w:rsidP="006853D4">
      <w:pPr>
        <w:pStyle w:val="Heading4"/>
        <w:rPr>
          <w:lang w:val="fr-FR"/>
        </w:rPr>
      </w:pPr>
      <w:r w:rsidRPr="00061E79">
        <w:rPr>
          <w:lang w:val="fr-FR"/>
        </w:rPr>
        <w:t>Pratiques en matière d’achats</w:t>
      </w:r>
    </w:p>
    <w:p w:rsidR="001B77DB" w:rsidRPr="00061E79" w:rsidRDefault="001B77DB" w:rsidP="004D6405">
      <w:pPr>
        <w:pStyle w:val="Bullet2"/>
        <w:rPr>
          <w:lang w:val="fr-FR"/>
        </w:rPr>
      </w:pPr>
      <w:r w:rsidRPr="00061E79">
        <w:rPr>
          <w:lang w:val="fr-FR"/>
        </w:rPr>
        <w:t>Quand, où et auprès</w:t>
      </w:r>
      <w:r w:rsidR="003E5F0A" w:rsidRPr="00061E79">
        <w:rPr>
          <w:lang w:val="fr-FR"/>
        </w:rPr>
        <w:t xml:space="preserve"> de</w:t>
      </w:r>
      <w:r w:rsidRPr="00061E79">
        <w:rPr>
          <w:lang w:val="fr-FR"/>
        </w:rPr>
        <w:t xml:space="preserve"> qui les commerçants </w:t>
      </w:r>
      <w:r w:rsidR="003E5F0A" w:rsidRPr="00061E79">
        <w:rPr>
          <w:lang w:val="fr-FR"/>
        </w:rPr>
        <w:t>se procurent-ils</w:t>
      </w:r>
      <w:r w:rsidRPr="00061E79">
        <w:rPr>
          <w:lang w:val="fr-FR"/>
        </w:rPr>
        <w:t xml:space="preserve"> les produits de base ? </w:t>
      </w:r>
      <w:r w:rsidR="003E5F0A" w:rsidRPr="00061E79">
        <w:rPr>
          <w:lang w:val="fr-FR"/>
        </w:rPr>
        <w:t>D’où viennent l</w:t>
      </w:r>
      <w:r w:rsidRPr="00061E79">
        <w:rPr>
          <w:lang w:val="fr-FR"/>
        </w:rPr>
        <w:t>es produits de base ?</w:t>
      </w:r>
    </w:p>
    <w:p w:rsidR="00BD2E34" w:rsidRPr="00061E79" w:rsidRDefault="00621E8B" w:rsidP="00621E8B">
      <w:pPr>
        <w:pStyle w:val="Bullet2"/>
        <w:rPr>
          <w:lang w:val="fr-FR"/>
        </w:rPr>
      </w:pPr>
      <w:r w:rsidRPr="00061E79">
        <w:rPr>
          <w:lang w:val="fr-FR"/>
        </w:rPr>
        <w:t>En quelle</w:t>
      </w:r>
      <w:r w:rsidR="001B77DB" w:rsidRPr="00061E79">
        <w:rPr>
          <w:lang w:val="fr-FR"/>
        </w:rPr>
        <w:t xml:space="preserve"> quantité </w:t>
      </w:r>
      <w:r w:rsidRPr="00061E79">
        <w:rPr>
          <w:lang w:val="fr-FR"/>
        </w:rPr>
        <w:t>les commerçants achètent-ils les produits de base actuellement/en temps « normal »</w:t>
      </w:r>
      <w:r w:rsidR="001B77DB" w:rsidRPr="00061E79">
        <w:rPr>
          <w:lang w:val="fr-FR"/>
        </w:rPr>
        <w:t> ?</w:t>
      </w:r>
    </w:p>
    <w:p w:rsidR="001B77DB" w:rsidRPr="00061E79" w:rsidRDefault="001B77DB" w:rsidP="004D6405">
      <w:pPr>
        <w:pStyle w:val="Bullet2"/>
        <w:rPr>
          <w:lang w:val="fr-FR"/>
        </w:rPr>
      </w:pPr>
      <w:r w:rsidRPr="00061E79">
        <w:rPr>
          <w:lang w:val="fr-FR"/>
        </w:rPr>
        <w:t>Les commerçants doivent-ils emprunter de l’argent pour ac</w:t>
      </w:r>
      <w:r w:rsidR="003E5F0A" w:rsidRPr="00061E79">
        <w:rPr>
          <w:lang w:val="fr-FR"/>
        </w:rPr>
        <w:t>heter</w:t>
      </w:r>
      <w:r w:rsidRPr="00061E79">
        <w:rPr>
          <w:lang w:val="fr-FR"/>
        </w:rPr>
        <w:t xml:space="preserve"> les produits de base qu’ils revendent ensuite ? </w:t>
      </w:r>
      <w:r w:rsidR="003E5F0A" w:rsidRPr="00061E79">
        <w:rPr>
          <w:lang w:val="fr-FR"/>
        </w:rPr>
        <w:t>Si oui</w:t>
      </w:r>
      <w:r w:rsidRPr="00061E79">
        <w:rPr>
          <w:lang w:val="fr-FR"/>
        </w:rPr>
        <w:t>, à quelles conditions (combien, auprès de qui, quand, taux d’intérêt, délais de remboursement) ?</w:t>
      </w:r>
    </w:p>
    <w:p w:rsidR="001B77DB" w:rsidRPr="00061E79" w:rsidRDefault="001B77DB" w:rsidP="00621E8B">
      <w:pPr>
        <w:pStyle w:val="Bullet2"/>
        <w:rPr>
          <w:lang w:val="fr-FR"/>
        </w:rPr>
      </w:pPr>
      <w:r w:rsidRPr="00061E79">
        <w:rPr>
          <w:lang w:val="fr-FR"/>
        </w:rPr>
        <w:t xml:space="preserve">Quels sont les mois </w:t>
      </w:r>
      <w:r w:rsidR="00621E8B" w:rsidRPr="00061E79">
        <w:rPr>
          <w:lang w:val="fr-FR"/>
        </w:rPr>
        <w:t>où</w:t>
      </w:r>
      <w:r w:rsidRPr="00061E79">
        <w:rPr>
          <w:lang w:val="fr-FR"/>
        </w:rPr>
        <w:t xml:space="preserve"> les prix d’achat sont </w:t>
      </w:r>
      <w:r w:rsidR="00621E8B" w:rsidRPr="00061E79">
        <w:rPr>
          <w:lang w:val="fr-FR"/>
        </w:rPr>
        <w:t xml:space="preserve">les </w:t>
      </w:r>
      <w:r w:rsidRPr="00061E79">
        <w:rPr>
          <w:lang w:val="fr-FR"/>
        </w:rPr>
        <w:t xml:space="preserve">plus élevés ? Et </w:t>
      </w:r>
      <w:r w:rsidR="00621E8B" w:rsidRPr="00061E79">
        <w:rPr>
          <w:lang w:val="fr-FR"/>
        </w:rPr>
        <w:t xml:space="preserve">les </w:t>
      </w:r>
      <w:r w:rsidRPr="00061E79">
        <w:rPr>
          <w:lang w:val="fr-FR"/>
        </w:rPr>
        <w:t>plus bas ?</w:t>
      </w:r>
    </w:p>
    <w:p w:rsidR="00BD2E34" w:rsidRPr="00061E79" w:rsidRDefault="00DD3166" w:rsidP="006853D4">
      <w:pPr>
        <w:pStyle w:val="Heading4"/>
        <w:rPr>
          <w:lang w:val="fr-FR"/>
        </w:rPr>
      </w:pPr>
      <w:r w:rsidRPr="00061E79">
        <w:rPr>
          <w:lang w:val="fr-FR"/>
        </w:rPr>
        <w:t>Degré de compétitivité</w:t>
      </w:r>
    </w:p>
    <w:p w:rsidR="001B77DB" w:rsidRPr="00061E79" w:rsidRDefault="00D8583F" w:rsidP="00621E8B">
      <w:pPr>
        <w:pStyle w:val="Bullet2"/>
        <w:rPr>
          <w:lang w:val="fr-FR"/>
        </w:rPr>
      </w:pPr>
      <w:r w:rsidRPr="00061E79">
        <w:rPr>
          <w:lang w:val="fr-FR"/>
        </w:rPr>
        <w:t>Combien de commerçants vend</w:t>
      </w:r>
      <w:r w:rsidR="00621E8B" w:rsidRPr="00061E79">
        <w:rPr>
          <w:lang w:val="fr-FR"/>
        </w:rPr>
        <w:t>e</w:t>
      </w:r>
      <w:r w:rsidRPr="00061E79">
        <w:rPr>
          <w:lang w:val="fr-FR"/>
        </w:rPr>
        <w:t>nt les même</w:t>
      </w:r>
      <w:r w:rsidR="00502E26" w:rsidRPr="00061E79">
        <w:rPr>
          <w:lang w:val="fr-FR"/>
        </w:rPr>
        <w:t>s</w:t>
      </w:r>
      <w:r w:rsidRPr="00061E79">
        <w:rPr>
          <w:lang w:val="fr-FR"/>
        </w:rPr>
        <w:t xml:space="preserve"> produits dans la région ?</w:t>
      </w:r>
    </w:p>
    <w:p w:rsidR="00BD2E34" w:rsidRPr="00061E79" w:rsidRDefault="003E5F0A" w:rsidP="004D6405">
      <w:pPr>
        <w:pStyle w:val="Bullet2"/>
        <w:rPr>
          <w:lang w:val="fr-FR"/>
        </w:rPr>
      </w:pPr>
      <w:r w:rsidRPr="00061E79">
        <w:rPr>
          <w:lang w:val="fr-FR"/>
        </w:rPr>
        <w:t xml:space="preserve">Ces </w:t>
      </w:r>
      <w:r w:rsidR="00502E26" w:rsidRPr="00061E79">
        <w:rPr>
          <w:lang w:val="fr-FR"/>
        </w:rPr>
        <w:t>commerçants sont-ils tous de la même taille ?</w:t>
      </w:r>
    </w:p>
    <w:p w:rsidR="00BD2E34" w:rsidRPr="00061E79" w:rsidRDefault="00502E26" w:rsidP="004D6405">
      <w:pPr>
        <w:pStyle w:val="Bullet2"/>
        <w:rPr>
          <w:lang w:val="fr-FR"/>
        </w:rPr>
      </w:pPr>
      <w:r w:rsidRPr="00061E79">
        <w:rPr>
          <w:lang w:val="fr-FR"/>
        </w:rPr>
        <w:t>Les clients peuvent-ils négocier les prix ?</w:t>
      </w:r>
    </w:p>
    <w:p w:rsidR="00BD2E34" w:rsidRPr="00061E79" w:rsidRDefault="00502E26" w:rsidP="004D6405">
      <w:pPr>
        <w:pStyle w:val="Bullet2"/>
        <w:rPr>
          <w:lang w:val="fr-FR"/>
        </w:rPr>
      </w:pPr>
      <w:r w:rsidRPr="00061E79">
        <w:rPr>
          <w:lang w:val="fr-FR"/>
        </w:rPr>
        <w:t>Comment les commerçants définissent-ils les prix des produits qu’ils vendent ?</w:t>
      </w:r>
    </w:p>
    <w:p w:rsidR="00BD2E34" w:rsidRPr="00061E79" w:rsidRDefault="00DD3166" w:rsidP="006853D4">
      <w:pPr>
        <w:pStyle w:val="Heading4"/>
        <w:rPr>
          <w:lang w:val="fr-FR"/>
        </w:rPr>
      </w:pPr>
      <w:r w:rsidRPr="00061E79">
        <w:rPr>
          <w:lang w:val="fr-FR"/>
        </w:rPr>
        <w:t>Pratiques en matière de ventes</w:t>
      </w:r>
    </w:p>
    <w:p w:rsidR="00502E26" w:rsidRPr="00061E79" w:rsidRDefault="00502E26" w:rsidP="004D6405">
      <w:pPr>
        <w:pStyle w:val="Bullet2"/>
        <w:rPr>
          <w:lang w:val="fr-FR"/>
        </w:rPr>
      </w:pPr>
      <w:r w:rsidRPr="00061E79">
        <w:rPr>
          <w:lang w:val="fr-FR"/>
        </w:rPr>
        <w:t>Quel est le volume des ventes au cours des différents mois de l’année (en temps « normal ») ?</w:t>
      </w:r>
    </w:p>
    <w:p w:rsidR="00502E26" w:rsidRPr="00061E79" w:rsidRDefault="00502E26" w:rsidP="004D6405">
      <w:pPr>
        <w:pStyle w:val="Bullet2"/>
        <w:rPr>
          <w:lang w:val="fr-FR"/>
        </w:rPr>
      </w:pPr>
      <w:r w:rsidRPr="00061E79">
        <w:rPr>
          <w:lang w:val="fr-FR"/>
        </w:rPr>
        <w:t>Quels sont les prix de vente des produits de base</w:t>
      </w:r>
      <w:r w:rsidR="003E5F0A" w:rsidRPr="00061E79">
        <w:rPr>
          <w:lang w:val="fr-FR"/>
        </w:rPr>
        <w:t xml:space="preserve"> clés</w:t>
      </w:r>
      <w:r w:rsidRPr="00061E79">
        <w:rPr>
          <w:lang w:val="fr-FR"/>
        </w:rPr>
        <w:t> ?</w:t>
      </w:r>
    </w:p>
    <w:p w:rsidR="00BD2E34" w:rsidRPr="00061E79" w:rsidRDefault="00502E26" w:rsidP="004D6405">
      <w:pPr>
        <w:pStyle w:val="Bullet2"/>
        <w:rPr>
          <w:lang w:val="fr-FR"/>
        </w:rPr>
      </w:pPr>
      <w:r w:rsidRPr="00061E79">
        <w:rPr>
          <w:lang w:val="fr-FR"/>
        </w:rPr>
        <w:t xml:space="preserve">Les commerçants </w:t>
      </w:r>
      <w:r w:rsidR="003E5F0A" w:rsidRPr="00061E79">
        <w:rPr>
          <w:lang w:val="fr-FR"/>
        </w:rPr>
        <w:t>font-ils crédit</w:t>
      </w:r>
      <w:r w:rsidRPr="00061E79">
        <w:rPr>
          <w:lang w:val="fr-FR"/>
        </w:rPr>
        <w:t xml:space="preserve"> à leurs clients ? Si non, pourquoi ? Si oui, quand, à qui et à quelles conditions ?</w:t>
      </w:r>
    </w:p>
    <w:p w:rsidR="00BD2E34" w:rsidRPr="00061E79" w:rsidRDefault="00BD2E34" w:rsidP="006853D4">
      <w:pPr>
        <w:pStyle w:val="Heading4"/>
        <w:rPr>
          <w:lang w:val="fr-FR"/>
        </w:rPr>
      </w:pPr>
      <w:r w:rsidRPr="00061E79">
        <w:rPr>
          <w:lang w:val="fr-FR"/>
        </w:rPr>
        <w:t>Acc</w:t>
      </w:r>
      <w:r w:rsidR="007B038B" w:rsidRPr="00061E79">
        <w:rPr>
          <w:lang w:val="fr-FR"/>
        </w:rPr>
        <w:t>ès à l’</w:t>
      </w:r>
      <w:r w:rsidR="003E5F0A" w:rsidRPr="00061E79">
        <w:rPr>
          <w:lang w:val="fr-FR"/>
        </w:rPr>
        <w:t>infrastructure/</w:t>
      </w:r>
      <w:r w:rsidR="007B038B" w:rsidRPr="00061E79">
        <w:rPr>
          <w:lang w:val="fr-FR"/>
        </w:rPr>
        <w:t xml:space="preserve">aux </w:t>
      </w:r>
      <w:r w:rsidRPr="00061E79">
        <w:rPr>
          <w:lang w:val="fr-FR"/>
        </w:rPr>
        <w:t>services</w:t>
      </w:r>
    </w:p>
    <w:p w:rsidR="00502E26" w:rsidRPr="00061E79" w:rsidRDefault="00710CC5" w:rsidP="004D6405">
      <w:pPr>
        <w:pStyle w:val="Bullet2"/>
        <w:rPr>
          <w:lang w:val="fr-FR"/>
        </w:rPr>
      </w:pPr>
      <w:r w:rsidRPr="00061E79">
        <w:rPr>
          <w:lang w:val="fr-FR"/>
        </w:rPr>
        <w:t xml:space="preserve">Comment les commerçants </w:t>
      </w:r>
      <w:r w:rsidR="003E5F0A" w:rsidRPr="00061E79">
        <w:rPr>
          <w:lang w:val="fr-FR"/>
        </w:rPr>
        <w:t>acheminen</w:t>
      </w:r>
      <w:r w:rsidRPr="00061E79">
        <w:rPr>
          <w:lang w:val="fr-FR"/>
        </w:rPr>
        <w:t xml:space="preserve">t-ils en </w:t>
      </w:r>
      <w:r w:rsidR="003E5F0A" w:rsidRPr="00061E79">
        <w:rPr>
          <w:lang w:val="fr-FR"/>
        </w:rPr>
        <w:t>temps normal</w:t>
      </w:r>
      <w:r w:rsidRPr="00061E79">
        <w:rPr>
          <w:lang w:val="fr-FR"/>
        </w:rPr>
        <w:t xml:space="preserve"> les produits de base jusqu’à l’entrepôt et/ou sur le marché (moyens de transport, propriété, coûts, distance, temps, fiabilité) ?</w:t>
      </w:r>
    </w:p>
    <w:p w:rsidR="00BD2E34" w:rsidRPr="00061E79" w:rsidRDefault="003E5F0A" w:rsidP="004D6405">
      <w:pPr>
        <w:pStyle w:val="Bullet2"/>
        <w:rPr>
          <w:lang w:val="fr-FR"/>
        </w:rPr>
      </w:pPr>
      <w:r w:rsidRPr="00061E79">
        <w:rPr>
          <w:lang w:val="fr-FR"/>
        </w:rPr>
        <w:t>Q</w:t>
      </w:r>
      <w:r w:rsidR="00710CC5" w:rsidRPr="00061E79">
        <w:rPr>
          <w:lang w:val="fr-FR"/>
        </w:rPr>
        <w:t>uelle</w:t>
      </w:r>
      <w:r w:rsidRPr="00061E79">
        <w:rPr>
          <w:lang w:val="fr-FR"/>
        </w:rPr>
        <w:t xml:space="preserve"> est la</w:t>
      </w:r>
      <w:r w:rsidR="00710CC5" w:rsidRPr="00061E79">
        <w:rPr>
          <w:lang w:val="fr-FR"/>
        </w:rPr>
        <w:t xml:space="preserve"> capacité d</w:t>
      </w:r>
      <w:r w:rsidRPr="00061E79">
        <w:rPr>
          <w:lang w:val="fr-FR"/>
        </w:rPr>
        <w:t>e stockage d</w:t>
      </w:r>
      <w:r w:rsidR="00710CC5" w:rsidRPr="00061E79">
        <w:rPr>
          <w:lang w:val="fr-FR"/>
        </w:rPr>
        <w:t>es commerçants</w:t>
      </w:r>
      <w:r w:rsidRPr="00061E79">
        <w:rPr>
          <w:lang w:val="fr-FR"/>
        </w:rPr>
        <w:t xml:space="preserve"> </w:t>
      </w:r>
      <w:r w:rsidR="00710CC5" w:rsidRPr="00061E79">
        <w:rPr>
          <w:lang w:val="fr-FR"/>
        </w:rPr>
        <w:t>?</w:t>
      </w:r>
    </w:p>
    <w:p w:rsidR="00710CC5" w:rsidRPr="00061E79" w:rsidRDefault="00710CC5" w:rsidP="004D6405">
      <w:pPr>
        <w:pStyle w:val="Bullet2"/>
        <w:rPr>
          <w:lang w:val="fr-FR"/>
        </w:rPr>
      </w:pPr>
      <w:r w:rsidRPr="00061E79">
        <w:rPr>
          <w:lang w:val="fr-FR"/>
        </w:rPr>
        <w:t>Quand et pour combien de temps les commerçants stockent-ils leurs produits ?</w:t>
      </w:r>
    </w:p>
    <w:p w:rsidR="00BD2E34" w:rsidRPr="00061E79" w:rsidRDefault="00710CC5" w:rsidP="004D6405">
      <w:pPr>
        <w:pStyle w:val="Bullet2"/>
        <w:rPr>
          <w:lang w:val="fr-FR"/>
        </w:rPr>
      </w:pPr>
      <w:r w:rsidRPr="00061E79">
        <w:rPr>
          <w:lang w:val="fr-FR"/>
        </w:rPr>
        <w:t>Où stockent-ils leurs produits et combien cela leur coûte-t-il ?</w:t>
      </w:r>
    </w:p>
    <w:p w:rsidR="00BD2E34" w:rsidRPr="00061E79" w:rsidRDefault="00710CC5" w:rsidP="004D6405">
      <w:pPr>
        <w:pStyle w:val="Bullet2"/>
        <w:rPr>
          <w:lang w:val="fr-FR"/>
        </w:rPr>
      </w:pPr>
      <w:r w:rsidRPr="00061E79">
        <w:rPr>
          <w:lang w:val="fr-FR"/>
        </w:rPr>
        <w:t>Quel</w:t>
      </w:r>
      <w:r w:rsidR="003E5F0A" w:rsidRPr="00061E79">
        <w:rPr>
          <w:lang w:val="fr-FR"/>
        </w:rPr>
        <w:t>le</w:t>
      </w:r>
      <w:r w:rsidRPr="00061E79">
        <w:rPr>
          <w:lang w:val="fr-FR"/>
        </w:rPr>
        <w:t>s sont les technologie</w:t>
      </w:r>
      <w:r w:rsidR="003E5F0A" w:rsidRPr="00061E79">
        <w:rPr>
          <w:lang w:val="fr-FR"/>
        </w:rPr>
        <w:t>s</w:t>
      </w:r>
      <w:r w:rsidRPr="00061E79">
        <w:rPr>
          <w:lang w:val="fr-FR"/>
        </w:rPr>
        <w:t xml:space="preserve"> utilisé</w:t>
      </w:r>
      <w:r w:rsidR="003E5F0A" w:rsidRPr="00061E79">
        <w:rPr>
          <w:lang w:val="fr-FR"/>
        </w:rPr>
        <w:t>e</w:t>
      </w:r>
      <w:r w:rsidRPr="00061E79">
        <w:rPr>
          <w:lang w:val="fr-FR"/>
        </w:rPr>
        <w:t>s par les commerçants et avec lesquel</w:t>
      </w:r>
      <w:r w:rsidR="003E5F0A" w:rsidRPr="00061E79">
        <w:rPr>
          <w:lang w:val="fr-FR"/>
        </w:rPr>
        <w:t>le</w:t>
      </w:r>
      <w:r w:rsidRPr="00061E79">
        <w:rPr>
          <w:lang w:val="fr-FR"/>
        </w:rPr>
        <w:t xml:space="preserve">s ils </w:t>
      </w:r>
      <w:r w:rsidR="00A377CC" w:rsidRPr="00061E79">
        <w:rPr>
          <w:lang w:val="fr-FR"/>
        </w:rPr>
        <w:t>sont familiers ?</w:t>
      </w:r>
    </w:p>
    <w:p w:rsidR="00A377CC" w:rsidRPr="00061E79" w:rsidRDefault="00A377CC" w:rsidP="004D6405">
      <w:pPr>
        <w:pStyle w:val="Bullet2"/>
        <w:rPr>
          <w:lang w:val="fr-FR"/>
        </w:rPr>
      </w:pPr>
      <w:r w:rsidRPr="00061E79">
        <w:rPr>
          <w:lang w:val="fr-FR"/>
        </w:rPr>
        <w:t xml:space="preserve">Les commerçants ont-ils accès </w:t>
      </w:r>
      <w:r w:rsidR="003E5F0A" w:rsidRPr="00061E79">
        <w:rPr>
          <w:lang w:val="fr-FR"/>
        </w:rPr>
        <w:t>à des services bancaires</w:t>
      </w:r>
      <w:r w:rsidRPr="00061E79">
        <w:rPr>
          <w:lang w:val="fr-FR"/>
        </w:rPr>
        <w:t xml:space="preserve"> formels </w:t>
      </w:r>
      <w:r w:rsidR="003E5F0A" w:rsidRPr="00061E79">
        <w:rPr>
          <w:lang w:val="fr-FR"/>
        </w:rPr>
        <w:t xml:space="preserve">ou </w:t>
      </w:r>
      <w:r w:rsidRPr="00061E79">
        <w:rPr>
          <w:lang w:val="fr-FR"/>
        </w:rPr>
        <w:t>informels ?</w:t>
      </w:r>
    </w:p>
    <w:p w:rsidR="00BD2E34" w:rsidRPr="00061E79" w:rsidRDefault="007B038B" w:rsidP="003F4470">
      <w:pPr>
        <w:pStyle w:val="Heading3"/>
        <w:keepLines/>
        <w:rPr>
          <w:rFonts w:eastAsia="Times New Roman"/>
          <w:color w:val="4F81BD"/>
          <w:lang w:val="fr-FR"/>
        </w:rPr>
      </w:pPr>
      <w:r w:rsidRPr="00061E79">
        <w:rPr>
          <w:lang w:val="fr-FR"/>
        </w:rPr>
        <w:t>Liste de contrôle pour les interlocuteurs clés</w:t>
      </w:r>
    </w:p>
    <w:p w:rsidR="00A377CC" w:rsidRPr="00061E79" w:rsidRDefault="00C441B7" w:rsidP="00A179B1">
      <w:pPr>
        <w:pStyle w:val="Bullet2"/>
        <w:keepNext/>
        <w:keepLines/>
        <w:rPr>
          <w:lang w:val="fr-FR"/>
        </w:rPr>
      </w:pPr>
      <w:r w:rsidRPr="00061E79">
        <w:rPr>
          <w:lang w:val="fr-FR"/>
        </w:rPr>
        <w:t xml:space="preserve">Quels sont les biens et les services qui sont essentiels </w:t>
      </w:r>
      <w:r w:rsidR="00A179B1" w:rsidRPr="00061E79">
        <w:rPr>
          <w:lang w:val="fr-FR"/>
        </w:rPr>
        <w:t>au maintien des</w:t>
      </w:r>
      <w:r w:rsidRPr="00061E79">
        <w:rPr>
          <w:lang w:val="fr-FR"/>
        </w:rPr>
        <w:t xml:space="preserve"> moyens de subsistance des </w:t>
      </w:r>
      <w:r w:rsidR="00A179B1" w:rsidRPr="00061E79">
        <w:rPr>
          <w:lang w:val="fr-FR"/>
        </w:rPr>
        <w:t xml:space="preserve">individus les </w:t>
      </w:r>
      <w:r w:rsidRPr="00061E79">
        <w:rPr>
          <w:lang w:val="fr-FR"/>
        </w:rPr>
        <w:t>plus vulnérables ?</w:t>
      </w:r>
    </w:p>
    <w:p w:rsidR="00BD2E34" w:rsidRPr="00061E79" w:rsidRDefault="00C441B7" w:rsidP="00A179B1">
      <w:pPr>
        <w:pStyle w:val="Bullet2"/>
        <w:keepNext/>
        <w:keepLines/>
        <w:rPr>
          <w:lang w:val="fr-FR"/>
        </w:rPr>
      </w:pPr>
      <w:r w:rsidRPr="00061E79">
        <w:rPr>
          <w:lang w:val="fr-FR"/>
        </w:rPr>
        <w:t xml:space="preserve">Comment </w:t>
      </w:r>
      <w:r w:rsidR="003E5F0A" w:rsidRPr="00061E79">
        <w:rPr>
          <w:lang w:val="fr-FR"/>
        </w:rPr>
        <w:t xml:space="preserve">ces individus </w:t>
      </w:r>
      <w:r w:rsidR="00A179B1" w:rsidRPr="00061E79">
        <w:rPr>
          <w:lang w:val="fr-FR"/>
        </w:rPr>
        <w:t>se procurent-ils</w:t>
      </w:r>
      <w:r w:rsidRPr="00061E79">
        <w:rPr>
          <w:lang w:val="fr-FR"/>
        </w:rPr>
        <w:t xml:space="preserve"> ces biens et ces services en </w:t>
      </w:r>
      <w:r w:rsidR="003E5F0A" w:rsidRPr="00061E79">
        <w:rPr>
          <w:lang w:val="fr-FR"/>
        </w:rPr>
        <w:t>temps normal</w:t>
      </w:r>
      <w:r w:rsidRPr="00061E79">
        <w:rPr>
          <w:lang w:val="fr-FR"/>
        </w:rPr>
        <w:t> ?</w:t>
      </w:r>
    </w:p>
    <w:p w:rsidR="00BD2E34" w:rsidRPr="00061E79" w:rsidRDefault="00C919C1" w:rsidP="00A179B1">
      <w:pPr>
        <w:pStyle w:val="Bullet2"/>
        <w:keepNext/>
        <w:keepLines/>
        <w:rPr>
          <w:lang w:val="fr-FR"/>
        </w:rPr>
      </w:pPr>
      <w:r w:rsidRPr="00061E79">
        <w:rPr>
          <w:lang w:val="fr-FR"/>
        </w:rPr>
        <w:t xml:space="preserve">Dans quelle mesure dépendent-ils du marché pour </w:t>
      </w:r>
      <w:r w:rsidR="00A179B1" w:rsidRPr="00061E79">
        <w:rPr>
          <w:lang w:val="fr-FR"/>
        </w:rPr>
        <w:t>se les procurer</w:t>
      </w:r>
      <w:r w:rsidRPr="00061E79">
        <w:rPr>
          <w:lang w:val="fr-FR"/>
        </w:rPr>
        <w:t> ?</w:t>
      </w:r>
    </w:p>
    <w:p w:rsidR="00BD2E34" w:rsidRPr="00061E79" w:rsidRDefault="00C919C1" w:rsidP="003F4470">
      <w:pPr>
        <w:pStyle w:val="Bullet2"/>
        <w:keepNext/>
        <w:keepLines/>
        <w:rPr>
          <w:lang w:val="fr-FR"/>
        </w:rPr>
      </w:pPr>
      <w:r w:rsidRPr="00061E79">
        <w:rPr>
          <w:lang w:val="fr-FR"/>
        </w:rPr>
        <w:t>Quels sont les acteurs du marché les plus importants ? De quelle manière interagissent-ils</w:t>
      </w:r>
      <w:r w:rsidR="003E5F0A" w:rsidRPr="00061E79">
        <w:rPr>
          <w:lang w:val="fr-FR"/>
        </w:rPr>
        <w:t xml:space="preserve"> entre eux</w:t>
      </w:r>
      <w:r w:rsidRPr="00061E79">
        <w:rPr>
          <w:lang w:val="fr-FR"/>
        </w:rPr>
        <w:t> ?</w:t>
      </w:r>
    </w:p>
    <w:p w:rsidR="00BD2E34" w:rsidRPr="00061E79" w:rsidRDefault="00C919C1" w:rsidP="003F4470">
      <w:pPr>
        <w:pStyle w:val="Bullet2"/>
        <w:keepNext/>
        <w:keepLines/>
        <w:rPr>
          <w:lang w:val="fr-FR"/>
        </w:rPr>
      </w:pPr>
      <w:r w:rsidRPr="00061E79">
        <w:rPr>
          <w:lang w:val="fr-FR"/>
        </w:rPr>
        <w:t>Les commerçants sont-ils capables de répondre à la demande en temps normal ? Y a-t-il des variations saisonnières ?</w:t>
      </w:r>
    </w:p>
    <w:p w:rsidR="00C919C1" w:rsidRPr="00061E79" w:rsidRDefault="00C919C1" w:rsidP="003F4470">
      <w:pPr>
        <w:pStyle w:val="Bullet2"/>
        <w:keepNext/>
        <w:keepLines/>
        <w:rPr>
          <w:lang w:val="fr-FR"/>
        </w:rPr>
      </w:pPr>
      <w:r w:rsidRPr="00061E79">
        <w:rPr>
          <w:lang w:val="fr-FR"/>
        </w:rPr>
        <w:t>Les commerçants seraient-ils capables de répondre à une augmentat</w:t>
      </w:r>
      <w:r w:rsidR="00A179B1" w:rsidRPr="00061E79">
        <w:rPr>
          <w:lang w:val="fr-FR"/>
        </w:rPr>
        <w:t>ion de la demande ? À quel coût </w:t>
      </w:r>
      <w:r w:rsidRPr="00061E79">
        <w:rPr>
          <w:lang w:val="fr-FR"/>
        </w:rPr>
        <w:t>?</w:t>
      </w:r>
    </w:p>
    <w:p w:rsidR="00BD2E34" w:rsidRPr="00061E79" w:rsidRDefault="00C919C1" w:rsidP="003F4470">
      <w:pPr>
        <w:pStyle w:val="Bullet2"/>
        <w:keepNext/>
        <w:keepLines/>
        <w:rPr>
          <w:lang w:val="fr-FR"/>
        </w:rPr>
      </w:pPr>
      <w:r w:rsidRPr="00061E79">
        <w:rPr>
          <w:lang w:val="fr-FR"/>
        </w:rPr>
        <w:t>Y a-t-il suffisamment d’acheteurs et de vendeurs pour garantir la concurrence et limiter les risques de distorsion des prix ?</w:t>
      </w:r>
    </w:p>
    <w:p w:rsidR="00BD2E34" w:rsidRPr="00061E79" w:rsidRDefault="00C919C1" w:rsidP="003F4470">
      <w:pPr>
        <w:pStyle w:val="Bullet2"/>
        <w:keepNext/>
        <w:keepLines/>
        <w:rPr>
          <w:lang w:val="fr-FR"/>
        </w:rPr>
      </w:pPr>
      <w:r w:rsidRPr="00061E79">
        <w:rPr>
          <w:lang w:val="fr-FR"/>
        </w:rPr>
        <w:t>Quels sont les prix en temps normal ? De quelle manière varient-ils ?</w:t>
      </w:r>
    </w:p>
    <w:p w:rsidR="00BD2E34" w:rsidRPr="00061E79" w:rsidRDefault="00C919C1" w:rsidP="003F4470">
      <w:pPr>
        <w:pStyle w:val="Bullet2"/>
        <w:keepNext/>
        <w:keepLines/>
        <w:rPr>
          <w:lang w:val="fr-FR"/>
        </w:rPr>
      </w:pPr>
      <w:r w:rsidRPr="00061E79">
        <w:rPr>
          <w:lang w:val="fr-FR"/>
        </w:rPr>
        <w:t>De quelle infrastructure et de quels services les marchés ont-ils besoin pour bien fonctionner ?</w:t>
      </w:r>
    </w:p>
    <w:p w:rsidR="005A56D7" w:rsidRPr="00061E79" w:rsidRDefault="00C919C1" w:rsidP="00C919C1">
      <w:pPr>
        <w:pStyle w:val="Bullet2"/>
        <w:rPr>
          <w:lang w:val="fr-FR"/>
        </w:rPr>
      </w:pPr>
      <w:r w:rsidRPr="00061E79">
        <w:rPr>
          <w:lang w:val="fr-FR"/>
        </w:rPr>
        <w:t>Quels sont les facteurs externes qui ont une influence sur le marché ?</w:t>
      </w:r>
    </w:p>
    <w:sectPr w:rsidR="005A56D7" w:rsidRPr="00061E79" w:rsidSect="00EE6DC4">
      <w:headerReference w:type="default" r:id="rId9"/>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EB" w:rsidRDefault="009D31EB" w:rsidP="00BD2E34">
      <w:pPr>
        <w:spacing w:after="0"/>
      </w:pPr>
      <w:r>
        <w:separator/>
      </w:r>
    </w:p>
  </w:endnote>
  <w:endnote w:type="continuationSeparator" w:id="0">
    <w:p w:rsidR="009D31EB" w:rsidRDefault="009D31EB" w:rsidP="00BD2E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B1" w:rsidRDefault="00BE2973" w:rsidP="001070B1">
    <w:pPr>
      <w:pStyle w:val="Footer"/>
      <w:framePr w:wrap="around" w:vAnchor="text" w:hAnchor="margin" w:xAlign="right" w:y="1"/>
      <w:rPr>
        <w:rStyle w:val="PageNumber"/>
      </w:rPr>
    </w:pPr>
    <w:r>
      <w:rPr>
        <w:rStyle w:val="PageNumber"/>
      </w:rPr>
      <w:fldChar w:fldCharType="begin"/>
    </w:r>
    <w:r w:rsidR="001070B1">
      <w:rPr>
        <w:rStyle w:val="PageNumber"/>
      </w:rPr>
      <w:instrText xml:space="preserve">PAGE  </w:instrText>
    </w:r>
    <w:r>
      <w:rPr>
        <w:rStyle w:val="PageNumber"/>
      </w:rPr>
      <w:fldChar w:fldCharType="end"/>
    </w:r>
  </w:p>
  <w:p w:rsidR="001070B1" w:rsidRDefault="001070B1" w:rsidP="00AC03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B1" w:rsidRPr="00B45C74" w:rsidRDefault="00BE2973" w:rsidP="001070B1">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1070B1"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E036E">
      <w:rPr>
        <w:b/>
        <w:noProof/>
        <w:color w:val="808080" w:themeColor="background1" w:themeShade="80"/>
        <w:sz w:val="18"/>
        <w:szCs w:val="18"/>
      </w:rPr>
      <w:t>7</w:t>
    </w:r>
    <w:r w:rsidRPr="00B45C74">
      <w:rPr>
        <w:b/>
        <w:color w:val="808080" w:themeColor="background1" w:themeShade="80"/>
        <w:sz w:val="18"/>
        <w:szCs w:val="18"/>
      </w:rPr>
      <w:fldChar w:fldCharType="end"/>
    </w:r>
  </w:p>
  <w:p w:rsidR="001070B1" w:rsidRPr="00763B5D" w:rsidRDefault="001070B1" w:rsidP="001070B1">
    <w:pPr>
      <w:pStyle w:val="Footer"/>
      <w:rPr>
        <w:lang w:val="fr-FR"/>
      </w:rPr>
    </w:pPr>
    <w:r w:rsidRPr="00763B5D">
      <w:rPr>
        <w:b/>
        <w:lang w:val="fr-FR"/>
      </w:rPr>
      <w:t>Module 1.</w:t>
    </w:r>
    <w:r w:rsidRPr="00763B5D">
      <w:rPr>
        <w:lang w:val="fr-FR"/>
      </w:rPr>
      <w:t xml:space="preserve"> </w:t>
    </w:r>
    <w:r>
      <w:rPr>
        <w:lang w:val="fr-FR"/>
      </w:rPr>
      <w:t>É</w:t>
    </w:r>
    <w:r w:rsidRPr="00763B5D">
      <w:rPr>
        <w:lang w:val="fr-FR"/>
      </w:rPr>
      <w:t xml:space="preserve">tape 1. </w:t>
    </w:r>
    <w:r>
      <w:rPr>
        <w:lang w:val="fr-FR"/>
      </w:rPr>
      <w:t>É</w:t>
    </w:r>
    <w:r w:rsidRPr="00763B5D">
      <w:rPr>
        <w:lang w:val="fr-FR"/>
      </w:rPr>
      <w:t>tape subsidiaire 2</w:t>
    </w:r>
    <w:r>
      <w:rPr>
        <w:lang w:val="fr-FR"/>
      </w:rPr>
      <w:t>. Liste de contrôle pour les données de référence relatives aux marchés</w:t>
    </w:r>
    <w:r w:rsidRPr="00763B5D">
      <w:rPr>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EB" w:rsidRDefault="009D31EB" w:rsidP="00BD2E34">
      <w:pPr>
        <w:spacing w:after="0"/>
      </w:pPr>
      <w:r>
        <w:separator/>
      </w:r>
    </w:p>
  </w:footnote>
  <w:footnote w:type="continuationSeparator" w:id="0">
    <w:p w:rsidR="009D31EB" w:rsidRDefault="009D31EB" w:rsidP="00BD2E34">
      <w:pPr>
        <w:spacing w:after="0"/>
      </w:pPr>
      <w:r>
        <w:continuationSeparator/>
      </w:r>
    </w:p>
  </w:footnote>
  <w:footnote w:id="1">
    <w:p w:rsidR="001070B1" w:rsidRPr="001A3DBE" w:rsidRDefault="001070B1" w:rsidP="00912A79">
      <w:pPr>
        <w:pStyle w:val="FootnoteText"/>
        <w:rPr>
          <w:szCs w:val="16"/>
          <w:lang w:val="it-IT"/>
        </w:rPr>
      </w:pPr>
      <w:r w:rsidRPr="001A3DBE">
        <w:rPr>
          <w:rStyle w:val="FootnoteReference"/>
          <w:szCs w:val="16"/>
        </w:rPr>
        <w:footnoteRef/>
      </w:r>
      <w:r w:rsidRPr="00912A79">
        <w:rPr>
          <w:szCs w:val="16"/>
          <w:lang w:val="fr-CH"/>
        </w:rPr>
        <w:t xml:space="preserve"> </w:t>
      </w:r>
      <w:r>
        <w:rPr>
          <w:szCs w:val="16"/>
          <w:lang w:val="it-IT"/>
        </w:rPr>
        <w:t xml:space="preserve">Les outils présentés dans </w:t>
      </w:r>
      <w:r w:rsidR="00912A79">
        <w:rPr>
          <w:szCs w:val="16"/>
          <w:lang w:val="it-IT"/>
        </w:rPr>
        <w:t>ce</w:t>
      </w:r>
      <w:r>
        <w:rPr>
          <w:szCs w:val="16"/>
          <w:lang w:val="it-IT"/>
        </w:rPr>
        <w:t xml:space="preserve"> document sont extraits du Guide pour l’analyse des marchés (</w:t>
      </w:r>
      <w:r>
        <w:rPr>
          <w:i/>
          <w:szCs w:val="16"/>
          <w:lang w:val="it-IT"/>
        </w:rPr>
        <w:t>Market Analysis Guidance</w:t>
      </w:r>
      <w:r w:rsidR="00023EAF">
        <w:rPr>
          <w:szCs w:val="16"/>
          <w:lang w:val="it-IT"/>
        </w:rPr>
        <w:t xml:space="preserve">) du </w:t>
      </w:r>
      <w:r>
        <w:rPr>
          <w:szCs w:val="16"/>
          <w:lang w:val="it-IT"/>
        </w:rPr>
        <w:t>Mouvement international de la Cr</w:t>
      </w:r>
      <w:r w:rsidR="00023EAF">
        <w:rPr>
          <w:szCs w:val="16"/>
          <w:lang w:val="it-IT"/>
        </w:rPr>
        <w:t>oix-Rouge et du Croissant-Rouge</w:t>
      </w:r>
      <w:r>
        <w:rPr>
          <w:szCs w:val="16"/>
          <w:lang w:val="it-IT"/>
        </w:rPr>
        <w:t xml:space="preserve"> </w:t>
      </w:r>
      <w:r w:rsidR="00023EAF">
        <w:rPr>
          <w:szCs w:val="16"/>
          <w:lang w:val="it-IT"/>
        </w:rPr>
        <w:t>(</w:t>
      </w:r>
      <w:r>
        <w:rPr>
          <w:szCs w:val="16"/>
          <w:lang w:val="it-IT"/>
        </w:rPr>
        <w:t>2013</w:t>
      </w:r>
      <w:r w:rsidR="00023EAF">
        <w:rPr>
          <w:szCs w:val="16"/>
          <w:lang w:val="it-IT"/>
        </w:rPr>
        <w:t>)</w:t>
      </w:r>
      <w:r w:rsidR="00912A79">
        <w:rPr>
          <w:szCs w:val="16"/>
          <w:lang w:val="it-IT"/>
        </w:rPr>
        <w:t>, en anglais</w:t>
      </w:r>
      <w:r>
        <w:rPr>
          <w:szCs w:val="16"/>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B1" w:rsidRPr="00763B5D" w:rsidRDefault="001070B1" w:rsidP="006A2286">
    <w:pPr>
      <w:pStyle w:val="Header"/>
      <w:rPr>
        <w:sz w:val="14"/>
        <w:szCs w:val="14"/>
        <w:lang w:val="fr-FR"/>
      </w:rPr>
    </w:pPr>
    <w:r w:rsidRPr="00763B5D">
      <w:rPr>
        <w:rStyle w:val="Pantone485"/>
        <w:sz w:val="14"/>
        <w:szCs w:val="14"/>
        <w:lang w:val="fr-FR"/>
      </w:rPr>
      <w:t>Mouvement international de la Croix-Rouge et du Croissant-Rouge</w:t>
    </w:r>
    <w:r w:rsidRPr="00763B5D">
      <w:rPr>
        <w:rFonts w:cs="Caecilia-Light"/>
        <w:color w:val="FF0000"/>
        <w:sz w:val="14"/>
        <w:szCs w:val="14"/>
        <w:lang w:val="fr-FR"/>
      </w:rPr>
      <w:t xml:space="preserve"> </w:t>
    </w:r>
    <w:r w:rsidRPr="00763B5D">
      <w:rPr>
        <w:rStyle w:val="PageNumber"/>
        <w:bCs/>
        <w:sz w:val="14"/>
        <w:szCs w:val="14"/>
        <w:lang w:val="fr-FR"/>
      </w:rPr>
      <w:t>I</w:t>
    </w:r>
    <w:r w:rsidRPr="00763B5D">
      <w:rPr>
        <w:rStyle w:val="PageNumber"/>
        <w:color w:val="FF0000"/>
        <w:sz w:val="14"/>
        <w:szCs w:val="14"/>
        <w:lang w:val="fr-FR"/>
      </w:rPr>
      <w:t xml:space="preserve"> </w:t>
    </w:r>
    <w:r w:rsidRPr="00763B5D">
      <w:rPr>
        <w:b/>
        <w:sz w:val="14"/>
        <w:szCs w:val="14"/>
        <w:lang w:val="fr-FR"/>
      </w:rPr>
      <w:t xml:space="preserve">Boîte à outils pour </w:t>
    </w:r>
    <w:r w:rsidR="006A2286">
      <w:rPr>
        <w:b/>
        <w:sz w:val="14"/>
        <w:szCs w:val="14"/>
        <w:lang w:val="fr-FR"/>
      </w:rPr>
      <w:t>les transferts monétaires</w:t>
    </w:r>
    <w:r w:rsidRPr="00763B5D">
      <w:rPr>
        <w:b/>
        <w:sz w:val="14"/>
        <w:szCs w:val="14"/>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24"/>
  </w:num>
  <w:num w:numId="4">
    <w:abstractNumId w:val="32"/>
  </w:num>
  <w:num w:numId="5">
    <w:abstractNumId w:val="15"/>
  </w:num>
  <w:num w:numId="6">
    <w:abstractNumId w:val="26"/>
  </w:num>
  <w:num w:numId="7">
    <w:abstractNumId w:val="41"/>
  </w:num>
  <w:num w:numId="8">
    <w:abstractNumId w:val="25"/>
  </w:num>
  <w:num w:numId="9">
    <w:abstractNumId w:val="30"/>
  </w:num>
  <w:num w:numId="10">
    <w:abstractNumId w:val="20"/>
  </w:num>
  <w:num w:numId="11">
    <w:abstractNumId w:val="43"/>
  </w:num>
  <w:num w:numId="12">
    <w:abstractNumId w:val="33"/>
  </w:num>
  <w:num w:numId="13">
    <w:abstractNumId w:val="34"/>
  </w:num>
  <w:num w:numId="14">
    <w:abstractNumId w:val="38"/>
  </w:num>
  <w:num w:numId="15">
    <w:abstractNumId w:val="40"/>
  </w:num>
  <w:num w:numId="16">
    <w:abstractNumId w:val="39"/>
  </w:num>
  <w:num w:numId="17">
    <w:abstractNumId w:val="14"/>
  </w:num>
  <w:num w:numId="18">
    <w:abstractNumId w:val="13"/>
  </w:num>
  <w:num w:numId="19">
    <w:abstractNumId w:val="42"/>
  </w:num>
  <w:num w:numId="20">
    <w:abstractNumId w:val="29"/>
  </w:num>
  <w:num w:numId="21">
    <w:abstractNumId w:val="21"/>
  </w:num>
  <w:num w:numId="22">
    <w:abstractNumId w:val="16"/>
  </w:num>
  <w:num w:numId="23">
    <w:abstractNumId w:val="22"/>
  </w:num>
  <w:num w:numId="24">
    <w:abstractNumId w:val="27"/>
  </w:num>
  <w:num w:numId="25">
    <w:abstractNumId w:val="19"/>
  </w:num>
  <w:num w:numId="26">
    <w:abstractNumId w:val="17"/>
  </w:num>
  <w:num w:numId="27">
    <w:abstractNumId w:val="23"/>
  </w:num>
  <w:num w:numId="28">
    <w:abstractNumId w:val="44"/>
  </w:num>
  <w:num w:numId="29">
    <w:abstractNumId w:val="10"/>
  </w:num>
  <w:num w:numId="30">
    <w:abstractNumId w:val="28"/>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1"/>
  </w:num>
  <w:num w:numId="43">
    <w:abstractNumId w:val="31"/>
  </w:num>
  <w:num w:numId="44">
    <w:abstractNumId w:val="37"/>
  </w:num>
  <w:num w:numId="45">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linkStyles/>
  <w:defaultTabStop w:val="720"/>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
  <w:rsids>
    <w:rsidRoot w:val="00BD2E34"/>
    <w:rsid w:val="000015BA"/>
    <w:rsid w:val="0002256C"/>
    <w:rsid w:val="00023EAF"/>
    <w:rsid w:val="000464F1"/>
    <w:rsid w:val="00061E79"/>
    <w:rsid w:val="00084F29"/>
    <w:rsid w:val="000A49C8"/>
    <w:rsid w:val="000B3125"/>
    <w:rsid w:val="000E4C8A"/>
    <w:rsid w:val="001070B1"/>
    <w:rsid w:val="00123DD4"/>
    <w:rsid w:val="00144674"/>
    <w:rsid w:val="00165384"/>
    <w:rsid w:val="00182A7C"/>
    <w:rsid w:val="00182DF3"/>
    <w:rsid w:val="001A3DBE"/>
    <w:rsid w:val="001A5A3A"/>
    <w:rsid w:val="001B77DB"/>
    <w:rsid w:val="001C4E9F"/>
    <w:rsid w:val="001C5FC9"/>
    <w:rsid w:val="001F04C6"/>
    <w:rsid w:val="00224245"/>
    <w:rsid w:val="00233E01"/>
    <w:rsid w:val="00264061"/>
    <w:rsid w:val="00270C48"/>
    <w:rsid w:val="0028488C"/>
    <w:rsid w:val="00286C82"/>
    <w:rsid w:val="002A5ACA"/>
    <w:rsid w:val="002C0B1C"/>
    <w:rsid w:val="002E730E"/>
    <w:rsid w:val="00323E0E"/>
    <w:rsid w:val="00371BE9"/>
    <w:rsid w:val="00384770"/>
    <w:rsid w:val="003A4DDF"/>
    <w:rsid w:val="003D71AD"/>
    <w:rsid w:val="003E52F0"/>
    <w:rsid w:val="003E5F0A"/>
    <w:rsid w:val="003F4470"/>
    <w:rsid w:val="004038FD"/>
    <w:rsid w:val="00405750"/>
    <w:rsid w:val="00405D60"/>
    <w:rsid w:val="00461337"/>
    <w:rsid w:val="00477870"/>
    <w:rsid w:val="0049417C"/>
    <w:rsid w:val="004D6405"/>
    <w:rsid w:val="004E034D"/>
    <w:rsid w:val="00502E26"/>
    <w:rsid w:val="005167FA"/>
    <w:rsid w:val="005317F2"/>
    <w:rsid w:val="00536BDD"/>
    <w:rsid w:val="005878F9"/>
    <w:rsid w:val="005A56D7"/>
    <w:rsid w:val="005A6191"/>
    <w:rsid w:val="005B4F04"/>
    <w:rsid w:val="00606AD6"/>
    <w:rsid w:val="00613478"/>
    <w:rsid w:val="00621E8B"/>
    <w:rsid w:val="006853D4"/>
    <w:rsid w:val="006871DE"/>
    <w:rsid w:val="00693642"/>
    <w:rsid w:val="006A2286"/>
    <w:rsid w:val="006B3250"/>
    <w:rsid w:val="006B4ADC"/>
    <w:rsid w:val="006D32C4"/>
    <w:rsid w:val="006E7EA8"/>
    <w:rsid w:val="00703BE6"/>
    <w:rsid w:val="00710CC5"/>
    <w:rsid w:val="007170E4"/>
    <w:rsid w:val="00720C35"/>
    <w:rsid w:val="007447A7"/>
    <w:rsid w:val="00746A68"/>
    <w:rsid w:val="0075370D"/>
    <w:rsid w:val="00763B5D"/>
    <w:rsid w:val="007B038B"/>
    <w:rsid w:val="007C63CA"/>
    <w:rsid w:val="007E0606"/>
    <w:rsid w:val="007E0AF6"/>
    <w:rsid w:val="007F4064"/>
    <w:rsid w:val="007F5C88"/>
    <w:rsid w:val="008026AA"/>
    <w:rsid w:val="00820037"/>
    <w:rsid w:val="00825EA5"/>
    <w:rsid w:val="00826669"/>
    <w:rsid w:val="00831B06"/>
    <w:rsid w:val="00832076"/>
    <w:rsid w:val="00876A15"/>
    <w:rsid w:val="00892613"/>
    <w:rsid w:val="008A532C"/>
    <w:rsid w:val="008B027D"/>
    <w:rsid w:val="008F00A7"/>
    <w:rsid w:val="00912A79"/>
    <w:rsid w:val="009471F5"/>
    <w:rsid w:val="009942E9"/>
    <w:rsid w:val="009B1B84"/>
    <w:rsid w:val="009D31EB"/>
    <w:rsid w:val="009D3F1B"/>
    <w:rsid w:val="00A11B14"/>
    <w:rsid w:val="00A179B1"/>
    <w:rsid w:val="00A377CC"/>
    <w:rsid w:val="00A53250"/>
    <w:rsid w:val="00A53ED0"/>
    <w:rsid w:val="00A56A58"/>
    <w:rsid w:val="00A7275C"/>
    <w:rsid w:val="00AC03A7"/>
    <w:rsid w:val="00AC29EA"/>
    <w:rsid w:val="00B05037"/>
    <w:rsid w:val="00B5127F"/>
    <w:rsid w:val="00B72DDD"/>
    <w:rsid w:val="00B827FC"/>
    <w:rsid w:val="00BA086F"/>
    <w:rsid w:val="00BB340B"/>
    <w:rsid w:val="00BC051C"/>
    <w:rsid w:val="00BD2E34"/>
    <w:rsid w:val="00BE2973"/>
    <w:rsid w:val="00BF65AD"/>
    <w:rsid w:val="00C0016F"/>
    <w:rsid w:val="00C36D52"/>
    <w:rsid w:val="00C441B7"/>
    <w:rsid w:val="00C9043C"/>
    <w:rsid w:val="00C919C1"/>
    <w:rsid w:val="00CB0DC1"/>
    <w:rsid w:val="00CC2FCB"/>
    <w:rsid w:val="00CC62DB"/>
    <w:rsid w:val="00CC7E2B"/>
    <w:rsid w:val="00CF7B85"/>
    <w:rsid w:val="00D04856"/>
    <w:rsid w:val="00D30A54"/>
    <w:rsid w:val="00D649A8"/>
    <w:rsid w:val="00D8583F"/>
    <w:rsid w:val="00DD3166"/>
    <w:rsid w:val="00DE14DC"/>
    <w:rsid w:val="00DF43C7"/>
    <w:rsid w:val="00E0662D"/>
    <w:rsid w:val="00E27784"/>
    <w:rsid w:val="00E402EF"/>
    <w:rsid w:val="00E7034B"/>
    <w:rsid w:val="00E76585"/>
    <w:rsid w:val="00E903F7"/>
    <w:rsid w:val="00E92212"/>
    <w:rsid w:val="00E9685C"/>
    <w:rsid w:val="00EE036E"/>
    <w:rsid w:val="00EE6DC4"/>
    <w:rsid w:val="00EF42EB"/>
    <w:rsid w:val="00F200B5"/>
    <w:rsid w:val="00F37C50"/>
    <w:rsid w:val="00F47945"/>
    <w:rsid w:val="00F667EA"/>
    <w:rsid w:val="00F9464B"/>
    <w:rsid w:val="00FB551D"/>
    <w:rsid w:val="00FE770F"/>
    <w:rsid w:val="00FF2921"/>
    <w:rsid w:val="00FF3719"/>
    <w:rsid w:val="00FF692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1C"/>
    <w:pPr>
      <w:spacing w:after="120"/>
      <w:jc w:val="both"/>
    </w:pPr>
    <w:rPr>
      <w:rFonts w:ascii="Arial" w:hAnsi="Arial"/>
      <w:color w:val="auto"/>
      <w:sz w:val="20"/>
      <w:szCs w:val="20"/>
    </w:rPr>
  </w:style>
  <w:style w:type="paragraph" w:styleId="Heading1">
    <w:name w:val="heading 1"/>
    <w:basedOn w:val="H1"/>
    <w:next w:val="Normal"/>
    <w:link w:val="Heading1Char"/>
    <w:uiPriority w:val="9"/>
    <w:rsid w:val="00BC051C"/>
  </w:style>
  <w:style w:type="paragraph" w:styleId="Heading2">
    <w:name w:val="heading 2"/>
    <w:basedOn w:val="Normal"/>
    <w:next w:val="Normal"/>
    <w:link w:val="Heading2Char"/>
    <w:uiPriority w:val="9"/>
    <w:unhideWhenUsed/>
    <w:qFormat/>
    <w:rsid w:val="00BC051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C051C"/>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6853D4"/>
    <w:pPr>
      <w:keepNext/>
      <w:keepLines/>
      <w:spacing w:before="200"/>
      <w:outlineLvl w:val="3"/>
    </w:pPr>
    <w:rPr>
      <w:rFonts w:asciiTheme="majorHAnsi" w:eastAsiaTheme="majorEastAsia" w:hAnsiTheme="majorHAnsi"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51C"/>
    <w:rPr>
      <w:rFonts w:ascii="Arial" w:hAnsi="Arial"/>
      <w:b/>
      <w:caps/>
      <w:color w:val="auto"/>
      <w:sz w:val="24"/>
      <w:szCs w:val="26"/>
    </w:rPr>
  </w:style>
  <w:style w:type="paragraph" w:styleId="FootnoteText">
    <w:name w:val="footnote text"/>
    <w:aliases w:val="Testo nota a piè di pagina Carattere"/>
    <w:basedOn w:val="Normal"/>
    <w:link w:val="FootnoteTextChar"/>
    <w:uiPriority w:val="99"/>
    <w:unhideWhenUsed/>
    <w:rsid w:val="00BC051C"/>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BC051C"/>
    <w:rPr>
      <w:rFonts w:ascii="Arial" w:hAnsi="Arial"/>
      <w:color w:val="auto"/>
      <w:sz w:val="16"/>
    </w:rPr>
  </w:style>
  <w:style w:type="character" w:styleId="FootnoteReference">
    <w:name w:val="footnote reference"/>
    <w:basedOn w:val="DefaultParagraphFont"/>
    <w:uiPriority w:val="99"/>
    <w:unhideWhenUsed/>
    <w:rsid w:val="00BC051C"/>
    <w:rPr>
      <w:vertAlign w:val="superscript"/>
    </w:rPr>
  </w:style>
  <w:style w:type="paragraph" w:styleId="ListParagraph">
    <w:name w:val="List Paragraph"/>
    <w:basedOn w:val="Normal"/>
    <w:link w:val="ListParagraphChar"/>
    <w:uiPriority w:val="34"/>
    <w:qFormat/>
    <w:rsid w:val="00BC051C"/>
    <w:pPr>
      <w:spacing w:after="240"/>
      <w:ind w:left="720"/>
      <w:contextualSpacing/>
    </w:pPr>
    <w:rPr>
      <w:rFonts w:eastAsiaTheme="minorHAnsi" w:cstheme="minorBidi"/>
      <w:szCs w:val="22"/>
    </w:rPr>
  </w:style>
  <w:style w:type="table" w:customStyle="1" w:styleId="Trameclaire-Accent11">
    <w:name w:val="Trame claire - Accent 11"/>
    <w:basedOn w:val="TableNormal"/>
    <w:uiPriority w:val="60"/>
    <w:rsid w:val="00BD2E34"/>
    <w:rPr>
      <w:rFonts w:cs="ArialMT"/>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BC051C"/>
    <w:rPr>
      <w:color w:val="0000FF" w:themeColor="hyperlink"/>
      <w:u w:val="single"/>
    </w:rPr>
  </w:style>
  <w:style w:type="character" w:customStyle="1" w:styleId="ListParagraphChar">
    <w:name w:val="List Paragraph Char"/>
    <w:basedOn w:val="DefaultParagraphFont"/>
    <w:link w:val="ListParagraph"/>
    <w:uiPriority w:val="34"/>
    <w:rsid w:val="00BC051C"/>
    <w:rPr>
      <w:rFonts w:ascii="Arial" w:eastAsiaTheme="minorHAnsi" w:hAnsi="Arial" w:cstheme="minorBidi"/>
      <w:color w:val="auto"/>
      <w:sz w:val="20"/>
    </w:rPr>
  </w:style>
  <w:style w:type="paragraph" w:styleId="BalloonText">
    <w:name w:val="Balloon Text"/>
    <w:basedOn w:val="Normal"/>
    <w:link w:val="BalloonTextChar"/>
    <w:uiPriority w:val="99"/>
    <w:semiHidden/>
    <w:unhideWhenUsed/>
    <w:rsid w:val="00BC05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51C"/>
    <w:rPr>
      <w:rFonts w:ascii="Lucida Grande" w:hAnsi="Lucida Grande" w:cs="Lucida Grande"/>
      <w:color w:val="auto"/>
      <w:sz w:val="18"/>
      <w:szCs w:val="18"/>
    </w:rPr>
  </w:style>
  <w:style w:type="paragraph" w:styleId="Header">
    <w:name w:val="header"/>
    <w:basedOn w:val="Normal"/>
    <w:link w:val="HeaderChar"/>
    <w:uiPriority w:val="99"/>
    <w:unhideWhenUsed/>
    <w:rsid w:val="00BC051C"/>
    <w:pPr>
      <w:spacing w:after="0" w:line="288" w:lineRule="auto"/>
      <w:jc w:val="left"/>
    </w:pPr>
    <w:rPr>
      <w:sz w:val="16"/>
    </w:rPr>
  </w:style>
  <w:style w:type="character" w:customStyle="1" w:styleId="HeaderChar">
    <w:name w:val="Header Char"/>
    <w:basedOn w:val="DefaultParagraphFont"/>
    <w:link w:val="Header"/>
    <w:uiPriority w:val="99"/>
    <w:rsid w:val="00BC051C"/>
    <w:rPr>
      <w:rFonts w:ascii="Arial" w:hAnsi="Arial"/>
      <w:color w:val="auto"/>
      <w:sz w:val="16"/>
      <w:szCs w:val="20"/>
    </w:rPr>
  </w:style>
  <w:style w:type="paragraph" w:styleId="Footer">
    <w:name w:val="footer"/>
    <w:basedOn w:val="Normal"/>
    <w:link w:val="FooterChar"/>
    <w:uiPriority w:val="99"/>
    <w:unhideWhenUsed/>
    <w:rsid w:val="00BC051C"/>
    <w:pPr>
      <w:spacing w:after="0"/>
      <w:jc w:val="left"/>
    </w:pPr>
    <w:rPr>
      <w:sz w:val="16"/>
      <w:szCs w:val="18"/>
    </w:rPr>
  </w:style>
  <w:style w:type="character" w:customStyle="1" w:styleId="FooterChar">
    <w:name w:val="Footer Char"/>
    <w:basedOn w:val="DefaultParagraphFont"/>
    <w:link w:val="Footer"/>
    <w:uiPriority w:val="99"/>
    <w:rsid w:val="00BC051C"/>
    <w:rPr>
      <w:rFonts w:ascii="Arial" w:hAnsi="Arial"/>
      <w:color w:val="auto"/>
      <w:sz w:val="16"/>
      <w:szCs w:val="18"/>
    </w:rPr>
  </w:style>
  <w:style w:type="character" w:styleId="PageNumber">
    <w:name w:val="page number"/>
    <w:basedOn w:val="DefaultParagraphFont"/>
    <w:uiPriority w:val="99"/>
    <w:unhideWhenUsed/>
    <w:rsid w:val="00BC051C"/>
    <w:rPr>
      <w:b/>
    </w:rPr>
  </w:style>
  <w:style w:type="paragraph" w:customStyle="1" w:styleId="BasicParagraph">
    <w:name w:val="[Basic Paragraph]"/>
    <w:basedOn w:val="Normal"/>
    <w:uiPriority w:val="99"/>
    <w:rsid w:val="00BC051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BC051C"/>
    <w:pPr>
      <w:numPr>
        <w:numId w:val="1"/>
      </w:numPr>
      <w:spacing w:before="60"/>
    </w:pPr>
    <w:rPr>
      <w:rFonts w:eastAsia="Times New Roman"/>
      <w:color w:val="000000"/>
    </w:rPr>
  </w:style>
  <w:style w:type="character" w:styleId="CommentReference">
    <w:name w:val="annotation reference"/>
    <w:basedOn w:val="DefaultParagraphFont"/>
    <w:uiPriority w:val="99"/>
    <w:semiHidden/>
    <w:unhideWhenUsed/>
    <w:rsid w:val="00BC051C"/>
    <w:rPr>
      <w:sz w:val="18"/>
      <w:szCs w:val="18"/>
    </w:rPr>
  </w:style>
  <w:style w:type="paragraph" w:styleId="CommentText">
    <w:name w:val="annotation text"/>
    <w:basedOn w:val="Normal"/>
    <w:link w:val="CommentTextChar"/>
    <w:uiPriority w:val="99"/>
    <w:semiHidden/>
    <w:unhideWhenUsed/>
    <w:rsid w:val="00CC2FCB"/>
    <w:rPr>
      <w:sz w:val="24"/>
      <w:szCs w:val="24"/>
    </w:rPr>
  </w:style>
  <w:style w:type="character" w:customStyle="1" w:styleId="CommentTextChar">
    <w:name w:val="Comment Text Char"/>
    <w:basedOn w:val="DefaultParagraphFont"/>
    <w:link w:val="CommentText"/>
    <w:uiPriority w:val="99"/>
    <w:semiHidden/>
    <w:rsid w:val="00CC2FCB"/>
    <w:rPr>
      <w:rFonts w:ascii="Arial" w:hAnsi="Arial" w:cs="Arial"/>
      <w:color w:val="auto"/>
      <w:sz w:val="24"/>
      <w:szCs w:val="24"/>
      <w:lang w:val="en-GB"/>
    </w:rPr>
  </w:style>
  <w:style w:type="paragraph" w:styleId="CommentSubject">
    <w:name w:val="annotation subject"/>
    <w:basedOn w:val="Normal"/>
    <w:link w:val="CommentSubjectChar"/>
    <w:uiPriority w:val="99"/>
    <w:semiHidden/>
    <w:unhideWhenUsed/>
    <w:rsid w:val="00BC051C"/>
    <w:rPr>
      <w:b/>
      <w:bCs/>
    </w:rPr>
  </w:style>
  <w:style w:type="character" w:customStyle="1" w:styleId="CommentSubjectChar">
    <w:name w:val="Comment Subject Char"/>
    <w:basedOn w:val="DefaultParagraphFont"/>
    <w:link w:val="CommentSubject"/>
    <w:uiPriority w:val="99"/>
    <w:semiHidden/>
    <w:rsid w:val="00BC051C"/>
    <w:rPr>
      <w:rFonts w:ascii="Arial" w:hAnsi="Arial"/>
      <w:b/>
      <w:bCs/>
      <w:color w:val="auto"/>
      <w:sz w:val="20"/>
      <w:szCs w:val="20"/>
    </w:rPr>
  </w:style>
  <w:style w:type="paragraph" w:customStyle="1" w:styleId="Default">
    <w:name w:val="Default"/>
    <w:rsid w:val="00BC051C"/>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BC051C"/>
    <w:rPr>
      <w:color w:val="800080" w:themeColor="followedHyperlink"/>
      <w:u w:val="single"/>
    </w:rPr>
  </w:style>
  <w:style w:type="paragraph" w:customStyle="1" w:styleId="H1">
    <w:name w:val="H1"/>
    <w:basedOn w:val="Normal"/>
    <w:link w:val="H1Char"/>
    <w:qFormat/>
    <w:rsid w:val="00BC051C"/>
    <w:pPr>
      <w:spacing w:before="360" w:after="240"/>
      <w:jc w:val="left"/>
      <w:outlineLvl w:val="0"/>
    </w:pPr>
    <w:rPr>
      <w:b/>
      <w:sz w:val="40"/>
      <w:szCs w:val="52"/>
    </w:rPr>
  </w:style>
  <w:style w:type="character" w:customStyle="1" w:styleId="H1Char">
    <w:name w:val="H1 Char"/>
    <w:basedOn w:val="DefaultParagraphFont"/>
    <w:link w:val="H1"/>
    <w:rsid w:val="00BC051C"/>
    <w:rPr>
      <w:rFonts w:ascii="Arial" w:hAnsi="Arial"/>
      <w:b/>
      <w:color w:val="auto"/>
      <w:sz w:val="40"/>
      <w:szCs w:val="52"/>
    </w:rPr>
  </w:style>
  <w:style w:type="paragraph" w:customStyle="1" w:styleId="Header1">
    <w:name w:val="Header 1"/>
    <w:basedOn w:val="Header"/>
    <w:rsid w:val="00BC051C"/>
    <w:rPr>
      <w:b/>
      <w:sz w:val="24"/>
      <w:szCs w:val="24"/>
    </w:rPr>
  </w:style>
  <w:style w:type="character" w:customStyle="1" w:styleId="Heading1Char">
    <w:name w:val="Heading 1 Char"/>
    <w:basedOn w:val="DefaultParagraphFont"/>
    <w:link w:val="Heading1"/>
    <w:uiPriority w:val="9"/>
    <w:rsid w:val="00BC051C"/>
    <w:rPr>
      <w:rFonts w:ascii="Arial" w:hAnsi="Arial"/>
      <w:b/>
      <w:color w:val="auto"/>
      <w:sz w:val="40"/>
      <w:szCs w:val="52"/>
    </w:rPr>
  </w:style>
  <w:style w:type="character" w:customStyle="1" w:styleId="Heading3Char">
    <w:name w:val="Heading 3 Char"/>
    <w:basedOn w:val="DefaultParagraphFont"/>
    <w:link w:val="Heading3"/>
    <w:uiPriority w:val="9"/>
    <w:rsid w:val="00BC051C"/>
    <w:rPr>
      <w:rFonts w:ascii="Arial" w:hAnsi="Arial"/>
      <w:b/>
      <w:color w:val="auto"/>
      <w:szCs w:val="24"/>
    </w:rPr>
  </w:style>
  <w:style w:type="character" w:customStyle="1" w:styleId="Pantone485">
    <w:name w:val="Pantone 485"/>
    <w:basedOn w:val="DefaultParagraphFont"/>
    <w:uiPriority w:val="1"/>
    <w:qFormat/>
    <w:rsid w:val="00BC051C"/>
    <w:rPr>
      <w:rFonts w:cs="Caecilia-Light"/>
      <w:color w:val="DC281E"/>
      <w:szCs w:val="16"/>
    </w:rPr>
  </w:style>
  <w:style w:type="paragraph" w:customStyle="1" w:styleId="RefItem1">
    <w:name w:val="Ref Item 1"/>
    <w:basedOn w:val="Normal"/>
    <w:rsid w:val="00BC051C"/>
    <w:pPr>
      <w:jc w:val="left"/>
    </w:pPr>
    <w:rPr>
      <w:color w:val="000000"/>
      <w:szCs w:val="24"/>
      <w:lang w:eastAsia="it-IT"/>
    </w:rPr>
  </w:style>
  <w:style w:type="paragraph" w:customStyle="1" w:styleId="RefTitre">
    <w:name w:val="Ref Titre"/>
    <w:basedOn w:val="Normal"/>
    <w:rsid w:val="00BC051C"/>
    <w:pPr>
      <w:jc w:val="left"/>
    </w:pPr>
    <w:rPr>
      <w:rFonts w:eastAsia="Times New Roman"/>
      <w:b/>
      <w:bCs/>
      <w:sz w:val="26"/>
      <w:szCs w:val="26"/>
    </w:rPr>
  </w:style>
  <w:style w:type="table" w:customStyle="1" w:styleId="TableGray">
    <w:name w:val="Table Gray"/>
    <w:basedOn w:val="TableNormal"/>
    <w:uiPriority w:val="99"/>
    <w:rsid w:val="00BC051C"/>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BC051C"/>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ListParagraph"/>
    <w:autoRedefine/>
    <w:rsid w:val="00BC051C"/>
    <w:pPr>
      <w:numPr>
        <w:numId w:val="2"/>
      </w:numPr>
      <w:tabs>
        <w:tab w:val="left" w:pos="7230"/>
      </w:tabs>
      <w:spacing w:before="120" w:after="120"/>
      <w:ind w:left="714" w:hanging="357"/>
      <w:contextualSpacing w:val="0"/>
    </w:pPr>
    <w:rPr>
      <w:rFonts w:cs="Arial"/>
    </w:rPr>
  </w:style>
  <w:style w:type="character" w:customStyle="1" w:styleId="Heading4Char">
    <w:name w:val="Heading 4 Char"/>
    <w:basedOn w:val="DefaultParagraphFont"/>
    <w:link w:val="Heading4"/>
    <w:uiPriority w:val="9"/>
    <w:rsid w:val="006853D4"/>
    <w:rPr>
      <w:rFonts w:eastAsiaTheme="majorEastAsia" w:cstheme="majorBidi"/>
      <w:bCs/>
      <w:iCs/>
      <w:color w:val="auto"/>
      <w:sz w:val="20"/>
      <w:szCs w:val="20"/>
      <w:u w:val="single"/>
    </w:rPr>
  </w:style>
  <w:style w:type="paragraph" w:customStyle="1" w:styleId="TableauTitre1">
    <w:name w:val="Tableau Titre 1"/>
    <w:basedOn w:val="Normal"/>
    <w:rsid w:val="008B027D"/>
    <w:pPr>
      <w:keepNext/>
      <w:spacing w:before="240"/>
      <w:jc w:val="center"/>
    </w:pPr>
    <w:rPr>
      <w:b/>
    </w:rPr>
  </w:style>
  <w:style w:type="paragraph" w:styleId="Revision">
    <w:name w:val="Revision"/>
    <w:hidden/>
    <w:uiPriority w:val="99"/>
    <w:semiHidden/>
    <w:rsid w:val="00BC051C"/>
    <w:rPr>
      <w:rFonts w:ascii="Arial" w:hAnsi="Arial" w:cs="Arial"/>
      <w:color w:val="auto"/>
      <w:sz w:val="21"/>
      <w:szCs w:val="21"/>
    </w:rPr>
  </w:style>
  <w:style w:type="paragraph" w:customStyle="1" w:styleId="ListNumber1">
    <w:name w:val="List Number 1"/>
    <w:basedOn w:val="Normal"/>
    <w:rsid w:val="00BC051C"/>
    <w:pPr>
      <w:numPr>
        <w:ilvl w:val="1"/>
        <w:numId w:val="42"/>
      </w:numPr>
      <w:contextualSpacing/>
    </w:pPr>
    <w:rPr>
      <w:rFonts w:eastAsiaTheme="minorHAnsi" w:cstheme="minorHAnsi"/>
      <w:szCs w:val="22"/>
    </w:rPr>
  </w:style>
  <w:style w:type="paragraph" w:customStyle="1" w:styleId="NormalNo">
    <w:name w:val="Normal + No"/>
    <w:basedOn w:val="Normal"/>
    <w:qFormat/>
    <w:rsid w:val="00BC051C"/>
    <w:pPr>
      <w:numPr>
        <w:numId w:val="43"/>
      </w:numPr>
    </w:pPr>
    <w:rPr>
      <w:rFonts w:eastAsia="MS Mincho"/>
      <w:b/>
      <w:sz w:val="22"/>
    </w:rPr>
  </w:style>
  <w:style w:type="paragraph" w:customStyle="1" w:styleId="Bullet3">
    <w:name w:val="Bullet 3"/>
    <w:basedOn w:val="ListParagraph"/>
    <w:qFormat/>
    <w:rsid w:val="00BC051C"/>
    <w:pPr>
      <w:numPr>
        <w:numId w:val="44"/>
      </w:numPr>
      <w:spacing w:before="120" w:after="120"/>
      <w:ind w:right="425"/>
    </w:pPr>
    <w:rPr>
      <w:rFonts w:cs="Arial"/>
      <w:i/>
      <w:iCs/>
    </w:rPr>
  </w:style>
  <w:style w:type="paragraph" w:customStyle="1" w:styleId="Indent">
    <w:name w:val="Indent"/>
    <w:basedOn w:val="Normal"/>
    <w:qFormat/>
    <w:rsid w:val="00BC051C"/>
    <w:pPr>
      <w:ind w:left="567"/>
    </w:pPr>
    <w:rPr>
      <w:rFonts w:cs="Arial"/>
      <w:b/>
    </w:rPr>
  </w:style>
  <w:style w:type="paragraph" w:customStyle="1" w:styleId="TitreTableau">
    <w:name w:val="Titre Tableau"/>
    <w:basedOn w:val="Normal"/>
    <w:qFormat/>
    <w:rsid w:val="00BC051C"/>
    <w:pPr>
      <w:spacing w:before="120"/>
      <w:jc w:val="center"/>
    </w:pPr>
    <w:rPr>
      <w:rFonts w:cs="Arial"/>
      <w:b/>
      <w:bCs/>
      <w:color w:val="FFFFFF" w:themeColor="background1"/>
      <w:lang w:val="en-CA"/>
    </w:rPr>
  </w:style>
  <w:style w:type="paragraph" w:customStyle="1" w:styleId="BulletTableau">
    <w:name w:val="Bullet Tableau"/>
    <w:basedOn w:val="Bullet2"/>
    <w:qFormat/>
    <w:rsid w:val="00BC051C"/>
    <w:pPr>
      <w:keepNext/>
      <w:keepLines/>
      <w:framePr w:hSpace="141" w:wrap="around" w:vAnchor="text" w:hAnchor="margin" w:y="402"/>
      <w:numPr>
        <w:numId w:val="45"/>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1C"/>
    <w:pPr>
      <w:spacing w:after="120"/>
      <w:jc w:val="both"/>
    </w:pPr>
    <w:rPr>
      <w:rFonts w:ascii="Arial" w:hAnsi="Arial"/>
      <w:color w:val="auto"/>
      <w:sz w:val="20"/>
      <w:szCs w:val="20"/>
    </w:rPr>
  </w:style>
  <w:style w:type="paragraph" w:styleId="Heading1">
    <w:name w:val="heading 1"/>
    <w:basedOn w:val="H1"/>
    <w:next w:val="Normal"/>
    <w:link w:val="Heading1Char"/>
    <w:uiPriority w:val="9"/>
    <w:rsid w:val="00BC051C"/>
  </w:style>
  <w:style w:type="paragraph" w:styleId="Heading2">
    <w:name w:val="heading 2"/>
    <w:basedOn w:val="Normal"/>
    <w:next w:val="Normal"/>
    <w:link w:val="Heading2Char"/>
    <w:uiPriority w:val="9"/>
    <w:unhideWhenUsed/>
    <w:qFormat/>
    <w:rsid w:val="00BC051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C051C"/>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6853D4"/>
    <w:pPr>
      <w:keepNext/>
      <w:keepLines/>
      <w:spacing w:before="200"/>
      <w:outlineLvl w:val="3"/>
    </w:pPr>
    <w:rPr>
      <w:rFonts w:asciiTheme="majorHAnsi" w:eastAsiaTheme="majorEastAsia" w:hAnsiTheme="majorHAnsi"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51C"/>
    <w:rPr>
      <w:rFonts w:ascii="Arial" w:hAnsi="Arial"/>
      <w:b/>
      <w:caps/>
      <w:color w:val="auto"/>
      <w:sz w:val="24"/>
      <w:szCs w:val="26"/>
    </w:rPr>
  </w:style>
  <w:style w:type="paragraph" w:styleId="FootnoteText">
    <w:name w:val="footnote text"/>
    <w:aliases w:val="Testo nota a piè di pagina Carattere"/>
    <w:basedOn w:val="Normal"/>
    <w:link w:val="FootnoteTextChar"/>
    <w:uiPriority w:val="99"/>
    <w:unhideWhenUsed/>
    <w:rsid w:val="00BC051C"/>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BC051C"/>
    <w:rPr>
      <w:rFonts w:ascii="Arial" w:hAnsi="Arial"/>
      <w:color w:val="auto"/>
      <w:sz w:val="16"/>
    </w:rPr>
  </w:style>
  <w:style w:type="character" w:styleId="FootnoteReference">
    <w:name w:val="footnote reference"/>
    <w:basedOn w:val="DefaultParagraphFont"/>
    <w:uiPriority w:val="99"/>
    <w:unhideWhenUsed/>
    <w:rsid w:val="00BC051C"/>
    <w:rPr>
      <w:vertAlign w:val="superscript"/>
    </w:rPr>
  </w:style>
  <w:style w:type="paragraph" w:styleId="ListParagraph">
    <w:name w:val="List Paragraph"/>
    <w:basedOn w:val="Normal"/>
    <w:link w:val="ListParagraphChar"/>
    <w:uiPriority w:val="34"/>
    <w:qFormat/>
    <w:rsid w:val="00BC051C"/>
    <w:pPr>
      <w:spacing w:after="240"/>
      <w:ind w:left="720"/>
      <w:contextualSpacing/>
    </w:pPr>
    <w:rPr>
      <w:rFonts w:eastAsiaTheme="minorHAnsi" w:cstheme="minorBidi"/>
      <w:szCs w:val="22"/>
    </w:rPr>
  </w:style>
  <w:style w:type="table" w:styleId="Trameclaire-Accent11">
    <w:name w:val="Light Shading Accent 1"/>
    <w:basedOn w:val="TableNormal"/>
    <w:uiPriority w:val="60"/>
    <w:rsid w:val="00BD2E34"/>
    <w:rPr>
      <w:rFonts w:cs="ArialMT"/>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BC051C"/>
    <w:rPr>
      <w:color w:val="0000FF" w:themeColor="hyperlink"/>
      <w:u w:val="single"/>
    </w:rPr>
  </w:style>
  <w:style w:type="character" w:customStyle="1" w:styleId="ListParagraphChar">
    <w:name w:val="List Paragraph Char"/>
    <w:basedOn w:val="DefaultParagraphFont"/>
    <w:link w:val="ListParagraph"/>
    <w:uiPriority w:val="34"/>
    <w:rsid w:val="00BC051C"/>
    <w:rPr>
      <w:rFonts w:ascii="Arial" w:eastAsiaTheme="minorHAnsi" w:hAnsi="Arial" w:cstheme="minorBidi"/>
      <w:color w:val="auto"/>
      <w:sz w:val="20"/>
    </w:rPr>
  </w:style>
  <w:style w:type="paragraph" w:styleId="BalloonText">
    <w:name w:val="Balloon Text"/>
    <w:basedOn w:val="Normal"/>
    <w:link w:val="BalloonTextChar"/>
    <w:uiPriority w:val="99"/>
    <w:semiHidden/>
    <w:unhideWhenUsed/>
    <w:rsid w:val="00BC05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51C"/>
    <w:rPr>
      <w:rFonts w:ascii="Lucida Grande" w:hAnsi="Lucida Grande" w:cs="Lucida Grande"/>
      <w:color w:val="auto"/>
      <w:sz w:val="18"/>
      <w:szCs w:val="18"/>
    </w:rPr>
  </w:style>
  <w:style w:type="paragraph" w:styleId="Header">
    <w:name w:val="header"/>
    <w:basedOn w:val="Normal"/>
    <w:link w:val="HeaderChar"/>
    <w:uiPriority w:val="99"/>
    <w:unhideWhenUsed/>
    <w:rsid w:val="00BC051C"/>
    <w:pPr>
      <w:spacing w:after="0" w:line="288" w:lineRule="auto"/>
      <w:jc w:val="left"/>
    </w:pPr>
    <w:rPr>
      <w:sz w:val="16"/>
    </w:rPr>
  </w:style>
  <w:style w:type="character" w:customStyle="1" w:styleId="HeaderChar">
    <w:name w:val="Header Char"/>
    <w:basedOn w:val="DefaultParagraphFont"/>
    <w:link w:val="Header"/>
    <w:uiPriority w:val="99"/>
    <w:rsid w:val="00BC051C"/>
    <w:rPr>
      <w:rFonts w:ascii="Arial" w:hAnsi="Arial"/>
      <w:color w:val="auto"/>
      <w:sz w:val="16"/>
      <w:szCs w:val="20"/>
    </w:rPr>
  </w:style>
  <w:style w:type="paragraph" w:styleId="Footer">
    <w:name w:val="footer"/>
    <w:basedOn w:val="Normal"/>
    <w:link w:val="FooterChar"/>
    <w:uiPriority w:val="99"/>
    <w:unhideWhenUsed/>
    <w:rsid w:val="00BC051C"/>
    <w:pPr>
      <w:spacing w:after="0"/>
      <w:jc w:val="left"/>
    </w:pPr>
    <w:rPr>
      <w:sz w:val="16"/>
      <w:szCs w:val="18"/>
    </w:rPr>
  </w:style>
  <w:style w:type="character" w:customStyle="1" w:styleId="FooterChar">
    <w:name w:val="Footer Char"/>
    <w:basedOn w:val="DefaultParagraphFont"/>
    <w:link w:val="Footer"/>
    <w:uiPriority w:val="99"/>
    <w:rsid w:val="00BC051C"/>
    <w:rPr>
      <w:rFonts w:ascii="Arial" w:hAnsi="Arial"/>
      <w:color w:val="auto"/>
      <w:sz w:val="16"/>
      <w:szCs w:val="18"/>
    </w:rPr>
  </w:style>
  <w:style w:type="character" w:styleId="PageNumber">
    <w:name w:val="page number"/>
    <w:basedOn w:val="DefaultParagraphFont"/>
    <w:uiPriority w:val="99"/>
    <w:unhideWhenUsed/>
    <w:rsid w:val="00BC051C"/>
    <w:rPr>
      <w:b/>
    </w:rPr>
  </w:style>
  <w:style w:type="paragraph" w:customStyle="1" w:styleId="BasicParagraph">
    <w:name w:val="[Basic Paragraph]"/>
    <w:basedOn w:val="Normal"/>
    <w:uiPriority w:val="99"/>
    <w:rsid w:val="00BC051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BC051C"/>
    <w:pPr>
      <w:numPr>
        <w:numId w:val="1"/>
      </w:numPr>
      <w:spacing w:before="60"/>
    </w:pPr>
    <w:rPr>
      <w:rFonts w:eastAsia="Times New Roman"/>
      <w:color w:val="000000"/>
    </w:rPr>
  </w:style>
  <w:style w:type="character" w:styleId="CommentReference">
    <w:name w:val="annotation reference"/>
    <w:basedOn w:val="DefaultParagraphFont"/>
    <w:uiPriority w:val="99"/>
    <w:semiHidden/>
    <w:unhideWhenUsed/>
    <w:rsid w:val="00BC051C"/>
    <w:rPr>
      <w:sz w:val="18"/>
      <w:szCs w:val="18"/>
    </w:rPr>
  </w:style>
  <w:style w:type="paragraph" w:styleId="CommentText">
    <w:name w:val="annotation text"/>
    <w:basedOn w:val="Normal"/>
    <w:link w:val="CommentTextChar"/>
    <w:uiPriority w:val="99"/>
    <w:semiHidden/>
    <w:unhideWhenUsed/>
    <w:rsid w:val="00CC2FCB"/>
    <w:rPr>
      <w:sz w:val="24"/>
      <w:szCs w:val="24"/>
    </w:rPr>
  </w:style>
  <w:style w:type="character" w:customStyle="1" w:styleId="CommentTextChar">
    <w:name w:val="Comment Text Char"/>
    <w:basedOn w:val="DefaultParagraphFont"/>
    <w:link w:val="CommentText"/>
    <w:uiPriority w:val="99"/>
    <w:semiHidden/>
    <w:rsid w:val="00CC2FCB"/>
    <w:rPr>
      <w:rFonts w:ascii="Arial" w:hAnsi="Arial" w:cs="Arial"/>
      <w:color w:val="auto"/>
      <w:sz w:val="24"/>
      <w:szCs w:val="24"/>
      <w:lang w:val="en-GB"/>
    </w:rPr>
  </w:style>
  <w:style w:type="paragraph" w:styleId="CommentSubject">
    <w:name w:val="annotation subject"/>
    <w:basedOn w:val="Normal"/>
    <w:link w:val="CommentSubjectChar"/>
    <w:uiPriority w:val="99"/>
    <w:semiHidden/>
    <w:unhideWhenUsed/>
    <w:rsid w:val="00BC051C"/>
    <w:rPr>
      <w:b/>
      <w:bCs/>
    </w:rPr>
  </w:style>
  <w:style w:type="character" w:customStyle="1" w:styleId="CommentSubjectChar">
    <w:name w:val="Comment Subject Char"/>
    <w:basedOn w:val="DefaultParagraphFont"/>
    <w:link w:val="CommentSubject"/>
    <w:uiPriority w:val="99"/>
    <w:semiHidden/>
    <w:rsid w:val="00BC051C"/>
    <w:rPr>
      <w:rFonts w:ascii="Arial" w:hAnsi="Arial"/>
      <w:b/>
      <w:bCs/>
      <w:color w:val="auto"/>
      <w:sz w:val="20"/>
      <w:szCs w:val="20"/>
    </w:rPr>
  </w:style>
  <w:style w:type="paragraph" w:customStyle="1" w:styleId="Default">
    <w:name w:val="Default"/>
    <w:rsid w:val="00BC051C"/>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BC051C"/>
    <w:rPr>
      <w:color w:val="800080" w:themeColor="followedHyperlink"/>
      <w:u w:val="single"/>
    </w:rPr>
  </w:style>
  <w:style w:type="paragraph" w:customStyle="1" w:styleId="H1">
    <w:name w:val="H1"/>
    <w:basedOn w:val="Normal"/>
    <w:link w:val="H1Char"/>
    <w:qFormat/>
    <w:rsid w:val="00BC051C"/>
    <w:pPr>
      <w:spacing w:before="360" w:after="240"/>
      <w:jc w:val="left"/>
      <w:outlineLvl w:val="0"/>
    </w:pPr>
    <w:rPr>
      <w:b/>
      <w:sz w:val="40"/>
      <w:szCs w:val="52"/>
    </w:rPr>
  </w:style>
  <w:style w:type="character" w:customStyle="1" w:styleId="H1Char">
    <w:name w:val="H1 Char"/>
    <w:basedOn w:val="DefaultParagraphFont"/>
    <w:link w:val="H1"/>
    <w:rsid w:val="00BC051C"/>
    <w:rPr>
      <w:rFonts w:ascii="Arial" w:hAnsi="Arial"/>
      <w:b/>
      <w:color w:val="auto"/>
      <w:sz w:val="40"/>
      <w:szCs w:val="52"/>
    </w:rPr>
  </w:style>
  <w:style w:type="paragraph" w:customStyle="1" w:styleId="Header1">
    <w:name w:val="Header 1"/>
    <w:basedOn w:val="Header"/>
    <w:rsid w:val="00BC051C"/>
    <w:rPr>
      <w:b/>
      <w:sz w:val="24"/>
      <w:szCs w:val="24"/>
    </w:rPr>
  </w:style>
  <w:style w:type="character" w:customStyle="1" w:styleId="Heading1Char">
    <w:name w:val="Heading 1 Char"/>
    <w:basedOn w:val="DefaultParagraphFont"/>
    <w:link w:val="Heading1"/>
    <w:uiPriority w:val="9"/>
    <w:rsid w:val="00BC051C"/>
    <w:rPr>
      <w:rFonts w:ascii="Arial" w:hAnsi="Arial"/>
      <w:b/>
      <w:color w:val="auto"/>
      <w:sz w:val="40"/>
      <w:szCs w:val="52"/>
    </w:rPr>
  </w:style>
  <w:style w:type="character" w:customStyle="1" w:styleId="Heading3Char">
    <w:name w:val="Heading 3 Char"/>
    <w:basedOn w:val="DefaultParagraphFont"/>
    <w:link w:val="Heading3"/>
    <w:uiPriority w:val="9"/>
    <w:rsid w:val="00BC051C"/>
    <w:rPr>
      <w:rFonts w:ascii="Arial" w:hAnsi="Arial"/>
      <w:b/>
      <w:color w:val="auto"/>
      <w:szCs w:val="24"/>
    </w:rPr>
  </w:style>
  <w:style w:type="character" w:customStyle="1" w:styleId="Pantone485">
    <w:name w:val="Pantone 485"/>
    <w:basedOn w:val="DefaultParagraphFont"/>
    <w:uiPriority w:val="1"/>
    <w:qFormat/>
    <w:rsid w:val="00BC051C"/>
    <w:rPr>
      <w:rFonts w:cs="Caecilia-Light"/>
      <w:color w:val="DC281E"/>
      <w:szCs w:val="16"/>
    </w:rPr>
  </w:style>
  <w:style w:type="paragraph" w:customStyle="1" w:styleId="RefItem1">
    <w:name w:val="Ref Item 1"/>
    <w:basedOn w:val="Normal"/>
    <w:rsid w:val="00BC051C"/>
    <w:pPr>
      <w:jc w:val="left"/>
    </w:pPr>
    <w:rPr>
      <w:color w:val="000000"/>
      <w:szCs w:val="24"/>
      <w:lang w:eastAsia="it-IT"/>
    </w:rPr>
  </w:style>
  <w:style w:type="paragraph" w:customStyle="1" w:styleId="RefTitre">
    <w:name w:val="Ref Titre"/>
    <w:basedOn w:val="Normal"/>
    <w:rsid w:val="00BC051C"/>
    <w:pPr>
      <w:jc w:val="left"/>
    </w:pPr>
    <w:rPr>
      <w:rFonts w:eastAsia="Times New Roman"/>
      <w:b/>
      <w:bCs/>
      <w:sz w:val="26"/>
      <w:szCs w:val="26"/>
    </w:rPr>
  </w:style>
  <w:style w:type="table" w:customStyle="1" w:styleId="TableGray">
    <w:name w:val="Table Gray"/>
    <w:basedOn w:val="TableNormal"/>
    <w:uiPriority w:val="99"/>
    <w:rsid w:val="00BC051C"/>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BC051C"/>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ListParagraph"/>
    <w:autoRedefine/>
    <w:rsid w:val="00BC051C"/>
    <w:pPr>
      <w:numPr>
        <w:numId w:val="2"/>
      </w:numPr>
      <w:tabs>
        <w:tab w:val="left" w:pos="7230"/>
      </w:tabs>
      <w:spacing w:before="120" w:after="120"/>
      <w:ind w:left="714" w:hanging="357"/>
      <w:contextualSpacing w:val="0"/>
    </w:pPr>
    <w:rPr>
      <w:rFonts w:cs="Arial"/>
    </w:rPr>
  </w:style>
  <w:style w:type="character" w:customStyle="1" w:styleId="Heading4Char">
    <w:name w:val="Heading 4 Char"/>
    <w:basedOn w:val="DefaultParagraphFont"/>
    <w:link w:val="Heading4"/>
    <w:uiPriority w:val="9"/>
    <w:rsid w:val="006853D4"/>
    <w:rPr>
      <w:rFonts w:eastAsiaTheme="majorEastAsia" w:cstheme="majorBidi"/>
      <w:bCs/>
      <w:iCs/>
      <w:color w:val="auto"/>
      <w:sz w:val="20"/>
      <w:szCs w:val="20"/>
      <w:u w:val="single"/>
    </w:rPr>
  </w:style>
  <w:style w:type="paragraph" w:customStyle="1" w:styleId="TableauTitre1">
    <w:name w:val="Tableau Titre 1"/>
    <w:basedOn w:val="Normal"/>
    <w:rsid w:val="008B027D"/>
    <w:pPr>
      <w:keepNext/>
      <w:spacing w:before="240"/>
      <w:jc w:val="center"/>
    </w:pPr>
    <w:rPr>
      <w:b/>
    </w:rPr>
  </w:style>
  <w:style w:type="paragraph" w:styleId="Revision">
    <w:name w:val="Revision"/>
    <w:hidden/>
    <w:uiPriority w:val="99"/>
    <w:semiHidden/>
    <w:rsid w:val="00BC051C"/>
    <w:rPr>
      <w:rFonts w:ascii="Arial" w:hAnsi="Arial" w:cs="Arial"/>
      <w:color w:val="auto"/>
      <w:sz w:val="21"/>
      <w:szCs w:val="21"/>
    </w:rPr>
  </w:style>
  <w:style w:type="paragraph" w:customStyle="1" w:styleId="ListNumber1">
    <w:name w:val="List Number 1"/>
    <w:basedOn w:val="Normal"/>
    <w:rsid w:val="00BC051C"/>
    <w:pPr>
      <w:numPr>
        <w:ilvl w:val="1"/>
        <w:numId w:val="42"/>
      </w:numPr>
      <w:contextualSpacing/>
    </w:pPr>
    <w:rPr>
      <w:rFonts w:eastAsiaTheme="minorHAnsi" w:cstheme="minorHAnsi"/>
      <w:szCs w:val="22"/>
    </w:rPr>
  </w:style>
  <w:style w:type="paragraph" w:customStyle="1" w:styleId="NormalNo">
    <w:name w:val="Normal + No"/>
    <w:basedOn w:val="Normal"/>
    <w:qFormat/>
    <w:rsid w:val="00BC051C"/>
    <w:pPr>
      <w:numPr>
        <w:numId w:val="43"/>
      </w:numPr>
    </w:pPr>
    <w:rPr>
      <w:rFonts w:eastAsia="MS Mincho"/>
      <w:b/>
      <w:sz w:val="22"/>
    </w:rPr>
  </w:style>
  <w:style w:type="paragraph" w:customStyle="1" w:styleId="Bullet3">
    <w:name w:val="Bullet 3"/>
    <w:basedOn w:val="ListParagraph"/>
    <w:qFormat/>
    <w:rsid w:val="00BC051C"/>
    <w:pPr>
      <w:numPr>
        <w:numId w:val="44"/>
      </w:numPr>
      <w:spacing w:before="120" w:after="120"/>
      <w:ind w:right="425"/>
    </w:pPr>
    <w:rPr>
      <w:rFonts w:cs="Arial"/>
      <w:i/>
      <w:iCs/>
    </w:rPr>
  </w:style>
  <w:style w:type="paragraph" w:customStyle="1" w:styleId="Indent">
    <w:name w:val="Indent"/>
    <w:basedOn w:val="Normal"/>
    <w:qFormat/>
    <w:rsid w:val="00BC051C"/>
    <w:pPr>
      <w:ind w:left="567"/>
    </w:pPr>
    <w:rPr>
      <w:rFonts w:cs="Arial"/>
      <w:b/>
    </w:rPr>
  </w:style>
  <w:style w:type="paragraph" w:customStyle="1" w:styleId="TitreTableau">
    <w:name w:val="Titre Tableau"/>
    <w:basedOn w:val="Normal"/>
    <w:qFormat/>
    <w:rsid w:val="00BC051C"/>
    <w:pPr>
      <w:spacing w:before="120"/>
      <w:jc w:val="center"/>
    </w:pPr>
    <w:rPr>
      <w:rFonts w:cs="Arial"/>
      <w:b/>
      <w:bCs/>
      <w:color w:val="FFFFFF" w:themeColor="background1"/>
      <w:lang w:val="en-CA"/>
    </w:rPr>
  </w:style>
  <w:style w:type="paragraph" w:customStyle="1" w:styleId="BulletTableau">
    <w:name w:val="Bullet Tableau"/>
    <w:basedOn w:val="Bullet2"/>
    <w:qFormat/>
    <w:rsid w:val="00BC051C"/>
    <w:pPr>
      <w:keepNext/>
      <w:keepLines/>
      <w:framePr w:hSpace="141" w:wrap="around" w:vAnchor="text" w:hAnchor="margin" w:y="402"/>
      <w:numPr>
        <w:numId w:val="45"/>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819</TotalTime>
  <Pages>7</Pages>
  <Words>2248</Words>
  <Characters>12818</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Florence MAROT</cp:lastModifiedBy>
  <cp:revision>85</cp:revision>
  <cp:lastPrinted>2015-10-29T08:40:00Z</cp:lastPrinted>
  <dcterms:created xsi:type="dcterms:W3CDTF">2015-09-04T01:48:00Z</dcterms:created>
  <dcterms:modified xsi:type="dcterms:W3CDTF">2016-03-14T13:35:00Z</dcterms:modified>
</cp:coreProperties>
</file>