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93815" w14:textId="4986DFDB" w:rsidR="00062472" w:rsidRPr="00DC1B5C" w:rsidRDefault="00DC1B5C" w:rsidP="00DC1B5C">
      <w:pPr>
        <w:pStyle w:val="H1"/>
        <w:rPr>
          <w:rFonts w:cs="Arial"/>
          <w:lang w:val="fr-FR"/>
        </w:rPr>
      </w:pPr>
      <w:r w:rsidRPr="00DC1B5C">
        <w:rPr>
          <w:rFonts w:cs="Arial"/>
          <w:lang w:val="fr-FR"/>
        </w:rPr>
        <w:t xml:space="preserve">Fixation des salaires dans le cadre des programmes </w:t>
      </w:r>
      <w:r>
        <w:rPr>
          <w:rFonts w:cs="Arial"/>
          <w:lang w:val="fr-FR"/>
        </w:rPr>
        <w:t>« argent contre travail »</w:t>
      </w:r>
    </w:p>
    <w:p w14:paraId="57E95572" w14:textId="411CA64C" w:rsidR="00062472" w:rsidRPr="00DC1B5C" w:rsidRDefault="00DC1B5C" w:rsidP="005A2AFE">
      <w:pPr>
        <w:rPr>
          <w:rFonts w:cs="Arial"/>
          <w:lang w:val="fr-FR"/>
        </w:rPr>
      </w:pPr>
      <w:r w:rsidRPr="00DC1B5C">
        <w:rPr>
          <w:rFonts w:cs="Arial"/>
          <w:lang w:val="fr-FR"/>
        </w:rPr>
        <w:t xml:space="preserve">Le processus de fixation des salaires dans le cadre des programmes « argent contre travail » est sensiblement le même que celui </w:t>
      </w:r>
      <w:r w:rsidR="005A2AFE">
        <w:rPr>
          <w:rFonts w:cs="Arial"/>
          <w:lang w:val="fr-FR"/>
        </w:rPr>
        <w:t>utilisé</w:t>
      </w:r>
      <w:r w:rsidRPr="00DC1B5C">
        <w:rPr>
          <w:rFonts w:cs="Arial"/>
          <w:lang w:val="fr-FR"/>
        </w:rPr>
        <w:t xml:space="preserve"> pour établir </w:t>
      </w:r>
      <w:r w:rsidR="005A2AFE">
        <w:rPr>
          <w:rFonts w:cs="Arial"/>
          <w:lang w:val="fr-FR"/>
        </w:rPr>
        <w:t>le montant</w:t>
      </w:r>
      <w:r w:rsidRPr="00DC1B5C">
        <w:rPr>
          <w:rFonts w:cs="Arial"/>
          <w:lang w:val="fr-FR"/>
        </w:rPr>
        <w:t xml:space="preserve"> </w:t>
      </w:r>
      <w:r w:rsidR="00467A74">
        <w:rPr>
          <w:rFonts w:cs="Arial"/>
          <w:lang w:val="fr-FR"/>
        </w:rPr>
        <w:t>de tout autre type de transfert monétaire</w:t>
      </w:r>
      <w:r w:rsidRPr="00DC1B5C">
        <w:rPr>
          <w:rFonts w:cs="Arial"/>
          <w:lang w:val="fr-FR"/>
        </w:rPr>
        <w:t>.</w:t>
      </w:r>
      <w:r w:rsidR="00062472" w:rsidRPr="00DC1B5C">
        <w:rPr>
          <w:rFonts w:cs="Arial"/>
          <w:lang w:val="fr-FR"/>
        </w:rPr>
        <w:t xml:space="preserve"> </w:t>
      </w:r>
      <w:r w:rsidRPr="00DC1B5C">
        <w:rPr>
          <w:rFonts w:cs="Arial"/>
          <w:lang w:val="fr-FR"/>
        </w:rPr>
        <w:t>Une attention particulière doit toutefois être portée à certains aspects spécifiques des programmes « argent contre travail » concernant non seulement le niveau de</w:t>
      </w:r>
      <w:r w:rsidR="00EC57E8">
        <w:rPr>
          <w:rFonts w:cs="Arial"/>
          <w:lang w:val="fr-FR"/>
        </w:rPr>
        <w:t>s</w:t>
      </w:r>
      <w:r w:rsidRPr="00DC1B5C">
        <w:rPr>
          <w:rFonts w:cs="Arial"/>
          <w:lang w:val="fr-FR"/>
        </w:rPr>
        <w:t xml:space="preserve"> salaire</w:t>
      </w:r>
      <w:r w:rsidR="00EC57E8">
        <w:rPr>
          <w:rFonts w:cs="Arial"/>
          <w:lang w:val="fr-FR"/>
        </w:rPr>
        <w:t>s</w:t>
      </w:r>
      <w:r w:rsidRPr="00DC1B5C">
        <w:rPr>
          <w:rFonts w:cs="Arial"/>
          <w:lang w:val="fr-FR"/>
        </w:rPr>
        <w:t xml:space="preserve">, mais aussi le calendrier et </w:t>
      </w:r>
      <w:r>
        <w:rPr>
          <w:rFonts w:cs="Arial"/>
          <w:lang w:val="fr-FR"/>
        </w:rPr>
        <w:t xml:space="preserve">la fréquence des versements et la question de savoir si les </w:t>
      </w:r>
      <w:r w:rsidR="001E18CE">
        <w:rPr>
          <w:rFonts w:cs="Arial"/>
          <w:lang w:val="fr-FR"/>
        </w:rPr>
        <w:t>salaires</w:t>
      </w:r>
      <w:r>
        <w:rPr>
          <w:rFonts w:cs="Arial"/>
          <w:lang w:val="fr-FR"/>
        </w:rPr>
        <w:t xml:space="preserve"> sont calculés par unité, par période </w:t>
      </w:r>
      <w:r w:rsidR="001E18CE">
        <w:rPr>
          <w:rFonts w:cs="Arial"/>
          <w:lang w:val="fr-FR"/>
        </w:rPr>
        <w:t>ou par jour.</w:t>
      </w:r>
      <w:r w:rsidR="00062472" w:rsidRPr="00DC1B5C">
        <w:rPr>
          <w:rFonts w:cs="Arial"/>
          <w:lang w:val="fr-FR"/>
        </w:rPr>
        <w:t xml:space="preserve"> </w:t>
      </w:r>
    </w:p>
    <w:p w14:paraId="2D7FCBC2" w14:textId="5D84C493" w:rsidR="00062472" w:rsidRPr="005D4EC2" w:rsidRDefault="001E18CE" w:rsidP="000254E4">
      <w:pPr>
        <w:pStyle w:val="Heading2"/>
      </w:pPr>
      <w:r>
        <w:t>s</w:t>
      </w:r>
      <w:r w:rsidR="000254E4">
        <w:t>ALAIRES</w:t>
      </w:r>
    </w:p>
    <w:p w14:paraId="1AB8A70C" w14:textId="54AE2039" w:rsidR="00062472" w:rsidRPr="001E18CE" w:rsidRDefault="001E18CE" w:rsidP="006C11CB">
      <w:pPr>
        <w:pStyle w:val="Bullet2"/>
        <w:rPr>
          <w:lang w:val="fr-FR"/>
        </w:rPr>
      </w:pPr>
      <w:r>
        <w:rPr>
          <w:lang w:val="fr-FR"/>
        </w:rPr>
        <w:t>Ils p</w:t>
      </w:r>
      <w:r w:rsidRPr="001E18CE">
        <w:rPr>
          <w:lang w:val="fr-FR"/>
        </w:rPr>
        <w:t xml:space="preserve">euvent varier selon le niveau de qualification requis pour le travail, la durée de la journée de travail </w:t>
      </w:r>
      <w:r w:rsidR="006C11CB">
        <w:rPr>
          <w:lang w:val="fr-FR"/>
        </w:rPr>
        <w:t>ou celle</w:t>
      </w:r>
      <w:r w:rsidRPr="001E18CE">
        <w:rPr>
          <w:lang w:val="fr-FR"/>
        </w:rPr>
        <w:t xml:space="preserve"> du projet.</w:t>
      </w:r>
      <w:r w:rsidR="00062472" w:rsidRPr="001E18CE">
        <w:rPr>
          <w:lang w:val="fr-FR"/>
        </w:rPr>
        <w:t xml:space="preserve"> </w:t>
      </w:r>
    </w:p>
    <w:p w14:paraId="38ED3B78" w14:textId="5D4114E8" w:rsidR="00062472" w:rsidRPr="001E18CE" w:rsidRDefault="001E18CE" w:rsidP="00B11C14">
      <w:pPr>
        <w:pStyle w:val="Bullet2"/>
        <w:rPr>
          <w:lang w:val="fr-FR"/>
        </w:rPr>
      </w:pPr>
      <w:r w:rsidRPr="001E18CE">
        <w:rPr>
          <w:lang w:val="fr-FR"/>
        </w:rPr>
        <w:t xml:space="preserve">Ils doivent correspondre à ceux payés dans le cadre d’autres programmes « argent contre travail » </w:t>
      </w:r>
      <w:r w:rsidR="00B11C14">
        <w:rPr>
          <w:lang w:val="fr-FR"/>
        </w:rPr>
        <w:t xml:space="preserve">mis en œuvre </w:t>
      </w:r>
      <w:r w:rsidRPr="001E18CE">
        <w:rPr>
          <w:lang w:val="fr-FR"/>
        </w:rPr>
        <w:t>dans le m</w:t>
      </w:r>
      <w:r>
        <w:rPr>
          <w:lang w:val="fr-FR"/>
        </w:rPr>
        <w:t>ême domaine, les différences salariales pouvant créer des conflits entre les communautés.</w:t>
      </w:r>
      <w:r w:rsidR="00B83985" w:rsidRPr="001E18CE">
        <w:rPr>
          <w:lang w:val="fr-FR"/>
        </w:rPr>
        <w:t xml:space="preserve"> </w:t>
      </w:r>
    </w:p>
    <w:p w14:paraId="000F48B5" w14:textId="5E19FB2C" w:rsidR="00062472" w:rsidRPr="00BA5C61" w:rsidRDefault="00EC11A8" w:rsidP="005A2AFE">
      <w:pPr>
        <w:pStyle w:val="Bullet2"/>
        <w:rPr>
          <w:lang w:val="fr-FR"/>
        </w:rPr>
      </w:pPr>
      <w:r w:rsidRPr="00EC11A8">
        <w:rPr>
          <w:lang w:val="fr-FR"/>
        </w:rPr>
        <w:t>Le</w:t>
      </w:r>
      <w:r w:rsidR="006C11CB">
        <w:rPr>
          <w:lang w:val="fr-FR"/>
        </w:rPr>
        <w:t>s</w:t>
      </w:r>
      <w:r w:rsidRPr="00EC11A8">
        <w:rPr>
          <w:lang w:val="fr-FR"/>
        </w:rPr>
        <w:t xml:space="preserve"> salaire</w:t>
      </w:r>
      <w:r w:rsidR="006C11CB">
        <w:rPr>
          <w:lang w:val="fr-FR"/>
        </w:rPr>
        <w:t>s</w:t>
      </w:r>
      <w:r w:rsidR="00D81A1D">
        <w:rPr>
          <w:lang w:val="fr-FR"/>
        </w:rPr>
        <w:t xml:space="preserve"> doi</w:t>
      </w:r>
      <w:r w:rsidR="006C11CB">
        <w:rPr>
          <w:lang w:val="fr-FR"/>
        </w:rPr>
        <w:t>ven</w:t>
      </w:r>
      <w:r w:rsidR="00D81A1D">
        <w:rPr>
          <w:lang w:val="fr-FR"/>
        </w:rPr>
        <w:t>t être légèrement inférieur</w:t>
      </w:r>
      <w:r w:rsidR="006C11CB">
        <w:rPr>
          <w:lang w:val="fr-FR"/>
        </w:rPr>
        <w:t>s</w:t>
      </w:r>
      <w:r w:rsidRPr="00EC11A8">
        <w:rPr>
          <w:lang w:val="fr-FR"/>
        </w:rPr>
        <w:t xml:space="preserve"> </w:t>
      </w:r>
      <w:r w:rsidR="00D81A1D">
        <w:rPr>
          <w:lang w:val="fr-FR"/>
        </w:rPr>
        <w:t xml:space="preserve">(en général de 10 % à 20 %) </w:t>
      </w:r>
      <w:r w:rsidRPr="00EC11A8">
        <w:rPr>
          <w:lang w:val="fr-FR"/>
        </w:rPr>
        <w:t xml:space="preserve">à </w:t>
      </w:r>
      <w:r w:rsidR="005A2AFE">
        <w:rPr>
          <w:lang w:val="fr-FR"/>
        </w:rPr>
        <w:t>ceux</w:t>
      </w:r>
      <w:r w:rsidR="00D81A1D">
        <w:rPr>
          <w:lang w:val="fr-FR"/>
        </w:rPr>
        <w:t xml:space="preserve"> pratiqué</w:t>
      </w:r>
      <w:r w:rsidR="005A2AFE">
        <w:rPr>
          <w:lang w:val="fr-FR"/>
        </w:rPr>
        <w:t>s</w:t>
      </w:r>
      <w:r w:rsidR="00D81A1D">
        <w:rPr>
          <w:lang w:val="fr-FR"/>
        </w:rPr>
        <w:t xml:space="preserve"> sur le marché officiel. </w:t>
      </w:r>
      <w:r w:rsidR="0054638C">
        <w:rPr>
          <w:lang w:val="fr-FR"/>
        </w:rPr>
        <w:t>Ainsi les personnes les plus vulnérables pourront « s’auto-sélectionner » et solliciter ces emplois, les personnes travaillant dans des entreprises locales n’en partiront pas, et les manœuvres non qualifié</w:t>
      </w:r>
      <w:r w:rsidR="005A2AFE">
        <w:rPr>
          <w:lang w:val="fr-FR"/>
        </w:rPr>
        <w:t>e</w:t>
      </w:r>
      <w:r w:rsidR="0054638C">
        <w:rPr>
          <w:lang w:val="fr-FR"/>
        </w:rPr>
        <w:t>s reprendront leurs activités de subsistance habituelles.</w:t>
      </w:r>
      <w:r w:rsidR="00062472" w:rsidRPr="00BA5C61">
        <w:rPr>
          <w:lang w:val="fr-FR"/>
        </w:rPr>
        <w:t xml:space="preserve"> </w:t>
      </w:r>
    </w:p>
    <w:p w14:paraId="6565009F" w14:textId="3D6F2845" w:rsidR="00062472" w:rsidRPr="00467A74" w:rsidRDefault="00A321BA" w:rsidP="00B11C14">
      <w:pPr>
        <w:pStyle w:val="Bullet2"/>
        <w:rPr>
          <w:lang w:val="fr-FR"/>
        </w:rPr>
      </w:pPr>
      <w:r w:rsidRPr="00436134">
        <w:rPr>
          <w:lang w:val="fr-FR"/>
        </w:rPr>
        <w:t>Les salaires vers</w:t>
      </w:r>
      <w:r w:rsidR="00436134" w:rsidRPr="00436134">
        <w:rPr>
          <w:lang w:val="fr-FR"/>
        </w:rPr>
        <w:t>é</w:t>
      </w:r>
      <w:r w:rsidRPr="00436134">
        <w:rPr>
          <w:lang w:val="fr-FR"/>
        </w:rPr>
        <w:t xml:space="preserve">s dans le cadre des programmes « argent contre travail » </w:t>
      </w:r>
      <w:r w:rsidR="00436134" w:rsidRPr="00436134">
        <w:rPr>
          <w:lang w:val="fr-FR"/>
        </w:rPr>
        <w:t xml:space="preserve">ne couvriront </w:t>
      </w:r>
      <w:r w:rsidR="00436134">
        <w:rPr>
          <w:lang w:val="fr-FR"/>
        </w:rPr>
        <w:t xml:space="preserve">presque jamais plus que les besoins essentiels des ménages. </w:t>
      </w:r>
      <w:r w:rsidR="00436134" w:rsidRPr="00436134">
        <w:rPr>
          <w:lang w:val="fr-FR"/>
        </w:rPr>
        <w:t xml:space="preserve">Si les salaires sont trop élevés, les programmes </w:t>
      </w:r>
      <w:r w:rsidR="00B11C14">
        <w:rPr>
          <w:lang w:val="fr-FR"/>
        </w:rPr>
        <w:t>peuvent</w:t>
      </w:r>
      <w:r w:rsidR="00436134" w:rsidRPr="00436134">
        <w:rPr>
          <w:lang w:val="fr-FR"/>
        </w:rPr>
        <w:t xml:space="preserve"> inciter les gens à renoncer à leurs activités</w:t>
      </w:r>
      <w:r w:rsidR="00436134">
        <w:rPr>
          <w:lang w:val="fr-FR"/>
        </w:rPr>
        <w:t xml:space="preserve"> de subsistance habituelles. </w:t>
      </w:r>
      <w:r w:rsidR="00436134" w:rsidRPr="00436134">
        <w:rPr>
          <w:lang w:val="fr-FR"/>
        </w:rPr>
        <w:t xml:space="preserve">Gardez toutefois à l’esprit le fait que, immédiatement après une catastrophe de grande ampleur, les activités </w:t>
      </w:r>
      <w:r w:rsidR="009A7F53">
        <w:rPr>
          <w:lang w:val="fr-FR"/>
        </w:rPr>
        <w:t xml:space="preserve">peuvent être interrompues. Dans ce cas, il peut être judicieux de fixer des salaires comparables voire supérieurs à ceux versés avant la catastrophe, afin de relancer rapidement l’activité économique. </w:t>
      </w:r>
    </w:p>
    <w:p w14:paraId="6ED5CECB" w14:textId="1DB6B74C" w:rsidR="00062472" w:rsidRPr="00467A74" w:rsidRDefault="009A7F53" w:rsidP="005C0D2D">
      <w:pPr>
        <w:pStyle w:val="Bullet2"/>
        <w:rPr>
          <w:lang w:val="fr-FR"/>
        </w:rPr>
      </w:pPr>
      <w:r w:rsidRPr="009A7F53">
        <w:rPr>
          <w:lang w:val="fr-FR"/>
        </w:rPr>
        <w:t>Une analyse de l’économie locale, incluant notamment un aperçu des prix du marché et des possibilités d’emploi, doit être effectuée régulièrement, tout au long du projet</w:t>
      </w:r>
      <w:r w:rsidR="005C0D2D">
        <w:rPr>
          <w:lang w:val="fr-FR"/>
        </w:rPr>
        <w:t>,</w:t>
      </w:r>
      <w:r w:rsidRPr="009A7F53">
        <w:rPr>
          <w:lang w:val="fr-FR"/>
        </w:rPr>
        <w:t xml:space="preserve"> afin que les salaires versés dans le cadre des programmes </w:t>
      </w:r>
      <w:r>
        <w:rPr>
          <w:lang w:val="fr-FR"/>
        </w:rPr>
        <w:t xml:space="preserve">« argent contre travail » soient maintenus à un niveau adéquat. </w:t>
      </w:r>
      <w:r w:rsidR="00D94FEB">
        <w:rPr>
          <w:lang w:val="fr-FR"/>
        </w:rPr>
        <w:t>Si d</w:t>
      </w:r>
      <w:r w:rsidRPr="009A7F53">
        <w:rPr>
          <w:lang w:val="fr-FR"/>
        </w:rPr>
        <w:t xml:space="preserve">es entreprises locales continuent </w:t>
      </w:r>
      <w:r w:rsidR="005C0D2D">
        <w:rPr>
          <w:lang w:val="fr-FR"/>
        </w:rPr>
        <w:t>d’</w:t>
      </w:r>
      <w:r w:rsidRPr="009A7F53">
        <w:rPr>
          <w:lang w:val="fr-FR"/>
        </w:rPr>
        <w:t xml:space="preserve">avoir du mal à recruter des </w:t>
      </w:r>
      <w:r w:rsidR="00D94FEB" w:rsidRPr="009A7F53">
        <w:rPr>
          <w:lang w:val="fr-FR"/>
        </w:rPr>
        <w:t>manœuvres</w:t>
      </w:r>
      <w:r w:rsidRPr="009A7F53">
        <w:rPr>
          <w:lang w:val="fr-FR"/>
        </w:rPr>
        <w:t xml:space="preserve"> du fait de la concurrence que r</w:t>
      </w:r>
      <w:r w:rsidR="00D94FEB">
        <w:rPr>
          <w:lang w:val="fr-FR"/>
        </w:rPr>
        <w:t>eprésente</w:t>
      </w:r>
      <w:r w:rsidR="00FA36EB">
        <w:rPr>
          <w:lang w:val="fr-FR"/>
        </w:rPr>
        <w:t>nt</w:t>
      </w:r>
      <w:r w:rsidR="00D94FEB">
        <w:rPr>
          <w:lang w:val="fr-FR"/>
        </w:rPr>
        <w:t xml:space="preserve"> les programmes « argent contre travail », les organisations humanitaires doivent réduire le nombre de participants, le nombre de jours travaillés ou les salaires. </w:t>
      </w:r>
    </w:p>
    <w:p w14:paraId="1B6B32F7" w14:textId="343BBA16" w:rsidR="00062472" w:rsidRPr="000B38CB" w:rsidRDefault="000254E4" w:rsidP="000254E4">
      <w:pPr>
        <w:pStyle w:val="Heading2"/>
        <w:rPr>
          <w:lang w:val="fr-FR"/>
        </w:rPr>
      </w:pPr>
      <w:r>
        <w:rPr>
          <w:lang w:val="fr-FR"/>
        </w:rPr>
        <w:t>CALENDRIER ET FRÉQUENCE DES VERSEMENTS</w:t>
      </w:r>
    </w:p>
    <w:p w14:paraId="7A8EF2E3" w14:textId="03CDA01F" w:rsidR="00062472" w:rsidRPr="002C4564" w:rsidRDefault="002C4564" w:rsidP="00F34B28">
      <w:pPr>
        <w:pStyle w:val="Bullet2"/>
        <w:rPr>
          <w:lang w:val="fr-FR"/>
        </w:rPr>
      </w:pPr>
      <w:r w:rsidRPr="002C4564">
        <w:rPr>
          <w:lang w:val="fr-FR"/>
        </w:rPr>
        <w:t>Tout comme pour les autres formes de transferts monétaires, la fréquence des paiements doit être définie dans les objectifs des programmes.</w:t>
      </w:r>
      <w:r w:rsidR="00062472" w:rsidRPr="002C4564">
        <w:rPr>
          <w:lang w:val="fr-FR"/>
        </w:rPr>
        <w:t xml:space="preserve"> </w:t>
      </w:r>
      <w:r w:rsidRPr="002C4564">
        <w:rPr>
          <w:lang w:val="fr-FR"/>
        </w:rPr>
        <w:t xml:space="preserve">Si l’objectif est d’aider les </w:t>
      </w:r>
      <w:r w:rsidR="00F34B28">
        <w:rPr>
          <w:lang w:val="fr-FR"/>
        </w:rPr>
        <w:t>participants</w:t>
      </w:r>
      <w:r w:rsidRPr="002C4564">
        <w:rPr>
          <w:lang w:val="fr-FR"/>
        </w:rPr>
        <w:t xml:space="preserve"> à satisfaire leurs besoins élémentaires, les versements seront plus fréquents ; si au contraire le programme vise à faciliter le rétablissement des moyens de subsistance, des versements moins </w:t>
      </w:r>
      <w:r>
        <w:rPr>
          <w:lang w:val="fr-FR"/>
        </w:rPr>
        <w:t>fré</w:t>
      </w:r>
      <w:r w:rsidRPr="002C4564">
        <w:rPr>
          <w:lang w:val="fr-FR"/>
        </w:rPr>
        <w:t xml:space="preserve">quents </w:t>
      </w:r>
      <w:r>
        <w:rPr>
          <w:lang w:val="fr-FR"/>
        </w:rPr>
        <w:t xml:space="preserve">offriront un meilleur rapport coût-efficacité, pour autant que les ménages puissent malgré tout satisfaire leurs besoins élémentaires dans l’intervalle. </w:t>
      </w:r>
    </w:p>
    <w:p w14:paraId="5908E167" w14:textId="01CB423A" w:rsidR="00062472" w:rsidRPr="00A15D03" w:rsidRDefault="00CE50D3" w:rsidP="005A2AFE">
      <w:pPr>
        <w:pStyle w:val="Bullet2"/>
        <w:rPr>
          <w:lang w:val="fr-FR"/>
        </w:rPr>
      </w:pPr>
      <w:r w:rsidRPr="00CE50D3">
        <w:rPr>
          <w:lang w:val="fr-FR"/>
        </w:rPr>
        <w:t>En principe</w:t>
      </w:r>
      <w:r w:rsidR="00B83985" w:rsidRPr="00CE50D3">
        <w:rPr>
          <w:lang w:val="fr-FR"/>
        </w:rPr>
        <w:t>,</w:t>
      </w:r>
      <w:r w:rsidRPr="00CE50D3">
        <w:rPr>
          <w:lang w:val="fr-FR"/>
        </w:rPr>
        <w:t xml:space="preserve"> les salaires pour les programmes </w:t>
      </w:r>
      <w:r>
        <w:rPr>
          <w:lang w:val="fr-FR"/>
        </w:rPr>
        <w:t xml:space="preserve">« argent contre travail » sont versés une fois que les activités ont commencé. </w:t>
      </w:r>
      <w:r w:rsidRPr="00CE50D3">
        <w:rPr>
          <w:lang w:val="fr-FR"/>
        </w:rPr>
        <w:t xml:space="preserve">Si les </w:t>
      </w:r>
      <w:r w:rsidR="00F34B28">
        <w:rPr>
          <w:lang w:val="fr-FR"/>
        </w:rPr>
        <w:t>participants</w:t>
      </w:r>
      <w:r w:rsidRPr="00CE50D3">
        <w:rPr>
          <w:lang w:val="fr-FR"/>
        </w:rPr>
        <w:t xml:space="preserve"> n’ont peu ou pas de revenu ou s’ils craignent que </w:t>
      </w:r>
      <w:r w:rsidR="00EF23DC">
        <w:rPr>
          <w:lang w:val="fr-FR"/>
        </w:rPr>
        <w:t>l’organis</w:t>
      </w:r>
      <w:r w:rsidR="005A2AFE">
        <w:rPr>
          <w:lang w:val="fr-FR"/>
        </w:rPr>
        <w:t>ation</w:t>
      </w:r>
      <w:r w:rsidR="00EF23DC">
        <w:rPr>
          <w:lang w:val="fr-FR"/>
        </w:rPr>
        <w:t xml:space="preserve"> d’exécution</w:t>
      </w:r>
      <w:r w:rsidRPr="00CE50D3">
        <w:rPr>
          <w:lang w:val="fr-FR"/>
        </w:rPr>
        <w:t xml:space="preserve"> ne </w:t>
      </w:r>
      <w:r w:rsidR="00A13445">
        <w:rPr>
          <w:lang w:val="fr-FR"/>
        </w:rPr>
        <w:t>rémunère par leur travail</w:t>
      </w:r>
      <w:r w:rsidRPr="00CE50D3">
        <w:rPr>
          <w:lang w:val="fr-FR"/>
        </w:rPr>
        <w:t>, le versement des salaires doit être fréquent (toutes les semaines, par exemple), puis de moins en moins</w:t>
      </w:r>
      <w:r>
        <w:rPr>
          <w:lang w:val="fr-FR"/>
        </w:rPr>
        <w:t xml:space="preserve"> fréquent (toutes les deux semaines, par exemple)</w:t>
      </w:r>
      <w:r w:rsidR="005C0D2D">
        <w:rPr>
          <w:lang w:val="fr-FR"/>
        </w:rPr>
        <w:t xml:space="preserve"> à mesure que le projet avance</w:t>
      </w:r>
      <w:r>
        <w:rPr>
          <w:lang w:val="fr-FR"/>
        </w:rPr>
        <w:t xml:space="preserve">. Si la situation est si difficile que les </w:t>
      </w:r>
      <w:r w:rsidR="00A15D03">
        <w:rPr>
          <w:lang w:val="fr-FR"/>
        </w:rPr>
        <w:t>participants</w:t>
      </w:r>
      <w:r>
        <w:rPr>
          <w:lang w:val="fr-FR"/>
        </w:rPr>
        <w:t xml:space="preserve"> </w:t>
      </w:r>
      <w:r w:rsidR="00A15D03">
        <w:rPr>
          <w:lang w:val="fr-FR"/>
        </w:rPr>
        <w:t xml:space="preserve">doivent être payés tous les jours, il est probable qu’il soit trop tôt pour mettre en œuvre un programme « argent contre travail ». </w:t>
      </w:r>
      <w:r w:rsidR="00A15D03" w:rsidRPr="00A15D03">
        <w:rPr>
          <w:lang w:val="fr-FR"/>
        </w:rPr>
        <w:t>Dans ce cas, il faut envisage</w:t>
      </w:r>
      <w:r w:rsidR="00656084">
        <w:rPr>
          <w:lang w:val="fr-FR"/>
        </w:rPr>
        <w:t>r</w:t>
      </w:r>
      <w:r w:rsidR="00A15D03" w:rsidRPr="00A15D03">
        <w:rPr>
          <w:lang w:val="fr-FR"/>
        </w:rPr>
        <w:t xml:space="preserve"> d’autres formes d’assistance (aide alimentaire ou subvention</w:t>
      </w:r>
      <w:r w:rsidR="00656084">
        <w:rPr>
          <w:lang w:val="fr-FR"/>
        </w:rPr>
        <w:t>s</w:t>
      </w:r>
      <w:r w:rsidR="00A15D03" w:rsidRPr="00A15D03">
        <w:rPr>
          <w:lang w:val="fr-FR"/>
        </w:rPr>
        <w:t xml:space="preserve"> en espèces, par exemple)</w:t>
      </w:r>
      <w:r w:rsidR="00062472" w:rsidRPr="00A15D03">
        <w:rPr>
          <w:lang w:val="fr-FR"/>
        </w:rPr>
        <w:t xml:space="preserve">. </w:t>
      </w:r>
    </w:p>
    <w:p w14:paraId="44BC1ED5" w14:textId="4B61694F" w:rsidR="00062472" w:rsidRDefault="00656084" w:rsidP="0065576D">
      <w:pPr>
        <w:pStyle w:val="Bullet2"/>
        <w:rPr>
          <w:lang w:val="fr-FR"/>
        </w:rPr>
      </w:pPr>
      <w:r w:rsidRPr="00656084">
        <w:rPr>
          <w:lang w:val="fr-FR"/>
        </w:rPr>
        <w:t xml:space="preserve">Il est important de tenir compte du fait que </w:t>
      </w:r>
      <w:r>
        <w:rPr>
          <w:lang w:val="fr-FR"/>
        </w:rPr>
        <w:t xml:space="preserve">les petits versements très fréquents </w:t>
      </w:r>
      <w:r w:rsidR="000E2A47">
        <w:rPr>
          <w:lang w:val="fr-FR"/>
        </w:rPr>
        <w:t>créent une charge administrative supplémentaire. Dans tous les cas, il faut trouver un équilibre entre les besoins de la communauté et ce que l’organis</w:t>
      </w:r>
      <w:r w:rsidR="0065576D">
        <w:rPr>
          <w:lang w:val="fr-FR"/>
        </w:rPr>
        <w:t>ation</w:t>
      </w:r>
      <w:r w:rsidR="00EF23DC">
        <w:rPr>
          <w:lang w:val="fr-FR"/>
        </w:rPr>
        <w:t xml:space="preserve"> d’exécution </w:t>
      </w:r>
      <w:r w:rsidR="000E2A47">
        <w:rPr>
          <w:lang w:val="fr-FR"/>
        </w:rPr>
        <w:t>a réellement les moyens de faire.</w:t>
      </w:r>
    </w:p>
    <w:p w14:paraId="122AAA07" w14:textId="77777777" w:rsidR="007C088E" w:rsidRPr="00B77434" w:rsidRDefault="007C088E" w:rsidP="007C088E">
      <w:pPr>
        <w:pStyle w:val="Bullet2"/>
        <w:numPr>
          <w:ilvl w:val="0"/>
          <w:numId w:val="0"/>
        </w:numPr>
        <w:ind w:left="720"/>
        <w:rPr>
          <w:lang w:val="fr-FR"/>
        </w:rPr>
      </w:pPr>
    </w:p>
    <w:p w14:paraId="7FF7B93A" w14:textId="10FB5D99" w:rsidR="00062472" w:rsidRPr="00E7483A" w:rsidRDefault="00F34B28" w:rsidP="007C088E">
      <w:pPr>
        <w:pStyle w:val="Bullet2"/>
        <w:rPr>
          <w:lang w:val="fr-FR"/>
        </w:rPr>
      </w:pPr>
      <w:r w:rsidRPr="00F34B28">
        <w:rPr>
          <w:lang w:val="fr-FR"/>
        </w:rPr>
        <w:t xml:space="preserve">Lorsque les paiements ont pour but </w:t>
      </w:r>
      <w:r w:rsidR="005C0D2D" w:rsidRPr="00F34B28">
        <w:rPr>
          <w:lang w:val="fr-FR"/>
        </w:rPr>
        <w:t xml:space="preserve">non seulement </w:t>
      </w:r>
      <w:r w:rsidRPr="00F34B28">
        <w:rPr>
          <w:lang w:val="fr-FR"/>
        </w:rPr>
        <w:t xml:space="preserve">d’aider les </w:t>
      </w:r>
      <w:r>
        <w:rPr>
          <w:lang w:val="fr-FR"/>
        </w:rPr>
        <w:t>participants</w:t>
      </w:r>
      <w:r w:rsidRPr="00F34B28">
        <w:rPr>
          <w:lang w:val="fr-FR"/>
        </w:rPr>
        <w:t xml:space="preserve"> à satisfaire leurs besoins</w:t>
      </w:r>
      <w:r w:rsidR="00062472" w:rsidRPr="00F34B28">
        <w:rPr>
          <w:lang w:val="fr-FR"/>
        </w:rPr>
        <w:t xml:space="preserve"> </w:t>
      </w:r>
      <w:r w:rsidRPr="00F34B28">
        <w:rPr>
          <w:lang w:val="fr-FR"/>
        </w:rPr>
        <w:t xml:space="preserve">de consommation courants, mais aussi de </w:t>
      </w:r>
      <w:r w:rsidR="005C0D2D">
        <w:rPr>
          <w:lang w:val="fr-FR"/>
        </w:rPr>
        <w:t xml:space="preserve">leur </w:t>
      </w:r>
      <w:r w:rsidRPr="00F34B28">
        <w:rPr>
          <w:lang w:val="fr-FR"/>
        </w:rPr>
        <w:t>permettre d’investir, les organisations peuv</w:t>
      </w:r>
      <w:r w:rsidR="005C0D2D">
        <w:rPr>
          <w:lang w:val="fr-FR"/>
        </w:rPr>
        <w:t xml:space="preserve">ent décider de ne verser qu’une </w:t>
      </w:r>
      <w:r w:rsidRPr="00F34B28">
        <w:rPr>
          <w:lang w:val="fr-FR"/>
        </w:rPr>
        <w:t xml:space="preserve">partie du salaire chaque semaine, conservant le reste </w:t>
      </w:r>
      <w:r w:rsidR="005C0D2D">
        <w:rPr>
          <w:lang w:val="fr-FR"/>
        </w:rPr>
        <w:t xml:space="preserve">pour </w:t>
      </w:r>
      <w:r w:rsidR="00E7483A">
        <w:rPr>
          <w:lang w:val="fr-FR"/>
        </w:rPr>
        <w:t>un dernier versement plus conséquent</w:t>
      </w:r>
      <w:r>
        <w:rPr>
          <w:lang w:val="fr-FR"/>
        </w:rPr>
        <w:t xml:space="preserve">, qui permette par exemple </w:t>
      </w:r>
      <w:r w:rsidR="00E7483A">
        <w:rPr>
          <w:lang w:val="fr-FR"/>
        </w:rPr>
        <w:t xml:space="preserve">aux participants </w:t>
      </w:r>
      <w:r>
        <w:rPr>
          <w:lang w:val="fr-FR"/>
        </w:rPr>
        <w:t xml:space="preserve">d’acheter </w:t>
      </w:r>
      <w:r w:rsidR="00E7483A">
        <w:rPr>
          <w:lang w:val="fr-FR"/>
        </w:rPr>
        <w:t>du bétail ou de construire une maison.</w:t>
      </w:r>
      <w:r w:rsidRPr="00F34B28">
        <w:rPr>
          <w:lang w:val="fr-FR"/>
        </w:rPr>
        <w:t xml:space="preserve"> </w:t>
      </w:r>
      <w:r w:rsidR="00E7483A">
        <w:rPr>
          <w:lang w:val="fr-FR"/>
        </w:rPr>
        <w:t xml:space="preserve">Il faut pour ce faire que les participants et leur communauté donnent leur accord. </w:t>
      </w:r>
      <w:r w:rsidR="00E7483A" w:rsidRPr="00E7483A">
        <w:rPr>
          <w:lang w:val="fr-FR"/>
        </w:rPr>
        <w:t xml:space="preserve">Ce dernier versement </w:t>
      </w:r>
      <w:r w:rsidR="007C088E">
        <w:rPr>
          <w:lang w:val="fr-FR"/>
        </w:rPr>
        <w:t xml:space="preserve">plus conséquent </w:t>
      </w:r>
      <w:r w:rsidR="00E7483A" w:rsidRPr="00E7483A">
        <w:rPr>
          <w:lang w:val="fr-FR"/>
        </w:rPr>
        <w:t xml:space="preserve">peut être effectué sur un compte </w:t>
      </w:r>
      <w:r w:rsidR="00E7483A">
        <w:rPr>
          <w:lang w:val="fr-FR"/>
        </w:rPr>
        <w:t>auprès d’un organisme local d’épargne et de crédit</w:t>
      </w:r>
      <w:r w:rsidR="008C547D">
        <w:rPr>
          <w:lang w:val="fr-FR"/>
        </w:rPr>
        <w:t xml:space="preserve">. On réduit ainsi les risques </w:t>
      </w:r>
      <w:r w:rsidR="00320E86">
        <w:rPr>
          <w:lang w:val="fr-FR"/>
        </w:rPr>
        <w:t>liés au</w:t>
      </w:r>
      <w:r w:rsidR="008C547D">
        <w:rPr>
          <w:lang w:val="fr-FR"/>
        </w:rPr>
        <w:t xml:space="preserve"> versement de grosses sommes en espèces et on aide les participants à établir une relation avec un prestataire de services </w:t>
      </w:r>
      <w:r w:rsidR="00320E86">
        <w:rPr>
          <w:lang w:val="fr-FR"/>
        </w:rPr>
        <w:t>financiers</w:t>
      </w:r>
      <w:r w:rsidR="008C547D">
        <w:rPr>
          <w:lang w:val="fr-FR"/>
        </w:rPr>
        <w:t xml:space="preserve"> reconnu.</w:t>
      </w:r>
    </w:p>
    <w:p w14:paraId="5D89DCD5" w14:textId="771A489B" w:rsidR="00062472" w:rsidRPr="000254E4" w:rsidRDefault="0045478F" w:rsidP="000254E4">
      <w:pPr>
        <w:pStyle w:val="Heading2"/>
        <w:rPr>
          <w:lang w:val="fr-FR"/>
        </w:rPr>
      </w:pPr>
      <w:r>
        <w:rPr>
          <w:lang w:val="fr-FR"/>
        </w:rPr>
        <w:t>rÉmunÉration</w:t>
      </w:r>
      <w:r w:rsidR="000254E4">
        <w:rPr>
          <w:lang w:val="fr-FR"/>
        </w:rPr>
        <w:t xml:space="preserve"> PAR UNITÉ, PAR PÉRIODE OU PAR JOUR</w:t>
      </w:r>
      <w:r w:rsidR="00062472" w:rsidRPr="000254E4">
        <w:rPr>
          <w:lang w:val="fr-FR"/>
        </w:rPr>
        <w:t xml:space="preserve"> </w:t>
      </w:r>
    </w:p>
    <w:p w14:paraId="0CE9AD7A" w14:textId="16426B1C" w:rsidR="005556CC" w:rsidRPr="00536997" w:rsidRDefault="00B42622" w:rsidP="00320E86">
      <w:pPr>
        <w:spacing w:after="240"/>
        <w:rPr>
          <w:rFonts w:cs="Arial"/>
          <w:lang w:val="fr-FR"/>
        </w:rPr>
      </w:pPr>
      <w:r w:rsidRPr="00B42622">
        <w:rPr>
          <w:rFonts w:cs="Arial"/>
          <w:lang w:val="fr-FR"/>
        </w:rPr>
        <w:t xml:space="preserve">En plus de fixer le niveau </w:t>
      </w:r>
      <w:r w:rsidR="00320E86">
        <w:rPr>
          <w:rFonts w:cs="Arial"/>
          <w:lang w:val="fr-FR"/>
        </w:rPr>
        <w:t>des</w:t>
      </w:r>
      <w:r w:rsidRPr="00B42622">
        <w:rPr>
          <w:rFonts w:cs="Arial"/>
          <w:lang w:val="fr-FR"/>
        </w:rPr>
        <w:t xml:space="preserve"> salaire</w:t>
      </w:r>
      <w:r w:rsidR="00320E86">
        <w:rPr>
          <w:rFonts w:cs="Arial"/>
          <w:lang w:val="fr-FR"/>
        </w:rPr>
        <w:t>s</w:t>
      </w:r>
      <w:r w:rsidRPr="00B42622">
        <w:rPr>
          <w:rFonts w:cs="Arial"/>
          <w:lang w:val="fr-FR"/>
        </w:rPr>
        <w:t xml:space="preserve"> et de définir le calendrier </w:t>
      </w:r>
      <w:r w:rsidR="001D7CB0">
        <w:rPr>
          <w:rFonts w:cs="Arial"/>
          <w:lang w:val="fr-FR"/>
        </w:rPr>
        <w:t xml:space="preserve">et </w:t>
      </w:r>
      <w:r w:rsidRPr="00B42622">
        <w:rPr>
          <w:rFonts w:cs="Arial"/>
          <w:lang w:val="fr-FR"/>
        </w:rPr>
        <w:t>la fréquence des versements, vous devrez décider s</w:t>
      </w:r>
      <w:r>
        <w:rPr>
          <w:rFonts w:cs="Arial"/>
          <w:lang w:val="fr-FR"/>
        </w:rPr>
        <w:t>i les participants s</w:t>
      </w:r>
      <w:r w:rsidR="007C088E">
        <w:rPr>
          <w:rFonts w:cs="Arial"/>
          <w:lang w:val="fr-FR"/>
        </w:rPr>
        <w:t>er</w:t>
      </w:r>
      <w:r>
        <w:rPr>
          <w:rFonts w:cs="Arial"/>
          <w:lang w:val="fr-FR"/>
        </w:rPr>
        <w:t xml:space="preserve">ont </w:t>
      </w:r>
      <w:r w:rsidR="0045478F">
        <w:rPr>
          <w:rFonts w:cs="Arial"/>
          <w:lang w:val="fr-FR"/>
        </w:rPr>
        <w:t>rémunérés</w:t>
      </w:r>
      <w:r>
        <w:rPr>
          <w:rFonts w:cs="Arial"/>
          <w:lang w:val="fr-FR"/>
        </w:rPr>
        <w:t xml:space="preserve"> </w:t>
      </w:r>
      <w:r w:rsidR="00536997">
        <w:rPr>
          <w:rFonts w:cs="Arial"/>
          <w:lang w:val="fr-FR"/>
        </w:rPr>
        <w:t>en fonction de</w:t>
      </w:r>
      <w:r>
        <w:rPr>
          <w:rFonts w:cs="Arial"/>
          <w:lang w:val="fr-FR"/>
        </w:rPr>
        <w:t xml:space="preserve"> </w:t>
      </w:r>
      <w:r w:rsidR="00536997">
        <w:rPr>
          <w:rFonts w:cs="Arial"/>
          <w:lang w:val="fr-FR"/>
        </w:rPr>
        <w:t xml:space="preserve">leur </w:t>
      </w:r>
      <w:r w:rsidR="008C1D61">
        <w:rPr>
          <w:rFonts w:cs="Arial"/>
          <w:lang w:val="fr-FR"/>
        </w:rPr>
        <w:t>productivité</w:t>
      </w:r>
      <w:r>
        <w:rPr>
          <w:rFonts w:cs="Arial"/>
          <w:lang w:val="fr-FR"/>
        </w:rPr>
        <w:t xml:space="preserve"> ou</w:t>
      </w:r>
      <w:r w:rsidR="00536997">
        <w:rPr>
          <w:rFonts w:cs="Arial"/>
          <w:lang w:val="fr-FR"/>
        </w:rPr>
        <w:t xml:space="preserve"> de</w:t>
      </w:r>
      <w:r>
        <w:rPr>
          <w:rFonts w:cs="Arial"/>
          <w:lang w:val="fr-FR"/>
        </w:rPr>
        <w:t xml:space="preserve"> leur temps de travail.</w:t>
      </w:r>
      <w:r w:rsidR="005556CC" w:rsidRPr="00B42622">
        <w:rPr>
          <w:rFonts w:cs="Arial"/>
          <w:lang w:val="fr-FR"/>
        </w:rPr>
        <w:t xml:space="preserve"> </w:t>
      </w:r>
      <w:r w:rsidRPr="00B42622">
        <w:rPr>
          <w:rFonts w:cs="Arial"/>
          <w:lang w:val="fr-FR"/>
        </w:rPr>
        <w:t xml:space="preserve">Le tableau ci-dessous explique </w:t>
      </w:r>
      <w:r w:rsidR="00536997">
        <w:rPr>
          <w:rFonts w:cs="Arial"/>
          <w:lang w:val="fr-FR"/>
        </w:rPr>
        <w:t xml:space="preserve">les divers types de </w:t>
      </w:r>
      <w:r w:rsidR="0045478F">
        <w:rPr>
          <w:rFonts w:cs="Arial"/>
          <w:lang w:val="fr-FR"/>
        </w:rPr>
        <w:t>rémunération</w:t>
      </w:r>
      <w:r w:rsidR="00536997">
        <w:rPr>
          <w:rFonts w:cs="Arial"/>
          <w:lang w:val="fr-FR"/>
        </w:rPr>
        <w:t xml:space="preserve"> ainsi que leurs</w:t>
      </w:r>
      <w:r>
        <w:rPr>
          <w:rFonts w:cs="Arial"/>
          <w:lang w:val="fr-FR"/>
        </w:rPr>
        <w:t xml:space="preserve"> avantages et </w:t>
      </w:r>
      <w:r w:rsidR="001D7CB0">
        <w:rPr>
          <w:rFonts w:cs="Arial"/>
          <w:lang w:val="fr-FR"/>
        </w:rPr>
        <w:t xml:space="preserve">leurs </w:t>
      </w:r>
      <w:r w:rsidR="00A13445">
        <w:rPr>
          <w:rFonts w:cs="Arial"/>
          <w:lang w:val="fr-FR"/>
        </w:rPr>
        <w:t>inconvénients potentiels</w:t>
      </w:r>
      <w:r w:rsidR="00536997">
        <w:rPr>
          <w:rFonts w:cs="Arial"/>
          <w:lang w:val="fr-FR"/>
        </w:rPr>
        <w:t>.</w:t>
      </w:r>
      <w:r>
        <w:rPr>
          <w:rFonts w:cs="Arial"/>
          <w:lang w:val="fr-FR"/>
        </w:rPr>
        <w:t xml:space="preserve"> </w:t>
      </w:r>
    </w:p>
    <w:tbl>
      <w:tblPr>
        <w:tblStyle w:val="TableGrid"/>
        <w:tblW w:w="5000" w:type="pct"/>
        <w:tblLayout w:type="fixed"/>
        <w:tblLook w:val="00A0" w:firstRow="1" w:lastRow="0" w:firstColumn="1" w:lastColumn="0" w:noHBand="0" w:noVBand="0"/>
      </w:tblPr>
      <w:tblGrid>
        <w:gridCol w:w="1384"/>
        <w:gridCol w:w="2125"/>
        <w:gridCol w:w="2553"/>
        <w:gridCol w:w="3786"/>
      </w:tblGrid>
      <w:tr w:rsidR="005556CC" w:rsidRPr="00935904" w14:paraId="66377E6A" w14:textId="77777777" w:rsidTr="00357683">
        <w:tc>
          <w:tcPr>
            <w:tcW w:w="703" w:type="pct"/>
            <w:tcBorders>
              <w:bottom w:val="single" w:sz="4" w:space="0" w:color="auto"/>
            </w:tcBorders>
            <w:shd w:val="clear" w:color="auto" w:fill="DC281E"/>
          </w:tcPr>
          <w:p w14:paraId="7BB0C97B" w14:textId="7862C7EC" w:rsidR="00062472" w:rsidRPr="003B591B" w:rsidRDefault="00C44F4E" w:rsidP="0045478F">
            <w:pPr>
              <w:pStyle w:val="Pa25"/>
              <w:spacing w:before="120" w:line="240" w:lineRule="auto"/>
              <w:jc w:val="center"/>
              <w:rPr>
                <w:rFonts w:ascii="Arial" w:hAnsi="Arial" w:cs="Arial"/>
                <w:b/>
                <w:color w:val="FFFFFF"/>
                <w:szCs w:val="21"/>
                <w:lang w:val="fr-FR"/>
              </w:rPr>
            </w:pPr>
            <w:r w:rsidRPr="003B591B">
              <w:rPr>
                <w:rFonts w:ascii="Arial" w:hAnsi="Arial" w:cs="Arial"/>
                <w:b/>
                <w:color w:val="FFFFFF"/>
                <w:szCs w:val="21"/>
                <w:lang w:val="fr-FR"/>
              </w:rPr>
              <w:t xml:space="preserve">Type de </w:t>
            </w:r>
            <w:r w:rsidR="0045478F" w:rsidRPr="003B591B">
              <w:rPr>
                <w:rFonts w:ascii="Arial" w:hAnsi="Arial" w:cs="Arial"/>
                <w:b/>
                <w:color w:val="FFFFFF"/>
                <w:szCs w:val="21"/>
                <w:lang w:val="fr-FR"/>
              </w:rPr>
              <w:t>rémunération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DC281E"/>
          </w:tcPr>
          <w:p w14:paraId="482E5B4F" w14:textId="146132FB" w:rsidR="00062472" w:rsidRPr="003B591B" w:rsidRDefault="007C088E" w:rsidP="00453C43">
            <w:pPr>
              <w:pStyle w:val="Pa25"/>
              <w:spacing w:before="120" w:line="240" w:lineRule="auto"/>
              <w:jc w:val="center"/>
              <w:rPr>
                <w:rFonts w:ascii="Arial" w:hAnsi="Arial" w:cs="Arial"/>
                <w:b/>
                <w:color w:val="FFFFFF"/>
                <w:szCs w:val="21"/>
                <w:lang w:val="fr-FR"/>
              </w:rPr>
            </w:pPr>
            <w:r w:rsidRPr="003B591B">
              <w:rPr>
                <w:rFonts w:ascii="Arial" w:hAnsi="Arial" w:cs="Arial"/>
                <w:b/>
                <w:color w:val="FFFFFF"/>
                <w:szCs w:val="21"/>
                <w:lang w:val="fr-FR"/>
              </w:rPr>
              <w:t>Fonctionnement</w:t>
            </w:r>
          </w:p>
        </w:tc>
        <w:tc>
          <w:tcPr>
            <w:tcW w:w="1296" w:type="pct"/>
            <w:tcBorders>
              <w:bottom w:val="single" w:sz="4" w:space="0" w:color="auto"/>
            </w:tcBorders>
            <w:shd w:val="clear" w:color="auto" w:fill="DC281E"/>
          </w:tcPr>
          <w:p w14:paraId="3571C7A2" w14:textId="409566F5" w:rsidR="00062472" w:rsidRPr="003B591B" w:rsidRDefault="00A13445" w:rsidP="00453C43">
            <w:pPr>
              <w:pStyle w:val="Pa25"/>
              <w:spacing w:before="120" w:line="240" w:lineRule="auto"/>
              <w:jc w:val="center"/>
              <w:rPr>
                <w:rFonts w:ascii="Arial" w:hAnsi="Arial" w:cs="Arial"/>
                <w:b/>
                <w:color w:val="FFFFFF"/>
                <w:szCs w:val="21"/>
                <w:lang w:val="fr-FR"/>
              </w:rPr>
            </w:pPr>
            <w:r w:rsidRPr="003B591B">
              <w:rPr>
                <w:rFonts w:ascii="Arial" w:hAnsi="Arial" w:cs="Arial"/>
                <w:b/>
                <w:color w:val="FFFFFF"/>
                <w:szCs w:val="21"/>
                <w:lang w:val="fr-FR"/>
              </w:rPr>
              <w:t>Avantages potentiels</w:t>
            </w:r>
          </w:p>
        </w:tc>
        <w:tc>
          <w:tcPr>
            <w:tcW w:w="1922" w:type="pct"/>
            <w:tcBorders>
              <w:bottom w:val="single" w:sz="4" w:space="0" w:color="auto"/>
            </w:tcBorders>
            <w:shd w:val="clear" w:color="auto" w:fill="DC281E"/>
          </w:tcPr>
          <w:p w14:paraId="690454D6" w14:textId="731856EA" w:rsidR="00062472" w:rsidRPr="003B591B" w:rsidRDefault="00A13445" w:rsidP="00453C43">
            <w:pPr>
              <w:pStyle w:val="Pa25"/>
              <w:spacing w:before="120" w:line="240" w:lineRule="auto"/>
              <w:jc w:val="center"/>
              <w:rPr>
                <w:rFonts w:ascii="Arial" w:hAnsi="Arial" w:cs="Arial"/>
                <w:b/>
                <w:color w:val="FFFFFF"/>
                <w:szCs w:val="21"/>
                <w:lang w:val="fr-FR"/>
              </w:rPr>
            </w:pPr>
            <w:r w:rsidRPr="003B591B">
              <w:rPr>
                <w:rFonts w:ascii="Arial" w:hAnsi="Arial" w:cs="Arial"/>
                <w:b/>
                <w:color w:val="FFFFFF"/>
                <w:szCs w:val="21"/>
                <w:lang w:val="fr-FR"/>
              </w:rPr>
              <w:t>Inconvénients potentiels</w:t>
            </w:r>
          </w:p>
        </w:tc>
      </w:tr>
      <w:tr w:rsidR="005556CC" w:rsidRPr="005A2AFE" w14:paraId="09EE567A" w14:textId="77777777" w:rsidTr="00357683">
        <w:tc>
          <w:tcPr>
            <w:tcW w:w="703" w:type="pct"/>
            <w:tcBorders>
              <w:bottom w:val="single" w:sz="4" w:space="0" w:color="auto"/>
            </w:tcBorders>
            <w:shd w:val="clear" w:color="auto" w:fill="A6A6A6"/>
          </w:tcPr>
          <w:p w14:paraId="79F99F31" w14:textId="08530B5C" w:rsidR="00062472" w:rsidRPr="008C1D61" w:rsidRDefault="00536997" w:rsidP="007C088E">
            <w:pPr>
              <w:pStyle w:val="Pa25"/>
              <w:spacing w:before="60" w:after="60"/>
              <w:jc w:val="left"/>
              <w:rPr>
                <w:rFonts w:ascii="Arial" w:hAnsi="Arial" w:cs="Arial"/>
                <w:color w:val="000000"/>
                <w:szCs w:val="21"/>
                <w:lang w:val="fr-FR"/>
              </w:rPr>
            </w:pPr>
            <w:r w:rsidRPr="008C1D61">
              <w:rPr>
                <w:rFonts w:ascii="Arial" w:hAnsi="Arial" w:cs="Arial"/>
                <w:color w:val="000000"/>
                <w:szCs w:val="21"/>
                <w:lang w:val="fr-FR"/>
              </w:rPr>
              <w:t xml:space="preserve">En fonction de </w:t>
            </w:r>
            <w:r w:rsidR="007C088E">
              <w:rPr>
                <w:rFonts w:ascii="Arial" w:hAnsi="Arial" w:cs="Arial"/>
                <w:color w:val="000000"/>
                <w:szCs w:val="21"/>
                <w:lang w:val="fr-FR"/>
              </w:rPr>
              <w:t>la</w:t>
            </w:r>
            <w:r w:rsidR="008C1D61" w:rsidRPr="008C1D61">
              <w:rPr>
                <w:rFonts w:ascii="Arial" w:hAnsi="Arial" w:cs="Arial"/>
                <w:color w:val="000000"/>
                <w:szCs w:val="21"/>
                <w:lang w:val="fr-FR"/>
              </w:rPr>
              <w:t xml:space="preserve"> </w:t>
            </w:r>
            <w:r w:rsidR="0045478F" w:rsidRPr="008C1D61">
              <w:rPr>
                <w:rFonts w:ascii="Arial" w:hAnsi="Arial" w:cs="Arial"/>
                <w:color w:val="000000"/>
                <w:szCs w:val="21"/>
                <w:lang w:val="fr-FR"/>
              </w:rPr>
              <w:t>productivité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E6E6E6"/>
          </w:tcPr>
          <w:p w14:paraId="785D1036" w14:textId="6A16A8F3" w:rsidR="00062472" w:rsidRPr="00A13445" w:rsidRDefault="0045478F" w:rsidP="00357683">
            <w:pPr>
              <w:pStyle w:val="Pa25"/>
              <w:spacing w:before="60" w:after="60"/>
              <w:jc w:val="left"/>
              <w:rPr>
                <w:rFonts w:ascii="Arial" w:hAnsi="Arial" w:cs="Arial"/>
                <w:color w:val="000000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Cs w:val="21"/>
                <w:lang w:val="fr-FR"/>
              </w:rPr>
              <w:t>La rémunération</w:t>
            </w:r>
            <w:r w:rsidR="00536997" w:rsidRPr="00A13445">
              <w:rPr>
                <w:rFonts w:ascii="Arial" w:hAnsi="Arial" w:cs="Arial"/>
                <w:color w:val="000000"/>
                <w:szCs w:val="21"/>
                <w:lang w:val="fr-FR"/>
              </w:rPr>
              <w:t xml:space="preserve"> est calculé</w:t>
            </w:r>
            <w:r>
              <w:rPr>
                <w:rFonts w:ascii="Arial" w:hAnsi="Arial" w:cs="Arial"/>
                <w:color w:val="000000"/>
                <w:szCs w:val="21"/>
                <w:lang w:val="fr-FR"/>
              </w:rPr>
              <w:t>e</w:t>
            </w:r>
            <w:r w:rsidR="00536997" w:rsidRPr="00A13445">
              <w:rPr>
                <w:rFonts w:ascii="Arial" w:hAnsi="Arial" w:cs="Arial"/>
                <w:color w:val="000000"/>
                <w:szCs w:val="21"/>
                <w:lang w:val="fr-FR"/>
              </w:rPr>
              <w:t xml:space="preserve"> sur la base d’une</w:t>
            </w:r>
            <w:r w:rsidR="00B42622" w:rsidRPr="00A13445">
              <w:rPr>
                <w:rFonts w:ascii="Arial" w:hAnsi="Arial" w:cs="Arial"/>
                <w:color w:val="000000"/>
                <w:szCs w:val="21"/>
                <w:lang w:val="fr-FR"/>
              </w:rPr>
              <w:t xml:space="preserve"> </w:t>
            </w:r>
            <w:r w:rsidR="00A13445" w:rsidRPr="00A13445">
              <w:rPr>
                <w:rFonts w:ascii="Arial" w:hAnsi="Arial" w:cs="Arial"/>
                <w:color w:val="000000"/>
                <w:szCs w:val="21"/>
                <w:lang w:val="fr-FR"/>
              </w:rPr>
              <w:t xml:space="preserve">productivité prédéfinie </w:t>
            </w:r>
            <w:r w:rsidR="00062472" w:rsidRPr="00A13445">
              <w:rPr>
                <w:rFonts w:ascii="Arial" w:hAnsi="Arial" w:cs="Arial"/>
                <w:color w:val="000000"/>
                <w:szCs w:val="21"/>
                <w:lang w:val="fr-FR"/>
              </w:rPr>
              <w:t>(</w:t>
            </w:r>
            <w:r w:rsidR="00A13445" w:rsidRPr="00A13445">
              <w:rPr>
                <w:rFonts w:ascii="Arial" w:hAnsi="Arial" w:cs="Arial"/>
                <w:color w:val="000000"/>
                <w:szCs w:val="21"/>
                <w:lang w:val="fr-FR"/>
              </w:rPr>
              <w:t>p</w:t>
            </w:r>
            <w:r w:rsidR="00357683">
              <w:rPr>
                <w:rFonts w:ascii="Arial" w:hAnsi="Arial" w:cs="Arial"/>
                <w:color w:val="000000"/>
                <w:szCs w:val="21"/>
                <w:lang w:val="fr-FR"/>
              </w:rPr>
              <w:t>ar</w:t>
            </w:r>
            <w:r w:rsidR="00A13445" w:rsidRPr="00A13445">
              <w:rPr>
                <w:rFonts w:ascii="Arial" w:hAnsi="Arial" w:cs="Arial"/>
                <w:color w:val="000000"/>
                <w:szCs w:val="21"/>
                <w:lang w:val="fr-FR"/>
              </w:rPr>
              <w:t xml:space="preserve"> ex. nombre d’hectares de terrain défrichés, de maisons construites ou de </w:t>
            </w:r>
            <w:r w:rsidR="00A13445">
              <w:rPr>
                <w:rFonts w:ascii="Arial" w:hAnsi="Arial" w:cs="Arial"/>
                <w:color w:val="000000"/>
                <w:szCs w:val="21"/>
                <w:lang w:val="fr-FR"/>
              </w:rPr>
              <w:t>kilomètres déblayés</w:t>
            </w:r>
            <w:r w:rsidR="00062472" w:rsidRPr="00A13445">
              <w:rPr>
                <w:rFonts w:ascii="Arial" w:hAnsi="Arial" w:cs="Arial"/>
                <w:color w:val="000000"/>
                <w:szCs w:val="21"/>
                <w:lang w:val="fr-FR"/>
              </w:rPr>
              <w:t>)</w:t>
            </w:r>
            <w:r w:rsidR="00B05997" w:rsidRPr="00A13445">
              <w:rPr>
                <w:rFonts w:ascii="Arial" w:hAnsi="Arial" w:cs="Arial"/>
                <w:color w:val="000000"/>
                <w:szCs w:val="21"/>
                <w:lang w:val="fr-FR"/>
              </w:rPr>
              <w:t>.</w:t>
            </w:r>
          </w:p>
        </w:tc>
        <w:tc>
          <w:tcPr>
            <w:tcW w:w="1296" w:type="pct"/>
            <w:tcBorders>
              <w:bottom w:val="single" w:sz="4" w:space="0" w:color="auto"/>
            </w:tcBorders>
            <w:shd w:val="clear" w:color="auto" w:fill="F3F3F3"/>
          </w:tcPr>
          <w:p w14:paraId="2543D9BC" w14:textId="618EF4EE" w:rsidR="00062472" w:rsidRPr="008C1D61" w:rsidRDefault="008C1D61" w:rsidP="008C1D61">
            <w:pPr>
              <w:pStyle w:val="Pa25"/>
              <w:spacing w:before="60" w:after="60"/>
              <w:jc w:val="left"/>
              <w:rPr>
                <w:rFonts w:ascii="Arial" w:hAnsi="Arial" w:cs="Arial"/>
                <w:color w:val="000000"/>
                <w:szCs w:val="21"/>
                <w:lang w:val="fr-FR"/>
              </w:rPr>
            </w:pPr>
            <w:r w:rsidRPr="008C1D61">
              <w:rPr>
                <w:rFonts w:ascii="Arial" w:hAnsi="Arial" w:cs="Arial"/>
                <w:color w:val="000000"/>
                <w:szCs w:val="21"/>
                <w:lang w:val="fr-FR"/>
              </w:rPr>
              <w:t>Co</w:t>
            </w:r>
            <w:r>
              <w:rPr>
                <w:rFonts w:ascii="Arial" w:hAnsi="Arial" w:cs="Arial"/>
                <w:color w:val="000000"/>
                <w:szCs w:val="21"/>
                <w:lang w:val="fr-FR"/>
              </w:rPr>
              <w:t xml:space="preserve">rrespond souvent au standard couramment utilisé pour </w:t>
            </w:r>
            <w:r w:rsidRPr="008C1D61">
              <w:rPr>
                <w:rFonts w:ascii="Arial" w:hAnsi="Arial" w:cs="Arial"/>
                <w:color w:val="000000"/>
                <w:szCs w:val="21"/>
                <w:lang w:val="fr-FR"/>
              </w:rPr>
              <w:t>les contrats de travail locaux</w:t>
            </w:r>
          </w:p>
          <w:p w14:paraId="3704CD5A" w14:textId="0CC44B71" w:rsidR="00062472" w:rsidRPr="008C1D61" w:rsidRDefault="008C1D61" w:rsidP="008C1D61">
            <w:pPr>
              <w:pStyle w:val="Pa25"/>
              <w:spacing w:before="60" w:after="60"/>
              <w:jc w:val="left"/>
              <w:rPr>
                <w:rFonts w:ascii="Arial" w:hAnsi="Arial" w:cs="Arial"/>
                <w:color w:val="000000"/>
                <w:szCs w:val="21"/>
                <w:lang w:val="fr-FR"/>
              </w:rPr>
            </w:pPr>
            <w:r w:rsidRPr="008C1D61">
              <w:rPr>
                <w:rFonts w:ascii="Arial" w:hAnsi="Arial" w:cs="Arial"/>
                <w:color w:val="000000"/>
                <w:szCs w:val="21"/>
                <w:lang w:val="fr-FR"/>
              </w:rPr>
              <w:t>Incite à travailler de manière productive</w:t>
            </w:r>
          </w:p>
        </w:tc>
        <w:tc>
          <w:tcPr>
            <w:tcW w:w="1922" w:type="pct"/>
            <w:tcBorders>
              <w:bottom w:val="single" w:sz="4" w:space="0" w:color="auto"/>
            </w:tcBorders>
            <w:shd w:val="clear" w:color="auto" w:fill="F3F3F3"/>
          </w:tcPr>
          <w:p w14:paraId="4E46B72F" w14:textId="597FD812" w:rsidR="00062472" w:rsidRPr="00793CEE" w:rsidRDefault="008C1D61" w:rsidP="00357683">
            <w:pPr>
              <w:pStyle w:val="Pa25"/>
              <w:spacing w:before="60" w:after="60"/>
              <w:jc w:val="left"/>
              <w:rPr>
                <w:rFonts w:ascii="Arial" w:hAnsi="Arial" w:cs="Arial"/>
                <w:color w:val="000000"/>
                <w:szCs w:val="21"/>
                <w:lang w:val="fr-FR"/>
              </w:rPr>
            </w:pPr>
            <w:r w:rsidRPr="008C1D61">
              <w:rPr>
                <w:rFonts w:ascii="Arial" w:hAnsi="Arial" w:cs="Arial"/>
                <w:color w:val="000000"/>
                <w:szCs w:val="21"/>
                <w:lang w:val="fr-FR"/>
              </w:rPr>
              <w:t xml:space="preserve">Nécessite que du personnel d’encadrement </w:t>
            </w:r>
            <w:r w:rsidR="00357683">
              <w:rPr>
                <w:rFonts w:ascii="Arial" w:hAnsi="Arial" w:cs="Arial"/>
                <w:color w:val="000000"/>
                <w:szCs w:val="21"/>
                <w:lang w:val="fr-FR"/>
              </w:rPr>
              <w:t>veille à ce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Cs w:val="21"/>
                <w:lang w:val="fr-FR"/>
              </w:rPr>
              <w:t xml:space="preserve"> que les participants son</w:t>
            </w:r>
            <w:r w:rsidRPr="008C1D61">
              <w:rPr>
                <w:rFonts w:ascii="Arial" w:hAnsi="Arial" w:cs="Arial"/>
                <w:color w:val="000000"/>
                <w:szCs w:val="21"/>
                <w:lang w:val="fr-FR"/>
              </w:rPr>
              <w:t>t rémunérés</w:t>
            </w:r>
            <w:r>
              <w:rPr>
                <w:rFonts w:ascii="Arial" w:hAnsi="Arial" w:cs="Arial"/>
                <w:color w:val="000000"/>
                <w:szCs w:val="21"/>
                <w:lang w:val="fr-FR"/>
              </w:rPr>
              <w:t xml:space="preserve"> en fonction du travail qu’ils ont accompli.</w:t>
            </w:r>
            <w:r w:rsidR="00062472" w:rsidRPr="008C1D61">
              <w:rPr>
                <w:rFonts w:ascii="Arial" w:hAnsi="Arial" w:cs="Arial"/>
                <w:color w:val="000000"/>
                <w:szCs w:val="21"/>
                <w:lang w:val="fr-FR"/>
              </w:rPr>
              <w:t xml:space="preserve"> </w:t>
            </w:r>
            <w:r w:rsidR="00793CEE" w:rsidRPr="00793CEE">
              <w:rPr>
                <w:rFonts w:ascii="Arial" w:hAnsi="Arial" w:cs="Arial"/>
                <w:color w:val="000000"/>
                <w:szCs w:val="21"/>
                <w:lang w:val="fr-FR"/>
              </w:rPr>
              <w:t xml:space="preserve">Si </w:t>
            </w:r>
            <w:r w:rsidR="0045478F">
              <w:rPr>
                <w:rFonts w:ascii="Arial" w:hAnsi="Arial" w:cs="Arial"/>
                <w:color w:val="000000"/>
                <w:szCs w:val="21"/>
                <w:lang w:val="fr-FR"/>
              </w:rPr>
              <w:t>la rémunération</w:t>
            </w:r>
            <w:r w:rsidR="00793CEE" w:rsidRPr="00793CEE">
              <w:rPr>
                <w:rFonts w:ascii="Arial" w:hAnsi="Arial" w:cs="Arial"/>
                <w:color w:val="000000"/>
                <w:szCs w:val="21"/>
                <w:lang w:val="fr-FR"/>
              </w:rPr>
              <w:t xml:space="preserve"> est lié</w:t>
            </w:r>
            <w:r w:rsidR="0045478F">
              <w:rPr>
                <w:rFonts w:ascii="Arial" w:hAnsi="Arial" w:cs="Arial"/>
                <w:color w:val="000000"/>
                <w:szCs w:val="21"/>
                <w:lang w:val="fr-FR"/>
              </w:rPr>
              <w:t>e</w:t>
            </w:r>
            <w:r w:rsidR="00793CEE" w:rsidRPr="00793CEE">
              <w:rPr>
                <w:rFonts w:ascii="Arial" w:hAnsi="Arial" w:cs="Arial"/>
                <w:color w:val="000000"/>
                <w:szCs w:val="21"/>
                <w:lang w:val="fr-FR"/>
              </w:rPr>
              <w:t xml:space="preserve"> à la performance du groupe, </w:t>
            </w:r>
            <w:r w:rsidR="00793CEE">
              <w:rPr>
                <w:rFonts w:ascii="Arial" w:hAnsi="Arial" w:cs="Arial"/>
                <w:color w:val="000000"/>
                <w:szCs w:val="21"/>
                <w:lang w:val="fr-FR"/>
              </w:rPr>
              <w:t>certains</w:t>
            </w:r>
            <w:r w:rsidR="00793CEE" w:rsidRPr="00793CEE">
              <w:rPr>
                <w:rFonts w:ascii="Arial" w:hAnsi="Arial" w:cs="Arial"/>
                <w:color w:val="000000"/>
                <w:szCs w:val="21"/>
                <w:lang w:val="fr-FR"/>
              </w:rPr>
              <w:t xml:space="preserve"> participants peuvent en vouloir aux </w:t>
            </w:r>
            <w:r w:rsidR="00793CEE">
              <w:rPr>
                <w:rFonts w:ascii="Arial" w:hAnsi="Arial" w:cs="Arial"/>
                <w:color w:val="000000"/>
                <w:szCs w:val="21"/>
                <w:lang w:val="fr-FR"/>
              </w:rPr>
              <w:t>plus vulnérables, tels que les personnes âgées ou handicapée</w:t>
            </w:r>
            <w:r w:rsidR="003B591B">
              <w:rPr>
                <w:rFonts w:ascii="Arial" w:hAnsi="Arial" w:cs="Arial"/>
                <w:color w:val="000000"/>
                <w:szCs w:val="21"/>
                <w:lang w:val="fr-FR"/>
              </w:rPr>
              <w:t>s</w:t>
            </w:r>
            <w:r w:rsidR="00793CEE">
              <w:rPr>
                <w:rFonts w:ascii="Arial" w:hAnsi="Arial" w:cs="Arial"/>
                <w:color w:val="000000"/>
                <w:szCs w:val="21"/>
                <w:lang w:val="fr-FR"/>
              </w:rPr>
              <w:t>, si ceux-ci limitent la productivité globale.</w:t>
            </w:r>
            <w:r w:rsidR="00062472" w:rsidRPr="00793CEE">
              <w:rPr>
                <w:rFonts w:ascii="Arial" w:hAnsi="Arial" w:cs="Arial"/>
                <w:color w:val="000000"/>
                <w:szCs w:val="21"/>
                <w:lang w:val="fr-FR"/>
              </w:rPr>
              <w:t xml:space="preserve"> </w:t>
            </w:r>
            <w:r w:rsidR="00F3386E">
              <w:rPr>
                <w:rFonts w:ascii="Arial" w:hAnsi="Arial" w:cs="Arial"/>
                <w:color w:val="000000"/>
                <w:szCs w:val="21"/>
                <w:lang w:val="fr-FR"/>
              </w:rPr>
              <w:t xml:space="preserve">En </w:t>
            </w:r>
            <w:r w:rsidR="00793CEE" w:rsidRPr="00793CEE">
              <w:rPr>
                <w:rFonts w:ascii="Arial" w:hAnsi="Arial" w:cs="Arial"/>
                <w:color w:val="000000"/>
                <w:szCs w:val="21"/>
                <w:lang w:val="fr-FR"/>
              </w:rPr>
              <w:t>l’absence de contrôle par un spécialiste, le</w:t>
            </w:r>
            <w:r w:rsidR="00793CEE">
              <w:rPr>
                <w:rFonts w:ascii="Arial" w:hAnsi="Arial" w:cs="Arial"/>
                <w:color w:val="000000"/>
                <w:szCs w:val="21"/>
                <w:lang w:val="fr-FR"/>
              </w:rPr>
              <w:t xml:space="preserve">s participants seront tentés d’effectuer un moins bon travail. Dans le cas de projets de grande ampleur ou plus techniques, il peut être difficile </w:t>
            </w:r>
            <w:r w:rsidR="007871F2">
              <w:rPr>
                <w:rFonts w:ascii="Arial" w:hAnsi="Arial" w:cs="Arial"/>
                <w:color w:val="000000"/>
                <w:szCs w:val="21"/>
                <w:lang w:val="fr-FR"/>
              </w:rPr>
              <w:t>de diviser le travail effectué en unités précises et facilement mesurables</w:t>
            </w:r>
            <w:r w:rsidR="00062472" w:rsidRPr="00793CEE">
              <w:rPr>
                <w:rFonts w:ascii="Arial" w:hAnsi="Arial" w:cs="Arial"/>
                <w:color w:val="000000"/>
                <w:szCs w:val="21"/>
                <w:lang w:val="fr-FR"/>
              </w:rPr>
              <w:t>.</w:t>
            </w:r>
          </w:p>
        </w:tc>
      </w:tr>
      <w:tr w:rsidR="00935904" w:rsidRPr="005A2AFE" w14:paraId="16376A2C" w14:textId="77777777" w:rsidTr="00357683">
        <w:tc>
          <w:tcPr>
            <w:tcW w:w="703" w:type="pct"/>
            <w:tcBorders>
              <w:bottom w:val="single" w:sz="4" w:space="0" w:color="auto"/>
            </w:tcBorders>
            <w:shd w:val="clear" w:color="auto" w:fill="A6A6A6"/>
          </w:tcPr>
          <w:p w14:paraId="177835FA" w14:textId="0491A423" w:rsidR="00062472" w:rsidRPr="005D4EC2" w:rsidRDefault="00062472" w:rsidP="00C44F4E">
            <w:pPr>
              <w:pStyle w:val="Pa25"/>
              <w:spacing w:before="60" w:after="60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D4EC2">
              <w:rPr>
                <w:rFonts w:ascii="Arial" w:hAnsi="Arial" w:cs="Arial"/>
                <w:color w:val="000000"/>
                <w:szCs w:val="21"/>
              </w:rPr>
              <w:t>P</w:t>
            </w:r>
            <w:r w:rsidR="00C44F4E">
              <w:rPr>
                <w:rFonts w:ascii="Arial" w:hAnsi="Arial" w:cs="Arial"/>
                <w:color w:val="000000"/>
                <w:szCs w:val="21"/>
              </w:rPr>
              <w:t xml:space="preserve">ar </w:t>
            </w:r>
            <w:r w:rsidR="00C44F4E" w:rsidRPr="001F6859">
              <w:rPr>
                <w:rFonts w:ascii="Arial" w:hAnsi="Arial" w:cs="Arial"/>
                <w:color w:val="000000"/>
                <w:szCs w:val="21"/>
                <w:lang w:val="fr-FR"/>
              </w:rPr>
              <w:t>période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E6E6E6"/>
          </w:tcPr>
          <w:p w14:paraId="79BB7F60" w14:textId="5A16172D" w:rsidR="00062472" w:rsidRPr="0062717A" w:rsidRDefault="00FF38DD" w:rsidP="003B591B">
            <w:pPr>
              <w:pStyle w:val="Pa25"/>
              <w:spacing w:before="60" w:after="60"/>
              <w:jc w:val="left"/>
              <w:rPr>
                <w:rFonts w:ascii="Arial" w:hAnsi="Arial" w:cs="Arial"/>
                <w:color w:val="000000"/>
                <w:szCs w:val="21"/>
                <w:lang w:val="fr-FR"/>
              </w:rPr>
            </w:pPr>
            <w:r w:rsidRPr="0062717A">
              <w:rPr>
                <w:rFonts w:ascii="Arial" w:hAnsi="Arial" w:cs="Arial"/>
                <w:color w:val="000000"/>
                <w:szCs w:val="21"/>
                <w:lang w:val="fr-FR"/>
              </w:rPr>
              <w:t>La durée nécessaire pour accomplir un travail donné</w:t>
            </w:r>
            <w:r w:rsidR="0062717A" w:rsidRPr="0062717A">
              <w:rPr>
                <w:rFonts w:ascii="Arial" w:hAnsi="Arial" w:cs="Arial"/>
                <w:color w:val="000000"/>
                <w:szCs w:val="21"/>
                <w:lang w:val="fr-FR"/>
              </w:rPr>
              <w:t xml:space="preserve"> est estimée, et les participants son rémunérés en </w:t>
            </w:r>
            <w:r w:rsidR="003B591B">
              <w:rPr>
                <w:rFonts w:ascii="Arial" w:hAnsi="Arial" w:cs="Arial"/>
                <w:color w:val="000000"/>
                <w:szCs w:val="21"/>
                <w:lang w:val="fr-FR"/>
              </w:rPr>
              <w:t xml:space="preserve">fonction de cette durée, même s’ils ont besoin de plus de temps que </w:t>
            </w:r>
            <w:r w:rsidR="0062717A">
              <w:rPr>
                <w:rFonts w:ascii="Arial" w:hAnsi="Arial" w:cs="Arial"/>
                <w:color w:val="000000"/>
                <w:szCs w:val="21"/>
                <w:lang w:val="fr-FR"/>
              </w:rPr>
              <w:t>prévu.</w:t>
            </w:r>
          </w:p>
        </w:tc>
        <w:tc>
          <w:tcPr>
            <w:tcW w:w="1296" w:type="pct"/>
            <w:tcBorders>
              <w:bottom w:val="single" w:sz="4" w:space="0" w:color="auto"/>
            </w:tcBorders>
            <w:shd w:val="clear" w:color="auto" w:fill="F3F3F3"/>
          </w:tcPr>
          <w:p w14:paraId="291271A0" w14:textId="5DB01A3F" w:rsidR="00062472" w:rsidRPr="0062717A" w:rsidRDefault="0062717A" w:rsidP="0062717A">
            <w:pPr>
              <w:pStyle w:val="Pa25"/>
              <w:spacing w:before="60" w:after="60"/>
              <w:jc w:val="left"/>
              <w:rPr>
                <w:rFonts w:ascii="Arial" w:hAnsi="Arial" w:cs="Arial"/>
                <w:color w:val="000000"/>
                <w:szCs w:val="21"/>
                <w:lang w:val="fr-FR"/>
              </w:rPr>
            </w:pPr>
            <w:r w:rsidRPr="0062717A">
              <w:rPr>
                <w:rFonts w:ascii="Arial" w:hAnsi="Arial" w:cs="Arial"/>
                <w:color w:val="000000"/>
                <w:szCs w:val="21"/>
                <w:lang w:val="fr-FR"/>
              </w:rPr>
              <w:t xml:space="preserve">Fixe un calendrier clair pour chaque activité et réduit le </w:t>
            </w:r>
            <w:r>
              <w:rPr>
                <w:rFonts w:ascii="Arial" w:hAnsi="Arial" w:cs="Arial"/>
                <w:color w:val="000000"/>
                <w:szCs w:val="21"/>
                <w:lang w:val="fr-FR"/>
              </w:rPr>
              <w:t>risque que des participants prolongent délibérément la durée du projet</w:t>
            </w:r>
          </w:p>
        </w:tc>
        <w:tc>
          <w:tcPr>
            <w:tcW w:w="1922" w:type="pct"/>
            <w:tcBorders>
              <w:bottom w:val="single" w:sz="4" w:space="0" w:color="auto"/>
            </w:tcBorders>
            <w:shd w:val="clear" w:color="auto" w:fill="F3F3F3"/>
          </w:tcPr>
          <w:p w14:paraId="439DC265" w14:textId="77F6B943" w:rsidR="00062472" w:rsidRPr="00467A74" w:rsidRDefault="004B5D6D" w:rsidP="001F6859">
            <w:pPr>
              <w:pStyle w:val="Pa25"/>
              <w:spacing w:before="60" w:after="60"/>
              <w:jc w:val="left"/>
              <w:rPr>
                <w:rFonts w:ascii="Arial" w:hAnsi="Arial" w:cs="Arial"/>
                <w:color w:val="000000"/>
                <w:szCs w:val="21"/>
                <w:lang w:val="fr-FR"/>
              </w:rPr>
            </w:pPr>
            <w:r w:rsidRPr="004B5D6D">
              <w:rPr>
                <w:rFonts w:ascii="Arial" w:hAnsi="Arial" w:cs="Arial"/>
                <w:color w:val="000000"/>
                <w:szCs w:val="21"/>
                <w:lang w:val="fr-FR"/>
              </w:rPr>
              <w:t xml:space="preserve">Pour </w:t>
            </w:r>
            <w:r>
              <w:rPr>
                <w:rFonts w:ascii="Arial" w:hAnsi="Arial" w:cs="Arial"/>
                <w:color w:val="000000"/>
                <w:szCs w:val="21"/>
                <w:lang w:val="fr-FR"/>
              </w:rPr>
              <w:t>garantir le respect des délais</w:t>
            </w:r>
            <w:r w:rsidRPr="004B5D6D">
              <w:rPr>
                <w:rFonts w:ascii="Arial" w:hAnsi="Arial" w:cs="Arial"/>
                <w:color w:val="000000"/>
                <w:szCs w:val="21"/>
                <w:lang w:val="fr-FR"/>
              </w:rPr>
              <w:t xml:space="preserve">, il est </w:t>
            </w:r>
            <w:r>
              <w:rPr>
                <w:rFonts w:ascii="Arial" w:hAnsi="Arial" w:cs="Arial"/>
                <w:color w:val="000000"/>
                <w:szCs w:val="21"/>
                <w:lang w:val="fr-FR"/>
              </w:rPr>
              <w:t xml:space="preserve">nécessaire d’assurer une bonne supervision et une bonne gestion. </w:t>
            </w:r>
            <w:r w:rsidRPr="004B5D6D">
              <w:rPr>
                <w:rFonts w:ascii="Arial" w:hAnsi="Arial" w:cs="Arial"/>
                <w:color w:val="000000"/>
                <w:szCs w:val="21"/>
                <w:lang w:val="fr-FR"/>
              </w:rPr>
              <w:t xml:space="preserve">En l’absence de mécanismes efficaces de suivi, des conflits peuvent apparaître </w:t>
            </w:r>
            <w:r w:rsidR="0069578F">
              <w:rPr>
                <w:rFonts w:ascii="Arial" w:hAnsi="Arial" w:cs="Arial"/>
                <w:color w:val="000000"/>
                <w:szCs w:val="21"/>
                <w:lang w:val="fr-FR"/>
              </w:rPr>
              <w:t>si</w:t>
            </w:r>
            <w:r w:rsidRPr="004B5D6D">
              <w:rPr>
                <w:rFonts w:ascii="Arial" w:hAnsi="Arial" w:cs="Arial"/>
                <w:color w:val="000000"/>
                <w:szCs w:val="21"/>
                <w:lang w:val="fr-FR"/>
              </w:rPr>
              <w:t xml:space="preserve"> certains bénéficiaires ont le sentiment d’</w:t>
            </w:r>
            <w:r>
              <w:rPr>
                <w:rFonts w:ascii="Arial" w:hAnsi="Arial" w:cs="Arial"/>
                <w:color w:val="000000"/>
                <w:szCs w:val="21"/>
                <w:lang w:val="fr-FR"/>
              </w:rPr>
              <w:t xml:space="preserve">être plus productifs que </w:t>
            </w:r>
            <w:r w:rsidR="001F6859">
              <w:rPr>
                <w:rFonts w:ascii="Arial" w:hAnsi="Arial" w:cs="Arial"/>
                <w:color w:val="000000"/>
                <w:szCs w:val="21"/>
                <w:lang w:val="fr-FR"/>
              </w:rPr>
              <w:t>d’</w:t>
            </w:r>
            <w:r>
              <w:rPr>
                <w:rFonts w:ascii="Arial" w:hAnsi="Arial" w:cs="Arial"/>
                <w:color w:val="000000"/>
                <w:szCs w:val="21"/>
                <w:lang w:val="fr-FR"/>
              </w:rPr>
              <w:t xml:space="preserve">autres. </w:t>
            </w:r>
            <w:r w:rsidRPr="0069578F">
              <w:rPr>
                <w:rFonts w:ascii="Arial" w:hAnsi="Arial" w:cs="Arial"/>
                <w:color w:val="000000"/>
                <w:szCs w:val="21"/>
                <w:lang w:val="fr-FR"/>
              </w:rPr>
              <w:t xml:space="preserve">Ces conflits peuvent </w:t>
            </w:r>
            <w:r w:rsidR="0069578F">
              <w:rPr>
                <w:rFonts w:ascii="Arial" w:hAnsi="Arial" w:cs="Arial"/>
                <w:color w:val="000000"/>
                <w:szCs w:val="21"/>
                <w:lang w:val="fr-FR"/>
              </w:rPr>
              <w:t>se trouver encore amplifiés</w:t>
            </w:r>
            <w:r w:rsidR="0069578F" w:rsidRPr="0069578F">
              <w:rPr>
                <w:rFonts w:ascii="Arial" w:hAnsi="Arial" w:cs="Arial"/>
                <w:color w:val="000000"/>
                <w:szCs w:val="21"/>
                <w:lang w:val="fr-FR"/>
              </w:rPr>
              <w:t xml:space="preserve"> dans les sociétés divisées ou </w:t>
            </w:r>
            <w:r w:rsidR="0069578F">
              <w:rPr>
                <w:rFonts w:ascii="Arial" w:hAnsi="Arial" w:cs="Arial"/>
                <w:color w:val="000000"/>
                <w:szCs w:val="21"/>
                <w:lang w:val="fr-FR"/>
              </w:rPr>
              <w:t>qui sortent d’un conflit.</w:t>
            </w:r>
            <w:r w:rsidR="0069578F" w:rsidRPr="0069578F">
              <w:rPr>
                <w:rFonts w:ascii="Arial" w:hAnsi="Arial" w:cs="Arial"/>
                <w:color w:val="000000"/>
                <w:szCs w:val="21"/>
                <w:lang w:val="fr-FR"/>
              </w:rPr>
              <w:t xml:space="preserve"> </w:t>
            </w:r>
          </w:p>
        </w:tc>
      </w:tr>
      <w:tr w:rsidR="005556CC" w:rsidRPr="005A2AFE" w14:paraId="07D4420C" w14:textId="77777777" w:rsidTr="00357683">
        <w:tc>
          <w:tcPr>
            <w:tcW w:w="703" w:type="pct"/>
            <w:shd w:val="clear" w:color="auto" w:fill="A6A6A6"/>
          </w:tcPr>
          <w:p w14:paraId="66F0C66A" w14:textId="765828E3" w:rsidR="00062472" w:rsidRPr="005D4EC2" w:rsidRDefault="00062472" w:rsidP="00B42622">
            <w:pPr>
              <w:pStyle w:val="Pa25"/>
              <w:spacing w:before="60" w:after="60"/>
              <w:jc w:val="left"/>
              <w:rPr>
                <w:rFonts w:ascii="Arial" w:hAnsi="Arial" w:cs="Arial"/>
                <w:szCs w:val="21"/>
              </w:rPr>
            </w:pPr>
            <w:r w:rsidRPr="005D4EC2">
              <w:rPr>
                <w:rFonts w:ascii="Arial" w:hAnsi="Arial" w:cs="Arial"/>
                <w:szCs w:val="21"/>
              </w:rPr>
              <w:t>P</w:t>
            </w:r>
            <w:r w:rsidR="00B42622">
              <w:rPr>
                <w:rFonts w:ascii="Arial" w:hAnsi="Arial" w:cs="Arial"/>
                <w:szCs w:val="21"/>
              </w:rPr>
              <w:t>a</w:t>
            </w:r>
            <w:r w:rsidRPr="005D4EC2">
              <w:rPr>
                <w:rFonts w:ascii="Arial" w:hAnsi="Arial" w:cs="Arial"/>
                <w:szCs w:val="21"/>
              </w:rPr>
              <w:t xml:space="preserve">r </w:t>
            </w:r>
            <w:r w:rsidR="00B42622">
              <w:rPr>
                <w:rFonts w:ascii="Arial" w:hAnsi="Arial" w:cs="Arial"/>
                <w:szCs w:val="21"/>
              </w:rPr>
              <w:t>jour</w:t>
            </w:r>
          </w:p>
        </w:tc>
        <w:tc>
          <w:tcPr>
            <w:tcW w:w="1079" w:type="pct"/>
            <w:shd w:val="clear" w:color="auto" w:fill="E6E6E6"/>
          </w:tcPr>
          <w:p w14:paraId="3DF8C5B2" w14:textId="102327C2" w:rsidR="00062472" w:rsidRPr="0062717A" w:rsidRDefault="0062717A" w:rsidP="0062717A">
            <w:pPr>
              <w:pStyle w:val="Pa25"/>
              <w:spacing w:before="60" w:after="60"/>
              <w:jc w:val="left"/>
              <w:rPr>
                <w:rFonts w:ascii="Arial" w:hAnsi="Arial" w:cs="Arial"/>
                <w:szCs w:val="21"/>
                <w:lang w:val="fr-FR"/>
              </w:rPr>
            </w:pPr>
            <w:r w:rsidRPr="0062717A">
              <w:rPr>
                <w:rFonts w:ascii="Arial" w:hAnsi="Arial" w:cs="Arial"/>
                <w:szCs w:val="21"/>
                <w:lang w:val="fr-FR"/>
              </w:rPr>
              <w:t>La communauté se met d’accord sur un nombre d’heures de travail par jour.</w:t>
            </w:r>
            <w:r w:rsidR="00062472" w:rsidRPr="0062717A">
              <w:rPr>
                <w:rFonts w:ascii="Arial" w:hAnsi="Arial" w:cs="Arial"/>
                <w:szCs w:val="21"/>
                <w:lang w:val="fr-FR"/>
              </w:rPr>
              <w:t xml:space="preserve"> </w:t>
            </w:r>
          </w:p>
        </w:tc>
        <w:tc>
          <w:tcPr>
            <w:tcW w:w="1296" w:type="pct"/>
            <w:shd w:val="clear" w:color="auto" w:fill="F3F3F3"/>
          </w:tcPr>
          <w:p w14:paraId="2336A226" w14:textId="1C8407B8" w:rsidR="003425B7" w:rsidRDefault="003425B7" w:rsidP="003425B7">
            <w:pPr>
              <w:pStyle w:val="Pa25"/>
              <w:spacing w:before="60" w:after="60"/>
              <w:jc w:val="left"/>
              <w:rPr>
                <w:rFonts w:ascii="Arial" w:hAnsi="Arial" w:cs="Arial"/>
                <w:szCs w:val="21"/>
                <w:lang w:val="fr-FR"/>
              </w:rPr>
            </w:pPr>
            <w:r w:rsidRPr="003425B7">
              <w:rPr>
                <w:rFonts w:ascii="Arial" w:hAnsi="Arial" w:cs="Arial"/>
                <w:szCs w:val="21"/>
                <w:lang w:val="fr-FR"/>
              </w:rPr>
              <w:t>Permet une certaine flexibilité et est souvent utilisé</w:t>
            </w:r>
            <w:r w:rsidR="003B591B">
              <w:rPr>
                <w:rFonts w:ascii="Arial" w:hAnsi="Arial" w:cs="Arial"/>
                <w:szCs w:val="21"/>
                <w:lang w:val="fr-FR"/>
              </w:rPr>
              <w:t>e</w:t>
            </w:r>
            <w:r w:rsidRPr="003425B7">
              <w:rPr>
                <w:rFonts w:ascii="Arial" w:hAnsi="Arial" w:cs="Arial"/>
                <w:szCs w:val="21"/>
                <w:lang w:val="fr-FR"/>
              </w:rPr>
              <w:t xml:space="preserve"> pour les projets</w:t>
            </w:r>
            <w:r>
              <w:rPr>
                <w:rFonts w:ascii="Arial" w:hAnsi="Arial" w:cs="Arial"/>
                <w:szCs w:val="21"/>
                <w:lang w:val="fr-FR"/>
              </w:rPr>
              <w:t xml:space="preserve"> d’une durée indéterminée</w:t>
            </w:r>
            <w:r w:rsidR="00062472" w:rsidRPr="003425B7">
              <w:rPr>
                <w:rFonts w:ascii="Arial" w:hAnsi="Arial" w:cs="Arial"/>
                <w:szCs w:val="21"/>
                <w:lang w:val="fr-FR"/>
              </w:rPr>
              <w:t xml:space="preserve"> </w:t>
            </w:r>
          </w:p>
          <w:p w14:paraId="23A1FBD9" w14:textId="1028E6AD" w:rsidR="00062472" w:rsidRPr="00F320AB" w:rsidRDefault="003425B7" w:rsidP="00F320AB">
            <w:pPr>
              <w:pStyle w:val="Pa25"/>
              <w:spacing w:before="60" w:after="60"/>
              <w:jc w:val="left"/>
              <w:rPr>
                <w:rFonts w:ascii="Arial" w:hAnsi="Arial" w:cs="Arial"/>
                <w:szCs w:val="21"/>
                <w:lang w:val="fr-FR"/>
              </w:rPr>
            </w:pPr>
            <w:r w:rsidRPr="00F320AB">
              <w:rPr>
                <w:rFonts w:ascii="Arial" w:hAnsi="Arial" w:cs="Arial"/>
                <w:szCs w:val="21"/>
                <w:lang w:val="fr-FR"/>
              </w:rPr>
              <w:t>Peut être mis</w:t>
            </w:r>
            <w:r w:rsidR="003B591B">
              <w:rPr>
                <w:rFonts w:ascii="Arial" w:hAnsi="Arial" w:cs="Arial"/>
                <w:szCs w:val="21"/>
                <w:lang w:val="fr-FR"/>
              </w:rPr>
              <w:t>e</w:t>
            </w:r>
            <w:r w:rsidRPr="00F320AB">
              <w:rPr>
                <w:rFonts w:ascii="Arial" w:hAnsi="Arial" w:cs="Arial"/>
                <w:szCs w:val="21"/>
                <w:lang w:val="fr-FR"/>
              </w:rPr>
              <w:t xml:space="preserve"> en </w:t>
            </w:r>
            <w:r w:rsidR="00F320AB" w:rsidRPr="00F320AB">
              <w:rPr>
                <w:rFonts w:ascii="Arial" w:hAnsi="Arial" w:cs="Arial"/>
                <w:szCs w:val="21"/>
                <w:lang w:val="fr-FR"/>
              </w:rPr>
              <w:t>œuvre</w:t>
            </w:r>
            <w:r w:rsidRPr="00F320AB">
              <w:rPr>
                <w:rFonts w:ascii="Arial" w:hAnsi="Arial" w:cs="Arial"/>
                <w:szCs w:val="21"/>
                <w:lang w:val="fr-FR"/>
              </w:rPr>
              <w:t xml:space="preserve"> sans </w:t>
            </w:r>
            <w:r w:rsidR="00F320AB" w:rsidRPr="00F320AB">
              <w:rPr>
                <w:rFonts w:ascii="Arial" w:hAnsi="Arial" w:cs="Arial"/>
                <w:szCs w:val="21"/>
                <w:lang w:val="fr-FR"/>
              </w:rPr>
              <w:t>connaissance des aspects techniques du proj</w:t>
            </w:r>
            <w:r w:rsidR="00F320AB">
              <w:rPr>
                <w:rFonts w:ascii="Arial" w:hAnsi="Arial" w:cs="Arial"/>
                <w:szCs w:val="21"/>
                <w:lang w:val="fr-FR"/>
              </w:rPr>
              <w:t>et de construction</w:t>
            </w:r>
          </w:p>
        </w:tc>
        <w:tc>
          <w:tcPr>
            <w:tcW w:w="1922" w:type="pct"/>
            <w:shd w:val="clear" w:color="auto" w:fill="F3F3F3"/>
          </w:tcPr>
          <w:p w14:paraId="1847715A" w14:textId="325C97D3" w:rsidR="00062472" w:rsidRPr="00F320AB" w:rsidRDefault="00AD4CEE" w:rsidP="00AD4CEE">
            <w:pPr>
              <w:pStyle w:val="Pa25"/>
              <w:spacing w:before="60" w:after="60"/>
              <w:jc w:val="left"/>
              <w:rPr>
                <w:rFonts w:ascii="Arial" w:hAnsi="Arial" w:cs="Arial"/>
                <w:szCs w:val="21"/>
                <w:lang w:val="fr-FR"/>
              </w:rPr>
            </w:pPr>
            <w:r>
              <w:rPr>
                <w:rFonts w:ascii="Arial" w:hAnsi="Arial" w:cs="Arial"/>
                <w:szCs w:val="21"/>
                <w:lang w:val="fr-FR"/>
              </w:rPr>
              <w:t>Étant donné qu’e</w:t>
            </w:r>
            <w:r w:rsidR="00F320AB" w:rsidRPr="00F320AB">
              <w:rPr>
                <w:rFonts w:ascii="Arial" w:hAnsi="Arial" w:cs="Arial"/>
                <w:szCs w:val="21"/>
                <w:lang w:val="fr-FR"/>
              </w:rPr>
              <w:t>l</w:t>
            </w:r>
            <w:r>
              <w:rPr>
                <w:rFonts w:ascii="Arial" w:hAnsi="Arial" w:cs="Arial"/>
                <w:szCs w:val="21"/>
                <w:lang w:val="fr-FR"/>
              </w:rPr>
              <w:t>le</w:t>
            </w:r>
            <w:r w:rsidR="00F320AB" w:rsidRPr="00F320AB">
              <w:rPr>
                <w:rFonts w:ascii="Arial" w:hAnsi="Arial" w:cs="Arial"/>
                <w:szCs w:val="21"/>
                <w:lang w:val="fr-FR"/>
              </w:rPr>
              <w:t xml:space="preserve"> ne dépend pas de la productivité</w:t>
            </w:r>
            <w:r w:rsidR="00062472" w:rsidRPr="00F320AB">
              <w:rPr>
                <w:rFonts w:ascii="Arial" w:hAnsi="Arial" w:cs="Arial"/>
                <w:szCs w:val="21"/>
                <w:lang w:val="fr-FR"/>
              </w:rPr>
              <w:t xml:space="preserve"> </w:t>
            </w:r>
            <w:r w:rsidR="00F320AB" w:rsidRPr="00F320AB">
              <w:rPr>
                <w:rFonts w:ascii="Arial" w:hAnsi="Arial" w:cs="Arial"/>
                <w:szCs w:val="21"/>
                <w:lang w:val="fr-FR"/>
              </w:rPr>
              <w:t>et n’est pas lié</w:t>
            </w:r>
            <w:r>
              <w:rPr>
                <w:rFonts w:ascii="Arial" w:hAnsi="Arial" w:cs="Arial"/>
                <w:szCs w:val="21"/>
                <w:lang w:val="fr-FR"/>
              </w:rPr>
              <w:t>e</w:t>
            </w:r>
            <w:r w:rsidR="00F320AB" w:rsidRPr="00F320AB">
              <w:rPr>
                <w:rFonts w:ascii="Arial" w:hAnsi="Arial" w:cs="Arial"/>
                <w:szCs w:val="21"/>
                <w:lang w:val="fr-FR"/>
              </w:rPr>
              <w:t xml:space="preserve"> à des délais, cette forme de </w:t>
            </w:r>
            <w:r w:rsidR="0045478F">
              <w:rPr>
                <w:rFonts w:ascii="Arial" w:hAnsi="Arial" w:cs="Arial"/>
                <w:szCs w:val="21"/>
                <w:lang w:val="fr-FR"/>
              </w:rPr>
              <w:t>rémunération</w:t>
            </w:r>
            <w:r w:rsidR="00F320AB" w:rsidRPr="00F320AB">
              <w:rPr>
                <w:rFonts w:ascii="Arial" w:hAnsi="Arial" w:cs="Arial"/>
                <w:szCs w:val="21"/>
                <w:lang w:val="fr-FR"/>
              </w:rPr>
              <w:t xml:space="preserve"> peut </w:t>
            </w:r>
            <w:r w:rsidR="00F320AB">
              <w:rPr>
                <w:rFonts w:ascii="Arial" w:hAnsi="Arial" w:cs="Arial"/>
                <w:szCs w:val="21"/>
                <w:lang w:val="fr-FR"/>
              </w:rPr>
              <w:t xml:space="preserve">s’étendre sur </w:t>
            </w:r>
            <w:r w:rsidR="0045478F">
              <w:rPr>
                <w:rFonts w:ascii="Arial" w:hAnsi="Arial" w:cs="Arial"/>
                <w:szCs w:val="21"/>
                <w:lang w:val="fr-FR"/>
              </w:rPr>
              <w:t xml:space="preserve">une </w:t>
            </w:r>
            <w:r w:rsidR="00F320AB">
              <w:rPr>
                <w:rFonts w:ascii="Arial" w:hAnsi="Arial" w:cs="Arial"/>
                <w:szCs w:val="21"/>
                <w:lang w:val="fr-FR"/>
              </w:rPr>
              <w:t xml:space="preserve">période relativement longue </w:t>
            </w:r>
            <w:r w:rsidR="0045478F">
              <w:rPr>
                <w:rFonts w:ascii="Arial" w:hAnsi="Arial" w:cs="Arial"/>
                <w:szCs w:val="21"/>
                <w:lang w:val="fr-FR"/>
              </w:rPr>
              <w:t xml:space="preserve">et ne permet ainsi pas nécessairement d’atteindre les objectifs </w:t>
            </w:r>
            <w:r>
              <w:rPr>
                <w:rFonts w:ascii="Arial" w:hAnsi="Arial" w:cs="Arial"/>
                <w:szCs w:val="21"/>
                <w:lang w:val="fr-FR"/>
              </w:rPr>
              <w:t xml:space="preserve">en matière </w:t>
            </w:r>
            <w:r w:rsidR="0045478F">
              <w:rPr>
                <w:rFonts w:ascii="Arial" w:hAnsi="Arial" w:cs="Arial"/>
                <w:szCs w:val="21"/>
                <w:lang w:val="fr-FR"/>
              </w:rPr>
              <w:t xml:space="preserve">de reconstruction des infrastructures. </w:t>
            </w:r>
          </w:p>
        </w:tc>
      </w:tr>
    </w:tbl>
    <w:p w14:paraId="74F66A3F" w14:textId="77777777" w:rsidR="00062472" w:rsidRPr="00F320AB" w:rsidRDefault="00062472" w:rsidP="007C088E">
      <w:pPr>
        <w:widowControl w:val="0"/>
        <w:autoSpaceDE w:val="0"/>
        <w:autoSpaceDN w:val="0"/>
        <w:adjustRightInd w:val="0"/>
        <w:rPr>
          <w:rFonts w:cs="Arial"/>
          <w:sz w:val="22"/>
          <w:szCs w:val="19"/>
          <w:lang w:val="fr-FR"/>
        </w:rPr>
      </w:pPr>
    </w:p>
    <w:sectPr w:rsidR="00062472" w:rsidRPr="00F320AB" w:rsidSect="0054662B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F292C" w14:textId="77777777" w:rsidR="00616661" w:rsidRDefault="00616661" w:rsidP="0059099F">
      <w:r>
        <w:separator/>
      </w:r>
    </w:p>
  </w:endnote>
  <w:endnote w:type="continuationSeparator" w:id="0">
    <w:p w14:paraId="033C5B64" w14:textId="77777777" w:rsidR="00616661" w:rsidRDefault="00616661" w:rsidP="0059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 Grotesk BE 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0EC5E" w14:textId="77777777" w:rsidR="0054662B" w:rsidRPr="00B45C74" w:rsidRDefault="0054662B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357683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8144D5A" w14:textId="1664FE9B" w:rsidR="003B591B" w:rsidRDefault="002C4564" w:rsidP="00683A9B">
    <w:pPr>
      <w:pStyle w:val="Footer"/>
      <w:rPr>
        <w:lang w:val="fr-FR"/>
      </w:rPr>
    </w:pPr>
    <w:r w:rsidRPr="002C4564">
      <w:rPr>
        <w:lang w:val="fr-FR"/>
      </w:rPr>
      <w:t>Modalités –</w:t>
    </w:r>
    <w:r w:rsidR="00FD6ECA" w:rsidRPr="002C4564">
      <w:rPr>
        <w:lang w:val="fr-FR"/>
      </w:rPr>
      <w:t xml:space="preserve"> </w:t>
    </w:r>
    <w:r w:rsidRPr="002C4564">
      <w:rPr>
        <w:lang w:val="fr-FR"/>
      </w:rPr>
      <w:t>Argent contre travail</w:t>
    </w:r>
    <w:r w:rsidR="00FD6ECA" w:rsidRPr="002C4564">
      <w:rPr>
        <w:lang w:val="fr-FR"/>
      </w:rPr>
      <w:t xml:space="preserve"> </w:t>
    </w:r>
    <w:r w:rsidRPr="002C4564">
      <w:rPr>
        <w:lang w:val="fr-FR"/>
      </w:rPr>
      <w:t>–</w:t>
    </w:r>
    <w:r w:rsidR="00FD6ECA" w:rsidRPr="002C4564">
      <w:rPr>
        <w:lang w:val="fr-FR"/>
      </w:rPr>
      <w:t xml:space="preserve"> </w:t>
    </w:r>
    <w:r w:rsidRPr="002C4564">
      <w:rPr>
        <w:lang w:val="fr-FR"/>
      </w:rPr>
      <w:t>Étape</w:t>
    </w:r>
    <w:r w:rsidR="00FD6ECA" w:rsidRPr="002C4564">
      <w:rPr>
        <w:lang w:val="fr-FR"/>
      </w:rPr>
      <w:t xml:space="preserve"> 1. </w:t>
    </w:r>
    <w:r w:rsidR="00683A9B">
      <w:rPr>
        <w:lang w:val="fr-FR"/>
      </w:rPr>
      <w:t>É</w:t>
    </w:r>
    <w:r w:rsidRPr="005C0D2D">
      <w:rPr>
        <w:lang w:val="fr-FR"/>
      </w:rPr>
      <w:t>tape</w:t>
    </w:r>
    <w:r w:rsidR="00683A9B">
      <w:rPr>
        <w:lang w:val="fr-FR"/>
      </w:rPr>
      <w:t xml:space="preserve"> subsidiaire</w:t>
    </w:r>
    <w:r w:rsidRPr="003B591B">
      <w:rPr>
        <w:lang w:val="fr-FR"/>
      </w:rPr>
      <w:t xml:space="preserve"> </w:t>
    </w:r>
    <w:r w:rsidR="00FD6ECA" w:rsidRPr="003B591B">
      <w:rPr>
        <w:lang w:val="fr-FR"/>
      </w:rPr>
      <w:t xml:space="preserve">3. </w:t>
    </w:r>
    <w:r w:rsidR="003B591B" w:rsidRPr="003B591B">
      <w:rPr>
        <w:lang w:val="fr-FR"/>
      </w:rPr>
      <w:t>Fixation des salaires dans le cadre des programmes «</w:t>
    </w:r>
    <w:r w:rsidR="003B591B">
      <w:rPr>
        <w:lang w:val="fr-FR"/>
      </w:rPr>
      <w:t> </w:t>
    </w:r>
    <w:r w:rsidR="003B591B" w:rsidRPr="003B591B">
      <w:rPr>
        <w:lang w:val="fr-FR"/>
      </w:rPr>
      <w:t xml:space="preserve">argent contre </w:t>
    </w:r>
  </w:p>
  <w:p w14:paraId="38088FAA" w14:textId="5297FFDF" w:rsidR="0054662B" w:rsidRPr="003B591B" w:rsidRDefault="003B591B" w:rsidP="003B591B">
    <w:pPr>
      <w:pStyle w:val="Footer"/>
      <w:rPr>
        <w:iCs/>
        <w:noProof/>
        <w:lang w:val="fr-FR"/>
      </w:rPr>
    </w:pPr>
    <w:r w:rsidRPr="003B591B">
      <w:rPr>
        <w:lang w:val="fr-FR"/>
      </w:rPr>
      <w:t>travail</w:t>
    </w:r>
    <w:r>
      <w:rPr>
        <w:lang w:val="fr-FR"/>
      </w:rPr>
      <w:t> </w:t>
    </w:r>
    <w:r w:rsidRPr="003B591B">
      <w:rPr>
        <w:lang w:val="fr-FR"/>
      </w:rPr>
      <w:t>»</w:t>
    </w:r>
    <w:r w:rsidRPr="003B591B">
      <w:rPr>
        <w:iCs/>
        <w:noProof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FB48B" w14:textId="77777777" w:rsidR="00616661" w:rsidRDefault="00616661" w:rsidP="0059099F">
      <w:r>
        <w:separator/>
      </w:r>
    </w:p>
  </w:footnote>
  <w:footnote w:type="continuationSeparator" w:id="0">
    <w:p w14:paraId="6BB1C6DC" w14:textId="77777777" w:rsidR="00616661" w:rsidRDefault="00616661" w:rsidP="00590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540B5" w14:textId="6BFB077E" w:rsidR="0054662B" w:rsidRPr="00683A9B" w:rsidRDefault="00DC1B5C" w:rsidP="00DC1B5C">
    <w:pPr>
      <w:pStyle w:val="Header"/>
      <w:rPr>
        <w:sz w:val="14"/>
        <w:szCs w:val="14"/>
        <w:lang w:val="fr-FR"/>
      </w:rPr>
    </w:pPr>
    <w:r w:rsidRPr="00683A9B">
      <w:rPr>
        <w:rStyle w:val="Pantone485"/>
        <w:sz w:val="14"/>
        <w:szCs w:val="14"/>
        <w:lang w:val="fr-FR"/>
      </w:rPr>
      <w:t>Mouvement international de la Croix-Rouge et du Croissant-Rouge</w:t>
    </w:r>
    <w:r w:rsidR="0054662B" w:rsidRPr="00683A9B">
      <w:rPr>
        <w:rFonts w:cs="Caecilia-Light"/>
        <w:color w:val="FF0000"/>
        <w:sz w:val="14"/>
        <w:szCs w:val="14"/>
        <w:lang w:val="fr-FR"/>
      </w:rPr>
      <w:t xml:space="preserve"> </w:t>
    </w:r>
    <w:r w:rsidR="0054662B" w:rsidRPr="00683A9B">
      <w:rPr>
        <w:rStyle w:val="PageNumber"/>
        <w:bCs/>
        <w:sz w:val="14"/>
        <w:szCs w:val="14"/>
        <w:lang w:val="fr-FR"/>
      </w:rPr>
      <w:t>I</w:t>
    </w:r>
    <w:r w:rsidR="0054662B" w:rsidRPr="00683A9B">
      <w:rPr>
        <w:rStyle w:val="PageNumber"/>
        <w:color w:val="FF0000"/>
        <w:sz w:val="14"/>
        <w:szCs w:val="14"/>
        <w:lang w:val="fr-FR"/>
      </w:rPr>
      <w:t xml:space="preserve"> </w:t>
    </w:r>
    <w:r w:rsidRPr="00683A9B">
      <w:rPr>
        <w:b/>
        <w:sz w:val="14"/>
        <w:szCs w:val="14"/>
        <w:lang w:val="fr-FR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5E46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9223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DA61A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D6C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ECA1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94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565F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4663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60A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B44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94AEE"/>
    <w:multiLevelType w:val="hybridMultilevel"/>
    <w:tmpl w:val="C40C88E0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074E1"/>
    <w:multiLevelType w:val="hybridMultilevel"/>
    <w:tmpl w:val="5D40DA8C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4236F"/>
    <w:multiLevelType w:val="hybridMultilevel"/>
    <w:tmpl w:val="096A67C8"/>
    <w:lvl w:ilvl="0" w:tplc="B7E69AF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7020C"/>
    <w:multiLevelType w:val="hybridMultilevel"/>
    <w:tmpl w:val="81D41EC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163F1"/>
    <w:multiLevelType w:val="hybridMultilevel"/>
    <w:tmpl w:val="CCA8089C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AE0C0E"/>
    <w:multiLevelType w:val="hybridMultilevel"/>
    <w:tmpl w:val="4C804E40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6"/>
  </w:num>
  <w:num w:numId="5">
    <w:abstractNumId w:val="20"/>
  </w:num>
  <w:num w:numId="6">
    <w:abstractNumId w:val="13"/>
  </w:num>
  <w:num w:numId="7">
    <w:abstractNumId w:val="10"/>
  </w:num>
  <w:num w:numId="8">
    <w:abstractNumId w:val="17"/>
  </w:num>
  <w:num w:numId="9">
    <w:abstractNumId w:val="12"/>
  </w:num>
  <w:num w:numId="10">
    <w:abstractNumId w:val="18"/>
  </w:num>
  <w:num w:numId="11">
    <w:abstractNumId w:val="21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attachedTemplate r:id="rId1"/>
  <w:linkStyle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5679"/>
    <w:rsid w:val="000254E4"/>
    <w:rsid w:val="00062472"/>
    <w:rsid w:val="000B38CB"/>
    <w:rsid w:val="000E2A47"/>
    <w:rsid w:val="00197003"/>
    <w:rsid w:val="001D7CB0"/>
    <w:rsid w:val="001E18CE"/>
    <w:rsid w:val="001F6859"/>
    <w:rsid w:val="002A1BB5"/>
    <w:rsid w:val="002A6B27"/>
    <w:rsid w:val="002C4564"/>
    <w:rsid w:val="00320E86"/>
    <w:rsid w:val="003425B7"/>
    <w:rsid w:val="00357683"/>
    <w:rsid w:val="003B591B"/>
    <w:rsid w:val="00415B26"/>
    <w:rsid w:val="00436134"/>
    <w:rsid w:val="00453C43"/>
    <w:rsid w:val="0045478F"/>
    <w:rsid w:val="00467A74"/>
    <w:rsid w:val="004B5D6D"/>
    <w:rsid w:val="00536997"/>
    <w:rsid w:val="0054638C"/>
    <w:rsid w:val="0054662B"/>
    <w:rsid w:val="005556CC"/>
    <w:rsid w:val="00585A08"/>
    <w:rsid w:val="0059099F"/>
    <w:rsid w:val="005A2AFE"/>
    <w:rsid w:val="005C0D2D"/>
    <w:rsid w:val="005D4EC2"/>
    <w:rsid w:val="00616661"/>
    <w:rsid w:val="0062717A"/>
    <w:rsid w:val="0063592F"/>
    <w:rsid w:val="0065576D"/>
    <w:rsid w:val="00656084"/>
    <w:rsid w:val="00672817"/>
    <w:rsid w:val="00683A9B"/>
    <w:rsid w:val="0069578F"/>
    <w:rsid w:val="006C11CB"/>
    <w:rsid w:val="006D14EB"/>
    <w:rsid w:val="007871F2"/>
    <w:rsid w:val="00793CEE"/>
    <w:rsid w:val="007C088E"/>
    <w:rsid w:val="00850755"/>
    <w:rsid w:val="00865679"/>
    <w:rsid w:val="008C1D61"/>
    <w:rsid w:val="008C547D"/>
    <w:rsid w:val="008D5049"/>
    <w:rsid w:val="00935904"/>
    <w:rsid w:val="009A7F53"/>
    <w:rsid w:val="009D1A38"/>
    <w:rsid w:val="00A13445"/>
    <w:rsid w:val="00A15D03"/>
    <w:rsid w:val="00A30523"/>
    <w:rsid w:val="00A321BA"/>
    <w:rsid w:val="00AB21C2"/>
    <w:rsid w:val="00AD4CEE"/>
    <w:rsid w:val="00B05997"/>
    <w:rsid w:val="00B11C14"/>
    <w:rsid w:val="00B23BD7"/>
    <w:rsid w:val="00B42622"/>
    <w:rsid w:val="00B77434"/>
    <w:rsid w:val="00B83985"/>
    <w:rsid w:val="00BA5C61"/>
    <w:rsid w:val="00C44F4E"/>
    <w:rsid w:val="00C64C31"/>
    <w:rsid w:val="00CE50D3"/>
    <w:rsid w:val="00D5242A"/>
    <w:rsid w:val="00D81A1D"/>
    <w:rsid w:val="00D94FEB"/>
    <w:rsid w:val="00DC1B5C"/>
    <w:rsid w:val="00E702C2"/>
    <w:rsid w:val="00E7483A"/>
    <w:rsid w:val="00E97ACA"/>
    <w:rsid w:val="00EA1F29"/>
    <w:rsid w:val="00EC11A8"/>
    <w:rsid w:val="00EC57E8"/>
    <w:rsid w:val="00EF23DC"/>
    <w:rsid w:val="00F21C8C"/>
    <w:rsid w:val="00F320AB"/>
    <w:rsid w:val="00F3386E"/>
    <w:rsid w:val="00F33EE4"/>
    <w:rsid w:val="00F34B28"/>
    <w:rsid w:val="00F51CEF"/>
    <w:rsid w:val="00FA36EB"/>
    <w:rsid w:val="00FD6ECA"/>
    <w:rsid w:val="00FF38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EC12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/>
    <w:lsdException w:name="heading 2" w:uiPriority="9" w:qFormat="1"/>
    <w:lsdException w:name="heading 3" w:uiPriority="9" w:qFormat="1"/>
    <w:lsdException w:name="footnote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Default Paragraph Font" w:uiPriority="1"/>
    <w:lsdException w:name="Hyperlink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  <w:lsdException w:name="List Paragraph" w:uiPriority="34" w:qFormat="1"/>
  </w:latentStyles>
  <w:style w:type="paragraph" w:default="1" w:styleId="Normal">
    <w:name w:val="Normal"/>
    <w:qFormat/>
    <w:rsid w:val="00A30523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A3052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52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052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</w:rPr>
  </w:style>
  <w:style w:type="paragraph" w:customStyle="1" w:styleId="Pa24">
    <w:name w:val="Pa24"/>
    <w:basedOn w:val="Normal"/>
    <w:next w:val="Normal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</w:rPr>
  </w:style>
  <w:style w:type="paragraph" w:customStyle="1" w:styleId="Pa25">
    <w:name w:val="Pa25"/>
    <w:basedOn w:val="Normal"/>
    <w:next w:val="Normal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</w:rPr>
  </w:style>
  <w:style w:type="character" w:customStyle="1" w:styleId="A11">
    <w:name w:val="A11"/>
    <w:uiPriority w:val="99"/>
    <w:rsid w:val="00EE0D42"/>
    <w:rPr>
      <w:rFonts w:cs="Akzidenz Grotesk BE"/>
      <w:color w:val="000000"/>
      <w:sz w:val="21"/>
      <w:szCs w:val="21"/>
      <w:u w:val="single"/>
    </w:rPr>
  </w:style>
  <w:style w:type="paragraph" w:customStyle="1" w:styleId="Pa23">
    <w:name w:val="Pa23"/>
    <w:basedOn w:val="Normal"/>
    <w:next w:val="Normal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</w:rPr>
  </w:style>
  <w:style w:type="paragraph" w:customStyle="1" w:styleId="Textetable">
    <w:name w:val="Textetable"/>
    <w:basedOn w:val="Normal"/>
    <w:rsid w:val="0011189D"/>
    <w:pPr>
      <w:spacing w:before="80" w:after="80"/>
    </w:pPr>
    <w:rPr>
      <w:rFonts w:eastAsia="Times New Roman"/>
      <w:lang w:eastAsia="fr-FR"/>
    </w:rPr>
  </w:style>
  <w:style w:type="table" w:styleId="TableGrid">
    <w:name w:val="Table Grid"/>
    <w:basedOn w:val="TableNormal"/>
    <w:uiPriority w:val="59"/>
    <w:rsid w:val="00A30523"/>
    <w:rPr>
      <w:rFonts w:ascii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30523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A3052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3052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0523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30523"/>
    <w:rPr>
      <w:rFonts w:ascii="Arial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A30523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30523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0523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30523"/>
    <w:rPr>
      <w:rFonts w:ascii="Arial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0523"/>
    <w:rPr>
      <w:rFonts w:ascii="Arial" w:hAnsi="Arial" w:cs="Times New Roman"/>
      <w:b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30523"/>
    <w:rPr>
      <w:rFonts w:ascii="Arial" w:eastAsiaTheme="minorHAnsi" w:hAnsi="Arial" w:cstheme="minorBidi"/>
      <w:sz w:val="20"/>
      <w:szCs w:val="22"/>
    </w:rPr>
  </w:style>
  <w:style w:type="paragraph" w:customStyle="1" w:styleId="Default">
    <w:name w:val="Default"/>
    <w:rsid w:val="00A30523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unhideWhenUsed/>
    <w:rsid w:val="00A30523"/>
    <w:rPr>
      <w:sz w:val="18"/>
      <w:szCs w:val="18"/>
    </w:rPr>
  </w:style>
  <w:style w:type="paragraph" w:styleId="CommentText">
    <w:name w:val="annotation text"/>
    <w:basedOn w:val="Normal"/>
    <w:link w:val="CommentTextChar"/>
    <w:rsid w:val="0054662B"/>
  </w:style>
  <w:style w:type="character" w:customStyle="1" w:styleId="CommentTextChar">
    <w:name w:val="Comment Text Char"/>
    <w:basedOn w:val="DefaultParagraphFont"/>
    <w:link w:val="CommentText"/>
    <w:rsid w:val="0054662B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unhideWhenUsed/>
    <w:rsid w:val="00A30523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A30523"/>
    <w:rPr>
      <w:rFonts w:ascii="Arial" w:hAnsi="Arial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unhideWhenUsed/>
    <w:rsid w:val="00A30523"/>
    <w:rPr>
      <w:b/>
    </w:rPr>
  </w:style>
  <w:style w:type="character" w:styleId="Hyperlink">
    <w:name w:val="Hyperlink"/>
    <w:basedOn w:val="DefaultParagraphFont"/>
    <w:uiPriority w:val="99"/>
    <w:unhideWhenUsed/>
    <w:rsid w:val="00A305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A3052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30523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0523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A30523"/>
    <w:rPr>
      <w:vertAlign w:val="superscript"/>
    </w:rPr>
  </w:style>
  <w:style w:type="paragraph" w:styleId="Revision">
    <w:name w:val="Revision"/>
    <w:hidden/>
    <w:uiPriority w:val="99"/>
    <w:rsid w:val="00A30523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A3052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A3052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A30523"/>
    <w:pPr>
      <w:numPr>
        <w:numId w:val="9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A3052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A3052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A30523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A30523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A30523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A30523"/>
    <w:rPr>
      <w:rFonts w:asciiTheme="minorHAnsi" w:hAnsiTheme="minorHAnsi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A30523"/>
    <w:pPr>
      <w:numPr>
        <w:numId w:val="10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A30523"/>
    <w:pPr>
      <w:numPr>
        <w:ilvl w:val="1"/>
        <w:numId w:val="7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A30523"/>
    <w:pPr>
      <w:numPr>
        <w:numId w:val="8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A30523"/>
    <w:pPr>
      <w:numPr>
        <w:numId w:val="11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A30523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A30523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A30523"/>
    <w:pPr>
      <w:keepNext/>
      <w:keepLines/>
      <w:framePr w:hSpace="141" w:wrap="around" w:vAnchor="text" w:hAnchor="margin" w:y="402"/>
      <w:numPr>
        <w:numId w:val="12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862B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 w:cs="Times New Roman"/>
      <w:lang w:val="en-US"/>
    </w:rPr>
  </w:style>
  <w:style w:type="paragraph" w:customStyle="1" w:styleId="Pa24">
    <w:name w:val="Pa24"/>
    <w:basedOn w:val="Normal"/>
    <w:next w:val="Normal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 w:cs="Times New Roman"/>
      <w:lang w:val="en-US"/>
    </w:rPr>
  </w:style>
  <w:style w:type="paragraph" w:customStyle="1" w:styleId="Pa25">
    <w:name w:val="Pa25"/>
    <w:basedOn w:val="Normal"/>
    <w:next w:val="Normal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 w:cs="Times New Roman"/>
      <w:lang w:val="en-US"/>
    </w:rPr>
  </w:style>
  <w:style w:type="character" w:customStyle="1" w:styleId="A11">
    <w:name w:val="A11"/>
    <w:uiPriority w:val="99"/>
    <w:rsid w:val="00EE0D42"/>
    <w:rPr>
      <w:rFonts w:cs="Akzidenz Grotesk BE"/>
      <w:color w:val="000000"/>
      <w:sz w:val="21"/>
      <w:szCs w:val="21"/>
      <w:u w:val="single"/>
    </w:rPr>
  </w:style>
  <w:style w:type="paragraph" w:customStyle="1" w:styleId="Pa23">
    <w:name w:val="Pa23"/>
    <w:basedOn w:val="Normal"/>
    <w:next w:val="Normal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lang w:val="en-US"/>
    </w:rPr>
  </w:style>
  <w:style w:type="paragraph" w:customStyle="1" w:styleId="Textetable">
    <w:name w:val="Textetable"/>
    <w:basedOn w:val="Normal"/>
    <w:rsid w:val="0011189D"/>
    <w:pPr>
      <w:spacing w:before="80" w:after="80"/>
    </w:pPr>
    <w:rPr>
      <w:rFonts w:ascii="Arial" w:eastAsia="Times New Roman" w:hAnsi="Arial" w:cs="Times New Roman"/>
      <w:lang w:eastAsia="fr-FR"/>
    </w:rPr>
  </w:style>
  <w:style w:type="table" w:styleId="TableGrid">
    <w:name w:val="Table Grid"/>
    <w:basedOn w:val="TableNormal"/>
    <w:uiPriority w:val="59"/>
    <w:rsid w:val="00F4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5B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624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62472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514</TotalTime>
  <Pages>2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55</cp:revision>
  <cp:lastPrinted>2015-10-19T01:11:00Z</cp:lastPrinted>
  <dcterms:created xsi:type="dcterms:W3CDTF">2014-11-26T17:38:00Z</dcterms:created>
  <dcterms:modified xsi:type="dcterms:W3CDTF">2016-04-29T12:17:00Z</dcterms:modified>
</cp:coreProperties>
</file>