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FC59" w14:textId="1A66FD3A" w:rsidR="00A33F1F" w:rsidRPr="008E36E0" w:rsidRDefault="00190541" w:rsidP="008E36E0">
      <w:pPr>
        <w:pStyle w:val="H1"/>
      </w:pPr>
      <w:r w:rsidRPr="008E36E0">
        <w:t xml:space="preserve">Baseline </w:t>
      </w:r>
      <w:r w:rsidR="00CC6667" w:rsidRPr="008E36E0">
        <w:t>report template</w:t>
      </w:r>
    </w:p>
    <w:p w14:paraId="496B97AA" w14:textId="77777777" w:rsidR="002F5A84" w:rsidRPr="008E36E0" w:rsidRDefault="002F5A84" w:rsidP="00671148">
      <w:pPr>
        <w:spacing w:before="240"/>
      </w:pPr>
      <w:r w:rsidRPr="008E36E0">
        <w:t xml:space="preserve">By writing a final baseline report, you ensure that all the data gathered is consolidated and readily accessible. The report should embrace all aspects of CTP preparedness, with an emphasis on those needed for the development of strong CTP systems. The baseline report will provide the foundation for the development of scenarios.  </w:t>
      </w:r>
    </w:p>
    <w:p w14:paraId="5416F89B" w14:textId="6AF5BF54" w:rsidR="00A33F1F" w:rsidRPr="008E36E0" w:rsidRDefault="002F5A84" w:rsidP="00773E67">
      <w:pPr>
        <w:rPr>
          <w:b/>
        </w:rPr>
      </w:pPr>
      <w:r w:rsidRPr="008E36E0">
        <w:t>The suggested template is divided into seven sections: I) Summary information; II) CTP sit</w:t>
      </w:r>
      <w:r w:rsidR="000A3896" w:rsidRPr="008E36E0">
        <w:t>uation analysis; III) National S</w:t>
      </w:r>
      <w:r w:rsidRPr="008E36E0">
        <w:t>ociety CTP preparedness level; IV) Movement CTP capacity; V) CTP enabling context; VI) CTP risk analysis; and VII) Overall conclusions.  Section III will be informed by the self-assessment and gap analysis (step 1.3).</w:t>
      </w:r>
    </w:p>
    <w:p w14:paraId="4C389A9A" w14:textId="52503B0A" w:rsidR="00F10808" w:rsidRPr="00CC6667" w:rsidRDefault="00F10808" w:rsidP="00CC6667">
      <w:pPr>
        <w:pStyle w:val="Heading3"/>
      </w:pPr>
      <w:r w:rsidRPr="00CC6667">
        <w:t>I. Summary information</w:t>
      </w:r>
    </w:p>
    <w:p w14:paraId="328FDF90" w14:textId="77777777" w:rsidR="00F10808" w:rsidRPr="00CC6667" w:rsidRDefault="00F10808" w:rsidP="005657F2">
      <w:pPr>
        <w:pStyle w:val="NormalBold"/>
      </w:pPr>
      <w:r w:rsidRPr="00CC6667">
        <w:t xml:space="preserve">Date, location and National Society and Movement actors involved:  </w:t>
      </w:r>
    </w:p>
    <w:p w14:paraId="54805414" w14:textId="77777777" w:rsidR="00F10808" w:rsidRDefault="00F10808" w:rsidP="005657F2">
      <w:pPr>
        <w:pStyle w:val="NormalBold"/>
      </w:pPr>
      <w:r w:rsidRPr="00CC6667">
        <w:t>Purpose of the CTP baseline</w:t>
      </w:r>
    </w:p>
    <w:tbl>
      <w:tblPr>
        <w:tblStyle w:val="TableGray"/>
        <w:tblW w:w="0" w:type="auto"/>
        <w:tblLook w:val="04A0" w:firstRow="1" w:lastRow="0" w:firstColumn="1" w:lastColumn="0" w:noHBand="0" w:noVBand="1"/>
      </w:tblPr>
      <w:tblGrid>
        <w:gridCol w:w="9854"/>
      </w:tblGrid>
      <w:tr w:rsidR="00103BBA" w14:paraId="3B62FA26" w14:textId="77777777" w:rsidTr="00103BBA">
        <w:tc>
          <w:tcPr>
            <w:tcW w:w="9854" w:type="dxa"/>
          </w:tcPr>
          <w:p w14:paraId="035DACBD" w14:textId="77777777" w:rsidR="00103BBA" w:rsidRPr="00C86A79" w:rsidRDefault="00103BBA" w:rsidP="00147030">
            <w:pPr>
              <w:jc w:val="both"/>
              <w:rPr>
                <w:i/>
                <w:lang w:val="en-GB"/>
              </w:rPr>
            </w:pPr>
            <w:r w:rsidRPr="00C86A79">
              <w:rPr>
                <w:i/>
              </w:rPr>
              <w:t>Some examples include:</w:t>
            </w:r>
          </w:p>
          <w:p w14:paraId="3BB8770C" w14:textId="77777777" w:rsidR="00103BBA" w:rsidRPr="00C86A79" w:rsidRDefault="00103BBA" w:rsidP="00147030">
            <w:pPr>
              <w:pStyle w:val="Bullet2"/>
              <w:rPr>
                <w:b/>
                <w:lang w:val="en-GB"/>
              </w:rPr>
            </w:pPr>
            <w:r w:rsidRPr="00C86A79">
              <w:t>To determine whether cash transfers are a feasible emergency response option for the National Society</w:t>
            </w:r>
          </w:p>
          <w:p w14:paraId="2EBBDD87" w14:textId="77777777" w:rsidR="00103BBA" w:rsidRPr="00C86A79" w:rsidRDefault="00103BBA" w:rsidP="00147030">
            <w:pPr>
              <w:pStyle w:val="Bullet2"/>
              <w:rPr>
                <w:b/>
                <w:lang w:val="en-GB"/>
              </w:rPr>
            </w:pPr>
            <w:r w:rsidRPr="00C86A79">
              <w:t xml:space="preserve">To provide baseline information for the development of scenarios that include CTP emergency response options </w:t>
            </w:r>
          </w:p>
          <w:p w14:paraId="706059D3" w14:textId="252DC047" w:rsidR="00103BBA" w:rsidRPr="00103BBA" w:rsidRDefault="00103BBA" w:rsidP="00147030">
            <w:pPr>
              <w:pStyle w:val="Bullet2"/>
              <w:rPr>
                <w:lang w:val="en-GB"/>
              </w:rPr>
            </w:pPr>
            <w:r w:rsidRPr="00C86A79">
              <w:t>To identify priority CTP preparedness activities based on the current situation in country</w:t>
            </w:r>
          </w:p>
        </w:tc>
      </w:tr>
    </w:tbl>
    <w:p w14:paraId="6868D254" w14:textId="64E07130" w:rsidR="00F10808" w:rsidRPr="008E36E0" w:rsidRDefault="00F10808" w:rsidP="00CC6667">
      <w:pPr>
        <w:pStyle w:val="Heading3"/>
      </w:pPr>
      <w:r w:rsidRPr="008E36E0">
        <w:t>II. CTP situation analysis</w:t>
      </w:r>
    </w:p>
    <w:p w14:paraId="1859DC9A" w14:textId="155E6394" w:rsidR="00F10808" w:rsidRPr="008E36E0" w:rsidRDefault="00F10808" w:rsidP="005657F2">
      <w:pPr>
        <w:pStyle w:val="NormalBold"/>
      </w:pPr>
      <w:r w:rsidRPr="008E36E0">
        <w:t xml:space="preserve">Description of the </w:t>
      </w:r>
      <w:r w:rsidR="008E36E0" w:rsidRPr="008E36E0">
        <w:t>context</w:t>
      </w:r>
    </w:p>
    <w:p w14:paraId="778B71FE" w14:textId="77777777" w:rsidR="008E36E0" w:rsidRPr="008E36E0" w:rsidRDefault="00F10808" w:rsidP="008E36E0">
      <w:pPr>
        <w:rPr>
          <w:i/>
        </w:rPr>
      </w:pPr>
      <w:r w:rsidRPr="008E36E0">
        <w:rPr>
          <w:i/>
        </w:rPr>
        <w:t>Provide a summary of the types of emergencies to which the Movement is likely to respond to in this context. Provide a brief description of the main hazards and vulnerabilities of the most likely target populations. Provide elements of a well prepared National Society if appropriate.</w:t>
      </w:r>
    </w:p>
    <w:p w14:paraId="22697542" w14:textId="77777777" w:rsidR="00103BBA" w:rsidRDefault="00103BBA" w:rsidP="00103BBA">
      <w:pPr>
        <w:pStyle w:val="Info"/>
        <w:spacing w:after="0"/>
      </w:pPr>
    </w:p>
    <w:p w14:paraId="67361FA9" w14:textId="1CBE88BC" w:rsidR="00103BBA" w:rsidRDefault="00F10808" w:rsidP="00103BBA">
      <w:pPr>
        <w:pStyle w:val="Info"/>
        <w:spacing w:after="0"/>
      </w:pPr>
      <w:r w:rsidRPr="00CC6667">
        <w:t xml:space="preserve">This information will come from a secondary data review of National Society and Movement documents related to preparedness and contingency planning. </w:t>
      </w:r>
    </w:p>
    <w:p w14:paraId="54905303" w14:textId="77777777" w:rsidR="00103BBA" w:rsidRPr="00CC6667" w:rsidRDefault="00103BBA" w:rsidP="00103BBA">
      <w:pPr>
        <w:pStyle w:val="Info"/>
      </w:pPr>
    </w:p>
    <w:p w14:paraId="50AFBF7E" w14:textId="3BA123B2" w:rsidR="00F10808" w:rsidRPr="008E36E0" w:rsidRDefault="00F10808" w:rsidP="005657F2">
      <w:pPr>
        <w:pStyle w:val="NormalBold"/>
      </w:pPr>
      <w:r w:rsidRPr="008E36E0">
        <w:t xml:space="preserve">Summary of the </w:t>
      </w:r>
      <w:r w:rsidRPr="00773E67">
        <w:t>current</w:t>
      </w:r>
      <w:r w:rsidRPr="008E36E0">
        <w:t xml:space="preserve"> Movement CTP experience in the country</w:t>
      </w:r>
    </w:p>
    <w:p w14:paraId="74A61FCF" w14:textId="77777777" w:rsidR="008E36E0" w:rsidRPr="008E36E0" w:rsidRDefault="00F10808" w:rsidP="008E36E0">
      <w:pPr>
        <w:pStyle w:val="Explanation"/>
        <w:shd w:val="clear" w:color="auto" w:fill="auto"/>
        <w:ind w:left="0"/>
        <w:rPr>
          <w:rFonts w:ascii="Arial" w:hAnsi="Arial"/>
        </w:rPr>
      </w:pPr>
      <w:r w:rsidRPr="008E36E0">
        <w:rPr>
          <w:rFonts w:ascii="Arial" w:hAnsi="Arial" w:cs="Arial"/>
          <w:szCs w:val="22"/>
        </w:rPr>
        <w:t xml:space="preserve">Summarize all CTP experience in the country with locations and types of CTP and dates implemented </w:t>
      </w:r>
      <w:r w:rsidRPr="008E36E0">
        <w:rPr>
          <w:rFonts w:ascii="Arial" w:hAnsi="Arial"/>
        </w:rPr>
        <w:t>by the National Society and all other Movement actors</w:t>
      </w:r>
    </w:p>
    <w:p w14:paraId="33C12413" w14:textId="77777777" w:rsidR="00103BBA" w:rsidRDefault="00103BBA" w:rsidP="00103BBA">
      <w:pPr>
        <w:pStyle w:val="Info"/>
        <w:spacing w:after="0"/>
      </w:pPr>
    </w:p>
    <w:p w14:paraId="269A1C76" w14:textId="760D2194" w:rsidR="006E28A4" w:rsidRDefault="00F10808" w:rsidP="006E28A4">
      <w:pPr>
        <w:pStyle w:val="Info"/>
        <w:spacing w:after="0"/>
      </w:pPr>
      <w:r w:rsidRPr="002040EA">
        <w:t>This information will come from a secondary data review of National Society and Movement documents and from a team meeting with key stakeholders to discuss how best to summarize the level of past experience in country.</w:t>
      </w:r>
      <w:r w:rsidR="006E28A4" w:rsidRPr="006E28A4">
        <w:t xml:space="preserve"> </w:t>
      </w:r>
    </w:p>
    <w:p w14:paraId="0142ADAB" w14:textId="77777777" w:rsidR="006E28A4" w:rsidRPr="00CC6667" w:rsidRDefault="006E28A4" w:rsidP="006E28A4">
      <w:pPr>
        <w:pStyle w:val="Info"/>
      </w:pPr>
    </w:p>
    <w:p w14:paraId="3B5FA28D" w14:textId="241F48EE" w:rsidR="00F10808" w:rsidRPr="008E36E0" w:rsidRDefault="00F10808" w:rsidP="005657F2">
      <w:pPr>
        <w:pStyle w:val="NormalBold"/>
        <w:rPr>
          <w:i/>
        </w:rPr>
      </w:pPr>
      <w:r w:rsidRPr="008E36E0">
        <w:t>Brief overview of non-Red Cross Red Crescent actors with emergency CTP experience in the country</w:t>
      </w:r>
    </w:p>
    <w:p w14:paraId="13554F09" w14:textId="77777777" w:rsidR="008E36E0" w:rsidRPr="008E36E0" w:rsidRDefault="00F10808" w:rsidP="008E36E0">
      <w:pPr>
        <w:pStyle w:val="Explanation"/>
        <w:shd w:val="clear" w:color="auto" w:fill="auto"/>
        <w:ind w:left="0"/>
        <w:rPr>
          <w:rFonts w:ascii="Arial" w:hAnsi="Arial" w:cs="Arial"/>
          <w:szCs w:val="22"/>
        </w:rPr>
      </w:pPr>
      <w:r w:rsidRPr="008E36E0">
        <w:rPr>
          <w:rFonts w:ascii="Arial" w:hAnsi="Arial" w:cs="Arial"/>
          <w:szCs w:val="22"/>
        </w:rPr>
        <w:t xml:space="preserve">List the main external </w:t>
      </w:r>
      <w:proofErr w:type="spellStart"/>
      <w:r w:rsidRPr="008E36E0">
        <w:rPr>
          <w:rFonts w:ascii="Arial" w:hAnsi="Arial" w:cs="Arial"/>
          <w:szCs w:val="22"/>
        </w:rPr>
        <w:t>actors</w:t>
      </w:r>
      <w:proofErr w:type="spellEnd"/>
      <w:r w:rsidRPr="008E36E0">
        <w:rPr>
          <w:rFonts w:ascii="Arial" w:hAnsi="Arial" w:cs="Arial"/>
          <w:szCs w:val="22"/>
        </w:rPr>
        <w:t xml:space="preserve"> that have been involved in CTP in the country including Government, UN, INGOs and local NGOs and, if possible, provide an overview of where they have implemented their CTP activities and their current geographical presence. List any specific CTP coordination mechanisms in place, such as clusters or government coordinating bodies.</w:t>
      </w:r>
    </w:p>
    <w:p w14:paraId="4B586424" w14:textId="77777777" w:rsidR="006E28A4" w:rsidRDefault="006E28A4" w:rsidP="006E28A4">
      <w:pPr>
        <w:pStyle w:val="Info"/>
        <w:spacing w:after="0"/>
      </w:pPr>
    </w:p>
    <w:p w14:paraId="30D1C38A" w14:textId="1F63C483" w:rsidR="006E28A4" w:rsidRDefault="00F10808" w:rsidP="006E28A4">
      <w:pPr>
        <w:pStyle w:val="Info"/>
        <w:spacing w:after="0"/>
      </w:pPr>
      <w:r w:rsidRPr="002040EA">
        <w:t>This information will come from a secondary data review of documents and websites linked to previous emergencies and from key informant interviews. If a CTP coordination mechanism is in place this is the best starting point to identify and map key CTP external stakeholders and contact details.</w:t>
      </w:r>
      <w:r w:rsidR="006E28A4" w:rsidRPr="006E28A4">
        <w:t xml:space="preserve"> </w:t>
      </w:r>
    </w:p>
    <w:p w14:paraId="7A476111" w14:textId="77777777" w:rsidR="006E28A4" w:rsidRPr="00CC6667" w:rsidRDefault="006E28A4" w:rsidP="006E28A4">
      <w:pPr>
        <w:pStyle w:val="Info"/>
      </w:pPr>
    </w:p>
    <w:p w14:paraId="74069252" w14:textId="70CE2E43" w:rsidR="00F10808" w:rsidRPr="008E36E0" w:rsidRDefault="00F10808" w:rsidP="00F63614">
      <w:pPr>
        <w:pStyle w:val="Heading3"/>
      </w:pPr>
      <w:r w:rsidRPr="008E36E0">
        <w:lastRenderedPageBreak/>
        <w:t>III. National Society CTP preparedness level</w:t>
      </w:r>
    </w:p>
    <w:p w14:paraId="3B285B1C" w14:textId="77777777" w:rsidR="00F10808" w:rsidRPr="008E36E0" w:rsidRDefault="00F10808" w:rsidP="005657F2">
      <w:pPr>
        <w:pStyle w:val="NormalBold"/>
      </w:pPr>
      <w:r w:rsidRPr="008E36E0">
        <w:t>National Society</w:t>
      </w:r>
    </w:p>
    <w:p w14:paraId="5A277DC9" w14:textId="77777777" w:rsidR="008E36E0" w:rsidRPr="008E36E0" w:rsidRDefault="00F10808" w:rsidP="008E36E0">
      <w:pPr>
        <w:rPr>
          <w:i/>
        </w:rPr>
      </w:pPr>
      <w:r w:rsidRPr="008E36E0">
        <w:rPr>
          <w:i/>
        </w:rPr>
        <w:t xml:space="preserve">Describe the current enabling environment within the National Society in the country. Summarize the results of the self-assessment tool and the workshops conducted on CTP preparedness here. Include the extent to which CTP is incorporated into strategic plans, preparedness and contingency plans and the existence of Standard Operating Procedures (SOPs) for CTP. Include a summary of how appropriate the logistics and finance/administration systems are for CTP. </w:t>
      </w:r>
    </w:p>
    <w:tbl>
      <w:tblPr>
        <w:tblStyle w:val="TableGray"/>
        <w:tblW w:w="0" w:type="auto"/>
        <w:tblCellMar>
          <w:top w:w="28" w:type="dxa"/>
          <w:bottom w:w="28" w:type="dxa"/>
        </w:tblCellMar>
        <w:tblLook w:val="04A0" w:firstRow="1" w:lastRow="0" w:firstColumn="1" w:lastColumn="0" w:noHBand="0" w:noVBand="1"/>
      </w:tblPr>
      <w:tblGrid>
        <w:gridCol w:w="9854"/>
      </w:tblGrid>
      <w:tr w:rsidR="00C86A79" w:rsidRPr="00C86A79" w14:paraId="0BDE59C4" w14:textId="77777777" w:rsidTr="00147030">
        <w:tc>
          <w:tcPr>
            <w:tcW w:w="9854" w:type="dxa"/>
          </w:tcPr>
          <w:p w14:paraId="5BE30525" w14:textId="77777777" w:rsidR="001B6A2C" w:rsidRDefault="001B6A2C" w:rsidP="00F63614">
            <w:pPr>
              <w:pStyle w:val="Info"/>
              <w:spacing w:after="0"/>
            </w:pPr>
          </w:p>
          <w:p w14:paraId="5301EC98" w14:textId="4D12C2C2" w:rsidR="00C86A79" w:rsidRPr="00C86A79" w:rsidRDefault="00C86A79" w:rsidP="00F63614">
            <w:pPr>
              <w:pStyle w:val="Info"/>
              <w:spacing w:after="0"/>
            </w:pPr>
            <w:r w:rsidRPr="00C86A79">
              <w:t>This information will come from the self-assessment process and the CTP specific team meetings where the following questions are discussed:</w:t>
            </w:r>
            <w:r w:rsidR="006E28A4">
              <w:t xml:space="preserve"> </w:t>
            </w:r>
          </w:p>
        </w:tc>
      </w:tr>
      <w:tr w:rsidR="00C86A79" w:rsidRPr="00C86A79" w14:paraId="17367D77" w14:textId="77777777" w:rsidTr="00147030">
        <w:tc>
          <w:tcPr>
            <w:tcW w:w="9854" w:type="dxa"/>
          </w:tcPr>
          <w:p w14:paraId="6C265FCF" w14:textId="77777777" w:rsidR="00C86A79" w:rsidRPr="00C86A79" w:rsidRDefault="00C86A79" w:rsidP="00C86A79">
            <w:pPr>
              <w:pStyle w:val="ExplanationList"/>
              <w:spacing w:after="0"/>
              <w:ind w:right="0"/>
            </w:pPr>
            <w:r w:rsidRPr="00C86A79">
              <w:t>To what extent is there active support from National Society senior leadership?</w:t>
            </w:r>
          </w:p>
        </w:tc>
      </w:tr>
      <w:tr w:rsidR="00C86A79" w:rsidRPr="00C86A79" w14:paraId="360D2C94" w14:textId="77777777" w:rsidTr="00147030">
        <w:tc>
          <w:tcPr>
            <w:tcW w:w="9854" w:type="dxa"/>
          </w:tcPr>
          <w:p w14:paraId="2077FC0C" w14:textId="77777777" w:rsidR="00C86A79" w:rsidRPr="00C86A79" w:rsidRDefault="00C86A79" w:rsidP="00C86A79">
            <w:pPr>
              <w:pStyle w:val="ExplanationList"/>
              <w:spacing w:after="0"/>
              <w:ind w:right="0"/>
            </w:pPr>
            <w:r w:rsidRPr="00C86A79">
              <w:t>To what extent is there active support from National Society NHQ and branches?</w:t>
            </w:r>
          </w:p>
        </w:tc>
      </w:tr>
      <w:tr w:rsidR="00C86A79" w:rsidRPr="00C86A79" w14:paraId="28AC981E" w14:textId="77777777" w:rsidTr="00147030">
        <w:tc>
          <w:tcPr>
            <w:tcW w:w="9854" w:type="dxa"/>
          </w:tcPr>
          <w:p w14:paraId="327409E6" w14:textId="77777777" w:rsidR="00C86A79" w:rsidRPr="00C86A79" w:rsidRDefault="00C86A79" w:rsidP="00C86A79">
            <w:pPr>
              <w:pStyle w:val="ExplanationList"/>
              <w:spacing w:after="0"/>
              <w:ind w:right="0"/>
            </w:pPr>
            <w:r w:rsidRPr="00C86A79">
              <w:t>How consistently has cash transfer been considered as a response option?</w:t>
            </w:r>
          </w:p>
        </w:tc>
      </w:tr>
      <w:tr w:rsidR="00C86A79" w:rsidRPr="00C86A79" w14:paraId="470DB6A9" w14:textId="77777777" w:rsidTr="00147030">
        <w:tc>
          <w:tcPr>
            <w:tcW w:w="9854" w:type="dxa"/>
          </w:tcPr>
          <w:p w14:paraId="00548F65" w14:textId="77777777" w:rsidR="00C86A79" w:rsidRPr="00C86A79" w:rsidRDefault="00C86A79" w:rsidP="00C86A79">
            <w:pPr>
              <w:pStyle w:val="ExplanationList"/>
              <w:spacing w:after="0"/>
              <w:ind w:right="0"/>
            </w:pPr>
            <w:r w:rsidRPr="00C86A79">
              <w:t>Are there standardized processes in place for CTP, including the segregation of duties to implement CTP effectively?</w:t>
            </w:r>
          </w:p>
        </w:tc>
      </w:tr>
      <w:tr w:rsidR="00C86A79" w:rsidRPr="00C86A79" w14:paraId="55512207" w14:textId="77777777" w:rsidTr="00147030">
        <w:tc>
          <w:tcPr>
            <w:tcW w:w="9854" w:type="dxa"/>
          </w:tcPr>
          <w:p w14:paraId="7425483C" w14:textId="77777777" w:rsidR="00C86A79" w:rsidRPr="00C86A79" w:rsidRDefault="00C86A79" w:rsidP="00C86A79">
            <w:pPr>
              <w:pStyle w:val="ExplanationList"/>
              <w:spacing w:after="0"/>
              <w:ind w:right="0"/>
            </w:pPr>
            <w:r w:rsidRPr="00C86A79">
              <w:t>To what extent are the standardized processes utilized at all levels (NHQ, chapter, and subchapter)?</w:t>
            </w:r>
          </w:p>
        </w:tc>
      </w:tr>
      <w:tr w:rsidR="00C86A79" w:rsidRPr="00C86A79" w14:paraId="410576AB" w14:textId="77777777" w:rsidTr="00147030">
        <w:tc>
          <w:tcPr>
            <w:tcW w:w="9854" w:type="dxa"/>
          </w:tcPr>
          <w:p w14:paraId="24934687" w14:textId="77777777" w:rsidR="00C86A79" w:rsidRPr="00C86A79" w:rsidRDefault="00C86A79" w:rsidP="00C86A79">
            <w:pPr>
              <w:pStyle w:val="ExplanationList"/>
              <w:spacing w:after="0"/>
              <w:ind w:right="0"/>
            </w:pPr>
            <w:r w:rsidRPr="00C86A79">
              <w:t>How integrated is CTP into the contingency plans?</w:t>
            </w:r>
          </w:p>
        </w:tc>
      </w:tr>
      <w:tr w:rsidR="00C86A79" w:rsidRPr="00C86A79" w14:paraId="4E91BE24" w14:textId="77777777" w:rsidTr="00147030">
        <w:tc>
          <w:tcPr>
            <w:tcW w:w="9854" w:type="dxa"/>
          </w:tcPr>
          <w:p w14:paraId="09A65EDB" w14:textId="77777777" w:rsidR="00C86A79" w:rsidRPr="00C86A79" w:rsidRDefault="00C86A79" w:rsidP="00C86A79">
            <w:pPr>
              <w:pStyle w:val="ExplanationList"/>
              <w:spacing w:after="0"/>
              <w:ind w:right="0"/>
            </w:pPr>
            <w:r w:rsidRPr="00C86A79">
              <w:t>What preference does the National Society have for different cash transfer modalities and what are the reasons behind this?</w:t>
            </w:r>
          </w:p>
        </w:tc>
      </w:tr>
      <w:tr w:rsidR="00C86A79" w:rsidRPr="00C86A79" w14:paraId="3253F60F" w14:textId="77777777" w:rsidTr="00147030">
        <w:tc>
          <w:tcPr>
            <w:tcW w:w="9854" w:type="dxa"/>
          </w:tcPr>
          <w:p w14:paraId="23590926" w14:textId="77777777" w:rsidR="00C86A79" w:rsidRDefault="00C86A79" w:rsidP="00C86A79">
            <w:pPr>
              <w:pStyle w:val="ExplanationList"/>
              <w:spacing w:after="0"/>
              <w:ind w:right="0"/>
            </w:pPr>
            <w:proofErr w:type="gramStart"/>
            <w:r w:rsidRPr="00C86A79">
              <w:t>Are</w:t>
            </w:r>
            <w:proofErr w:type="gramEnd"/>
            <w:r w:rsidRPr="00C86A79">
              <w:t xml:space="preserve"> any cash transfer modalities ruled out because of government or National Societies policies?</w:t>
            </w:r>
          </w:p>
          <w:p w14:paraId="483848F7" w14:textId="77777777" w:rsidR="001B6A2C" w:rsidRPr="00C86A79" w:rsidRDefault="001B6A2C" w:rsidP="001B6A2C">
            <w:pPr>
              <w:pStyle w:val="ExplanationList"/>
              <w:numPr>
                <w:ilvl w:val="0"/>
                <w:numId w:val="0"/>
              </w:numPr>
              <w:spacing w:after="0"/>
              <w:ind w:left="720" w:right="0"/>
            </w:pPr>
          </w:p>
        </w:tc>
      </w:tr>
    </w:tbl>
    <w:p w14:paraId="663FF800" w14:textId="6CED2A15" w:rsidR="00F10808" w:rsidRPr="008E36E0" w:rsidRDefault="00F10808" w:rsidP="00CC6667">
      <w:pPr>
        <w:pStyle w:val="Heading3"/>
      </w:pPr>
      <w:r w:rsidRPr="008E36E0">
        <w:t>IV. Movement CTP capacity</w:t>
      </w:r>
    </w:p>
    <w:p w14:paraId="3F1A179A" w14:textId="459B77C6" w:rsidR="00F10808" w:rsidRPr="008E36E0" w:rsidRDefault="00F10808" w:rsidP="005657F2">
      <w:pPr>
        <w:pStyle w:val="NormalBold"/>
      </w:pPr>
      <w:r w:rsidRPr="008E36E0">
        <w:t>Movement capacity</w:t>
      </w:r>
    </w:p>
    <w:p w14:paraId="0FC13121" w14:textId="77777777" w:rsidR="008E36E0" w:rsidRPr="008E36E0" w:rsidRDefault="00F10808" w:rsidP="008E36E0">
      <w:pPr>
        <w:tabs>
          <w:tab w:val="left" w:pos="0"/>
        </w:tabs>
        <w:rPr>
          <w:rFonts w:eastAsia="Times New Roman" w:cstheme="minorHAnsi"/>
          <w:bCs/>
          <w:i/>
        </w:rPr>
      </w:pPr>
      <w:r w:rsidRPr="008E36E0">
        <w:rPr>
          <w:rFonts w:eastAsia="Times New Roman" w:cstheme="minorHAnsi"/>
          <w:bCs/>
          <w:i/>
        </w:rPr>
        <w:t>Describe the Movement’s capacity to implement CTP in the country to respond to an emergency.</w:t>
      </w:r>
    </w:p>
    <w:tbl>
      <w:tblPr>
        <w:tblStyle w:val="TableGray"/>
        <w:tblW w:w="0" w:type="auto"/>
        <w:tblCellMar>
          <w:top w:w="28" w:type="dxa"/>
          <w:bottom w:w="28" w:type="dxa"/>
        </w:tblCellMar>
        <w:tblLook w:val="04A0" w:firstRow="1" w:lastRow="0" w:firstColumn="1" w:lastColumn="0" w:noHBand="0" w:noVBand="1"/>
      </w:tblPr>
      <w:tblGrid>
        <w:gridCol w:w="9854"/>
      </w:tblGrid>
      <w:tr w:rsidR="00C86A79" w:rsidRPr="00C86A79" w14:paraId="3C8E3173" w14:textId="77777777" w:rsidTr="00147030">
        <w:tc>
          <w:tcPr>
            <w:tcW w:w="9854" w:type="dxa"/>
          </w:tcPr>
          <w:p w14:paraId="76869EDF" w14:textId="77777777" w:rsidR="001B6A2C" w:rsidRDefault="001B6A2C" w:rsidP="001B6A2C">
            <w:pPr>
              <w:pStyle w:val="Info"/>
              <w:spacing w:after="0"/>
            </w:pPr>
          </w:p>
          <w:p w14:paraId="127F668F" w14:textId="63C67081" w:rsidR="00C86A79" w:rsidRPr="00C86A79" w:rsidRDefault="00C86A79" w:rsidP="00F63614">
            <w:pPr>
              <w:pStyle w:val="Info"/>
              <w:spacing w:after="0"/>
            </w:pPr>
            <w:r w:rsidRPr="00C86A79">
              <w:t>This information will come from discussions in a team meeting with Logistics, Administration/Finance, Security, IT, HR, Legal and Programme departments to identify current capacity in terms of systems and procedures. Note that this is slightly different from the institutional buy-in and preparedness described under section II. CTP-specific meetings should identify capacity for each identified cash transfer modality and mechanism by answering the following questions:</w:t>
            </w:r>
            <w:r w:rsidR="006E28A4">
              <w:t xml:space="preserve"> </w:t>
            </w:r>
          </w:p>
        </w:tc>
      </w:tr>
      <w:tr w:rsidR="00C86A79" w:rsidRPr="00F63614" w14:paraId="7F3B6D80" w14:textId="77777777" w:rsidTr="00147030">
        <w:tc>
          <w:tcPr>
            <w:tcW w:w="9854" w:type="dxa"/>
          </w:tcPr>
          <w:p w14:paraId="360BD6C7" w14:textId="77777777" w:rsidR="00C86A79" w:rsidRPr="00F63614" w:rsidRDefault="00C86A79" w:rsidP="001B6A2C">
            <w:pPr>
              <w:pStyle w:val="Explanation"/>
              <w:shd w:val="clear" w:color="auto" w:fill="auto"/>
              <w:spacing w:before="120" w:after="0"/>
              <w:ind w:left="0" w:right="0"/>
              <w:rPr>
                <w:rFonts w:ascii="Arial" w:hAnsi="Arial" w:cs="Arial"/>
                <w:sz w:val="18"/>
                <w:szCs w:val="18"/>
              </w:rPr>
            </w:pPr>
            <w:r w:rsidRPr="00F63614">
              <w:rPr>
                <w:rFonts w:ascii="Arial" w:hAnsi="Arial" w:cs="Arial"/>
                <w:sz w:val="18"/>
                <w:szCs w:val="18"/>
              </w:rPr>
              <w:t>CTP specific human resource capacity:</w:t>
            </w:r>
          </w:p>
        </w:tc>
      </w:tr>
      <w:tr w:rsidR="00C86A79" w:rsidRPr="00C86A79" w14:paraId="549498B9" w14:textId="77777777" w:rsidTr="00147030">
        <w:tc>
          <w:tcPr>
            <w:tcW w:w="9854" w:type="dxa"/>
          </w:tcPr>
          <w:p w14:paraId="25E4C635" w14:textId="77777777" w:rsidR="00C86A79" w:rsidRPr="00C86A79" w:rsidRDefault="00C86A79" w:rsidP="00C86A79">
            <w:pPr>
              <w:pStyle w:val="ExplanationList"/>
              <w:numPr>
                <w:ilvl w:val="0"/>
                <w:numId w:val="8"/>
              </w:numPr>
              <w:spacing w:after="0"/>
              <w:ind w:right="0"/>
            </w:pPr>
            <w:r w:rsidRPr="00C86A79">
              <w:t>Is there a focal point dedicated to CTP?</w:t>
            </w:r>
          </w:p>
        </w:tc>
      </w:tr>
      <w:tr w:rsidR="00C86A79" w:rsidRPr="00C86A79" w14:paraId="0555E7F4" w14:textId="77777777" w:rsidTr="00147030">
        <w:tc>
          <w:tcPr>
            <w:tcW w:w="9854" w:type="dxa"/>
          </w:tcPr>
          <w:p w14:paraId="63B3D742" w14:textId="77777777" w:rsidR="00C86A79" w:rsidRPr="00C86A79" w:rsidRDefault="00C86A79" w:rsidP="00C86A79">
            <w:pPr>
              <w:pStyle w:val="ExplanationList"/>
              <w:spacing w:after="0"/>
              <w:ind w:right="0"/>
            </w:pPr>
            <w:r w:rsidRPr="00C86A79">
              <w:t>Is knowledge development of CTP promoted within National Society staff?</w:t>
            </w:r>
          </w:p>
        </w:tc>
      </w:tr>
      <w:tr w:rsidR="00C86A79" w:rsidRPr="00C86A79" w14:paraId="43CCA3E3" w14:textId="77777777" w:rsidTr="00147030">
        <w:tc>
          <w:tcPr>
            <w:tcW w:w="9854" w:type="dxa"/>
          </w:tcPr>
          <w:p w14:paraId="4BB04179" w14:textId="77777777" w:rsidR="00C86A79" w:rsidRPr="00C86A79" w:rsidRDefault="00C86A79" w:rsidP="00C86A79">
            <w:pPr>
              <w:pStyle w:val="ExplanationList"/>
              <w:spacing w:after="0"/>
              <w:ind w:right="0"/>
            </w:pPr>
            <w:r w:rsidRPr="00C86A79">
              <w:t>To what extent do we have enough critical mass trained in CTP for effective CTP delivery?</w:t>
            </w:r>
          </w:p>
        </w:tc>
      </w:tr>
      <w:tr w:rsidR="00C86A79" w:rsidRPr="00F63614" w14:paraId="5B3058DD" w14:textId="77777777" w:rsidTr="00147030">
        <w:tc>
          <w:tcPr>
            <w:tcW w:w="9854" w:type="dxa"/>
          </w:tcPr>
          <w:p w14:paraId="1CB808A5" w14:textId="77777777" w:rsidR="00C86A79" w:rsidRPr="00F63614" w:rsidRDefault="00C86A79" w:rsidP="001B6A2C">
            <w:pPr>
              <w:pStyle w:val="Explanation"/>
              <w:shd w:val="clear" w:color="auto" w:fill="auto"/>
              <w:spacing w:after="0"/>
              <w:ind w:left="0" w:right="0"/>
              <w:rPr>
                <w:rFonts w:ascii="Arial" w:hAnsi="Arial" w:cs="Arial"/>
                <w:sz w:val="18"/>
                <w:szCs w:val="18"/>
              </w:rPr>
            </w:pPr>
            <w:r w:rsidRPr="00F63614">
              <w:rPr>
                <w:rFonts w:ascii="Arial" w:hAnsi="Arial" w:cs="Arial"/>
                <w:sz w:val="18"/>
                <w:szCs w:val="18"/>
              </w:rPr>
              <w:t xml:space="preserve">CTP specific resource </w:t>
            </w:r>
            <w:proofErr w:type="spellStart"/>
            <w:r w:rsidRPr="00F63614">
              <w:rPr>
                <w:rFonts w:ascii="Arial" w:hAnsi="Arial" w:cs="Arial"/>
                <w:sz w:val="18"/>
                <w:szCs w:val="18"/>
              </w:rPr>
              <w:t>mobilisation</w:t>
            </w:r>
            <w:proofErr w:type="spellEnd"/>
            <w:r w:rsidRPr="00F63614">
              <w:rPr>
                <w:rFonts w:ascii="Arial" w:hAnsi="Arial" w:cs="Arial"/>
                <w:sz w:val="18"/>
                <w:szCs w:val="18"/>
              </w:rPr>
              <w:t xml:space="preserve"> capacity:</w:t>
            </w:r>
          </w:p>
        </w:tc>
      </w:tr>
      <w:tr w:rsidR="00C86A79" w:rsidRPr="00C86A79" w14:paraId="4053A3DB" w14:textId="77777777" w:rsidTr="00147030">
        <w:tc>
          <w:tcPr>
            <w:tcW w:w="9854" w:type="dxa"/>
          </w:tcPr>
          <w:p w14:paraId="68CDF597" w14:textId="77777777" w:rsidR="00C86A79" w:rsidRPr="00C86A79" w:rsidRDefault="00C86A79" w:rsidP="00C86A79">
            <w:pPr>
              <w:pStyle w:val="ExplanationList"/>
              <w:numPr>
                <w:ilvl w:val="0"/>
                <w:numId w:val="6"/>
              </w:numPr>
              <w:spacing w:after="0"/>
              <w:ind w:right="0"/>
            </w:pPr>
            <w:r w:rsidRPr="00C86A79">
              <w:t>Can the National Society fundraise effectively for CTP?</w:t>
            </w:r>
          </w:p>
        </w:tc>
      </w:tr>
      <w:tr w:rsidR="00C86A79" w:rsidRPr="00C86A79" w14:paraId="20EECB08" w14:textId="77777777" w:rsidTr="00147030">
        <w:tc>
          <w:tcPr>
            <w:tcW w:w="9854" w:type="dxa"/>
          </w:tcPr>
          <w:p w14:paraId="63C1E804" w14:textId="77777777" w:rsidR="00C86A79" w:rsidRPr="00C86A79" w:rsidRDefault="00C86A79" w:rsidP="00C86A79">
            <w:pPr>
              <w:pStyle w:val="ExplanationList"/>
              <w:spacing w:after="0"/>
              <w:ind w:right="0"/>
            </w:pPr>
            <w:r w:rsidRPr="00C86A79">
              <w:t>Are technical systems and skills in place to manage CTP budgets effectively?</w:t>
            </w:r>
          </w:p>
        </w:tc>
      </w:tr>
      <w:tr w:rsidR="00C86A79" w:rsidRPr="00C86A79" w14:paraId="1B43D6CD" w14:textId="77777777" w:rsidTr="00147030">
        <w:tc>
          <w:tcPr>
            <w:tcW w:w="9854" w:type="dxa"/>
          </w:tcPr>
          <w:p w14:paraId="03EFA2C3" w14:textId="77777777" w:rsidR="00C86A79" w:rsidRPr="00C86A79" w:rsidRDefault="00C86A79" w:rsidP="00C86A79">
            <w:pPr>
              <w:pStyle w:val="ExplanationList"/>
              <w:spacing w:after="0"/>
              <w:ind w:right="0"/>
            </w:pPr>
            <w:r w:rsidRPr="00C86A79">
              <w:t>What is the current ability to make sound and informed cost-efficiency decisions</w:t>
            </w:r>
          </w:p>
        </w:tc>
      </w:tr>
      <w:tr w:rsidR="00C86A79" w:rsidRPr="00F63614" w14:paraId="17670F6C" w14:textId="77777777" w:rsidTr="00147030">
        <w:tc>
          <w:tcPr>
            <w:tcW w:w="9854" w:type="dxa"/>
          </w:tcPr>
          <w:p w14:paraId="149446A6" w14:textId="77777777" w:rsidR="00C86A79" w:rsidRPr="00F63614" w:rsidRDefault="00C86A79" w:rsidP="001B6A2C">
            <w:pPr>
              <w:pStyle w:val="Explanation"/>
              <w:shd w:val="clear" w:color="auto" w:fill="auto"/>
              <w:spacing w:after="0"/>
              <w:ind w:left="0" w:right="0"/>
              <w:rPr>
                <w:rFonts w:ascii="Arial" w:hAnsi="Arial" w:cs="Arial"/>
                <w:sz w:val="18"/>
                <w:szCs w:val="18"/>
              </w:rPr>
            </w:pPr>
            <w:r w:rsidRPr="00F63614">
              <w:rPr>
                <w:rFonts w:ascii="Arial" w:hAnsi="Arial" w:cs="Arial"/>
                <w:sz w:val="18"/>
                <w:szCs w:val="18"/>
              </w:rPr>
              <w:t>CTP specific operational capacity:</w:t>
            </w:r>
          </w:p>
        </w:tc>
      </w:tr>
      <w:tr w:rsidR="00C86A79" w:rsidRPr="00C86A79" w14:paraId="644CE301" w14:textId="77777777" w:rsidTr="00147030">
        <w:tc>
          <w:tcPr>
            <w:tcW w:w="9854" w:type="dxa"/>
          </w:tcPr>
          <w:p w14:paraId="67C74FCA" w14:textId="77777777" w:rsidR="00C86A79" w:rsidRPr="00C86A79" w:rsidRDefault="00C86A79" w:rsidP="00C86A79">
            <w:pPr>
              <w:pStyle w:val="ExplanationList"/>
              <w:keepNext/>
              <w:numPr>
                <w:ilvl w:val="0"/>
                <w:numId w:val="7"/>
              </w:numPr>
              <w:spacing w:after="0"/>
              <w:ind w:right="0"/>
            </w:pPr>
            <w:r w:rsidRPr="00C86A79">
              <w:t>Is sufficient infrastructure and equipment in place for scaling up CTP?</w:t>
            </w:r>
          </w:p>
        </w:tc>
      </w:tr>
      <w:tr w:rsidR="00C86A79" w:rsidRPr="00C86A79" w14:paraId="407D5823" w14:textId="77777777" w:rsidTr="00147030">
        <w:tc>
          <w:tcPr>
            <w:tcW w:w="9854" w:type="dxa"/>
          </w:tcPr>
          <w:p w14:paraId="74AD8968" w14:textId="77777777" w:rsidR="00C86A79" w:rsidRPr="00C86A79" w:rsidRDefault="00C86A79" w:rsidP="00C86A79">
            <w:pPr>
              <w:pStyle w:val="ExplanationList"/>
              <w:keepNext/>
              <w:spacing w:after="0"/>
              <w:ind w:right="0"/>
            </w:pPr>
            <w:r w:rsidRPr="00C86A79">
              <w:t>Is the right technology in place to manage cash transfers (registration and management of beneficiary data; management of payments)?</w:t>
            </w:r>
          </w:p>
        </w:tc>
      </w:tr>
      <w:tr w:rsidR="00C86A79" w:rsidRPr="00C86A79" w14:paraId="740030C1" w14:textId="77777777" w:rsidTr="00147030">
        <w:tc>
          <w:tcPr>
            <w:tcW w:w="9854" w:type="dxa"/>
          </w:tcPr>
          <w:p w14:paraId="23AB0C36" w14:textId="77777777" w:rsidR="00C86A79" w:rsidRPr="00C86A79" w:rsidRDefault="00C86A79" w:rsidP="00C86A79">
            <w:pPr>
              <w:pStyle w:val="ExplanationList"/>
              <w:spacing w:after="0"/>
              <w:ind w:right="0"/>
            </w:pPr>
            <w:r w:rsidRPr="00C86A79">
              <w:t>Are M&amp;E systems in place to capture CTP process?</w:t>
            </w:r>
          </w:p>
        </w:tc>
      </w:tr>
      <w:tr w:rsidR="00C86A79" w:rsidRPr="00C86A79" w14:paraId="3B3352B0" w14:textId="77777777" w:rsidTr="00147030">
        <w:tc>
          <w:tcPr>
            <w:tcW w:w="9854" w:type="dxa"/>
          </w:tcPr>
          <w:p w14:paraId="24DD4473" w14:textId="77777777" w:rsidR="001B6A2C" w:rsidRDefault="00C86A79" w:rsidP="001B6A2C">
            <w:pPr>
              <w:pStyle w:val="ExplanationList"/>
              <w:spacing w:after="0"/>
              <w:ind w:left="714" w:right="0" w:hanging="357"/>
            </w:pPr>
            <w:r w:rsidRPr="00C86A79">
              <w:t>Are methodologies in place for beneficiary mobilization, verification and follow-up?</w:t>
            </w:r>
          </w:p>
          <w:p w14:paraId="465B64B5" w14:textId="28822BF6" w:rsidR="001B6A2C" w:rsidRPr="00C86A79" w:rsidRDefault="001B6A2C" w:rsidP="001B6A2C">
            <w:pPr>
              <w:pStyle w:val="ExplanationList"/>
              <w:numPr>
                <w:ilvl w:val="0"/>
                <w:numId w:val="0"/>
              </w:numPr>
              <w:spacing w:after="0"/>
              <w:ind w:left="720" w:right="0"/>
            </w:pPr>
          </w:p>
        </w:tc>
      </w:tr>
    </w:tbl>
    <w:p w14:paraId="7E5411A2" w14:textId="77978CCF" w:rsidR="00F10808" w:rsidRPr="008E36E0" w:rsidRDefault="00F10808" w:rsidP="00CC6667">
      <w:pPr>
        <w:pStyle w:val="Heading3"/>
      </w:pPr>
      <w:r w:rsidRPr="008E36E0">
        <w:t>V. CTP enabling context</w:t>
      </w:r>
    </w:p>
    <w:p w14:paraId="7A3580B7" w14:textId="77777777" w:rsidR="00F10808" w:rsidRPr="008E36E0" w:rsidRDefault="00F10808" w:rsidP="005657F2">
      <w:pPr>
        <w:pStyle w:val="NormalBold"/>
      </w:pPr>
      <w:r w:rsidRPr="008E36E0">
        <w:t>Government policies</w:t>
      </w:r>
    </w:p>
    <w:p w14:paraId="45F427D7" w14:textId="77777777" w:rsidR="008E36E0" w:rsidRPr="008E36E0" w:rsidRDefault="00F10808" w:rsidP="008E36E0">
      <w:pPr>
        <w:rPr>
          <w:i/>
        </w:rPr>
      </w:pPr>
      <w:r w:rsidRPr="008E36E0">
        <w:rPr>
          <w:i/>
        </w:rPr>
        <w:t>Describe and identify any government policies that may affect the choice of CTP modalities and delivery mechanisms. Describe existing safety net policies and programmes in order to understand how a potential cash response could be aligned with them.</w:t>
      </w:r>
    </w:p>
    <w:p w14:paraId="5397A2E3" w14:textId="77777777" w:rsidR="006E28A4" w:rsidRDefault="006E28A4" w:rsidP="001B6A2C">
      <w:pPr>
        <w:pStyle w:val="Info"/>
        <w:keepNext/>
        <w:keepLines/>
        <w:spacing w:after="0"/>
      </w:pPr>
    </w:p>
    <w:p w14:paraId="36C6B19C" w14:textId="77777777" w:rsidR="006E28A4" w:rsidRDefault="00F10808" w:rsidP="001B6A2C">
      <w:pPr>
        <w:pStyle w:val="Info"/>
        <w:keepNext/>
        <w:keepLines/>
        <w:spacing w:after="0"/>
      </w:pPr>
      <w:r w:rsidRPr="002040EA">
        <w:t xml:space="preserve">This information can be obtained from secondary data, previous sector studies and reviews and government and sector </w:t>
      </w:r>
      <w:proofErr w:type="gramStart"/>
      <w:r w:rsidRPr="002040EA">
        <w:t>websites,</w:t>
      </w:r>
      <w:proofErr w:type="gramEnd"/>
      <w:r w:rsidRPr="002040EA">
        <w:t xml:space="preserve"> and from interviews with representatives from local authorities.</w:t>
      </w:r>
    </w:p>
    <w:p w14:paraId="3AAC14CB" w14:textId="77777777" w:rsidR="006E28A4" w:rsidRPr="00CC6667" w:rsidRDefault="006E28A4" w:rsidP="001B6A2C">
      <w:pPr>
        <w:pStyle w:val="Info"/>
        <w:keepNext/>
        <w:keepLines/>
        <w:spacing w:after="0"/>
      </w:pPr>
    </w:p>
    <w:p w14:paraId="6EAB933F" w14:textId="42A93E4B" w:rsidR="00F10808" w:rsidRPr="008E36E0" w:rsidRDefault="00F10808" w:rsidP="005657F2">
      <w:pPr>
        <w:pStyle w:val="NormalBold"/>
      </w:pPr>
      <w:r w:rsidRPr="008E36E0">
        <w:t>Community and households</w:t>
      </w:r>
    </w:p>
    <w:p w14:paraId="29EC200E" w14:textId="77777777" w:rsidR="008E36E0" w:rsidRPr="008E36E0" w:rsidRDefault="00F10808" w:rsidP="008E36E0">
      <w:pPr>
        <w:rPr>
          <w:i/>
        </w:rPr>
      </w:pPr>
      <w:r w:rsidRPr="008E36E0">
        <w:rPr>
          <w:i/>
        </w:rPr>
        <w:t xml:space="preserve">Describe community and household access to, use of and preferences regarding cash. Identify and quantify the priority (food and non-food) baskets and livelihood needs of the vulnerable households. </w:t>
      </w:r>
    </w:p>
    <w:p w14:paraId="7B50B8AD" w14:textId="77777777" w:rsidR="006E28A4" w:rsidRDefault="006E28A4" w:rsidP="006E28A4">
      <w:pPr>
        <w:pStyle w:val="Info"/>
        <w:spacing w:after="0"/>
      </w:pPr>
    </w:p>
    <w:p w14:paraId="7AB19F31" w14:textId="0DE137FB" w:rsidR="006E28A4" w:rsidRDefault="00F10808" w:rsidP="006E28A4">
      <w:pPr>
        <w:pStyle w:val="Info"/>
        <w:spacing w:after="0"/>
      </w:pPr>
      <w:r w:rsidRPr="002040EA">
        <w:t>This information will come from secondary sources, like national expenditure and income surveys livelihoods surveys and market monitoring data.  Information on community access, use and preferences can be also directly obtained from discussions with community groups or key informants. The cost of a typical food and non-food basket can be obtained through simple calculations.</w:t>
      </w:r>
      <w:r w:rsidR="006E28A4" w:rsidRPr="006E28A4">
        <w:t xml:space="preserve"> </w:t>
      </w:r>
    </w:p>
    <w:p w14:paraId="0B351131" w14:textId="77777777" w:rsidR="006E28A4" w:rsidRPr="00CC6667" w:rsidRDefault="006E28A4" w:rsidP="006E28A4">
      <w:pPr>
        <w:pStyle w:val="Info"/>
        <w:spacing w:after="0"/>
      </w:pPr>
    </w:p>
    <w:p w14:paraId="685B8ECD" w14:textId="3FEEB5A1" w:rsidR="00F10808" w:rsidRPr="008E36E0" w:rsidRDefault="00F10808" w:rsidP="005657F2">
      <w:pPr>
        <w:pStyle w:val="NormalBold"/>
      </w:pPr>
      <w:r w:rsidRPr="008E36E0">
        <w:t>CTP service providers</w:t>
      </w:r>
    </w:p>
    <w:p w14:paraId="145BDB3F" w14:textId="77777777" w:rsidR="008E36E0" w:rsidRPr="008E36E0" w:rsidRDefault="00F10808" w:rsidP="008E36E0">
      <w:pPr>
        <w:rPr>
          <w:i/>
        </w:rPr>
      </w:pPr>
      <w:r w:rsidRPr="008E36E0">
        <w:rPr>
          <w:i/>
        </w:rPr>
        <w:t>Describe the CTP service providers and delivery mechanism in the country. Include financial service providers such as banks, remittance companies, post offices, security companies, mobile phone companies using knowledge from Programme, Administration/Finance and Logistic departments. If possible, include in an annex all cash delivery or payment mechanisms identified.</w:t>
      </w:r>
    </w:p>
    <w:p w14:paraId="62C9B95C" w14:textId="77777777" w:rsidR="006E28A4" w:rsidRDefault="006E28A4" w:rsidP="006E28A4">
      <w:pPr>
        <w:pStyle w:val="Info"/>
        <w:spacing w:after="0"/>
      </w:pPr>
    </w:p>
    <w:p w14:paraId="41DA271C" w14:textId="54090089" w:rsidR="006E28A4" w:rsidRDefault="00F10808" w:rsidP="006E28A4">
      <w:pPr>
        <w:pStyle w:val="Info"/>
        <w:spacing w:after="0"/>
      </w:pPr>
      <w:r w:rsidRPr="002040EA">
        <w:t>This information will come from a secondary data review and key informant interviews with service providers and can be presented in a table format; this allows you to map different delivery mechanisms and their features.  The findings of the mapping should be discussed in a CTP-specific meeting with key stakeholders to carry out a SWOT analysis for each service provider and identify clearly the pros and cons of working with each of them.</w:t>
      </w:r>
      <w:r w:rsidR="006E28A4" w:rsidRPr="006E28A4">
        <w:t xml:space="preserve"> </w:t>
      </w:r>
    </w:p>
    <w:p w14:paraId="691B368F" w14:textId="77777777" w:rsidR="006E28A4" w:rsidRPr="00CC6667" w:rsidRDefault="006E28A4" w:rsidP="006E28A4">
      <w:pPr>
        <w:pStyle w:val="Info"/>
        <w:spacing w:after="0"/>
      </w:pPr>
    </w:p>
    <w:p w14:paraId="784B1B3A" w14:textId="22F6B3E4" w:rsidR="00F10808" w:rsidRPr="008E36E0" w:rsidRDefault="00F10808" w:rsidP="005657F2">
      <w:pPr>
        <w:pStyle w:val="NormalBold"/>
      </w:pPr>
      <w:r w:rsidRPr="008E36E0">
        <w:t xml:space="preserve">Market assessment and analysis </w:t>
      </w:r>
    </w:p>
    <w:p w14:paraId="09DC95D7" w14:textId="77777777" w:rsidR="008E36E0" w:rsidRPr="008E36E0" w:rsidRDefault="00F10808" w:rsidP="008E36E0">
      <w:pPr>
        <w:rPr>
          <w:i/>
        </w:rPr>
      </w:pPr>
      <w:r w:rsidRPr="008E36E0">
        <w:rPr>
          <w:i/>
        </w:rPr>
        <w:t>Describe the main market systems and actors and their capacity to supply different goods. Include a description of the access to markets of populations identified in section II. Include price monitoring information for food and non-food items that you have identified as being priority goods for disaster and conflict-affected households.</w:t>
      </w:r>
    </w:p>
    <w:p w14:paraId="6F883601" w14:textId="77777777" w:rsidR="006E28A4" w:rsidRDefault="006E28A4" w:rsidP="006E28A4">
      <w:pPr>
        <w:pStyle w:val="Info"/>
        <w:spacing w:after="0"/>
      </w:pPr>
    </w:p>
    <w:p w14:paraId="64C960EE" w14:textId="2240569D" w:rsidR="006E28A4" w:rsidRDefault="00F10808" w:rsidP="006E28A4">
      <w:pPr>
        <w:pStyle w:val="Info"/>
        <w:spacing w:after="0"/>
      </w:pPr>
      <w:r w:rsidRPr="002040EA">
        <w:t>This information will come from the findings of the MAG tool, which provides specific questionnaires and tools to gather market-specific baseline information, monitor prices and develop market maps. Market analysis will focus on the priority food and non-food items for those vulnerable groups, which are prone to disaster and conflict.</w:t>
      </w:r>
      <w:r w:rsidR="006E28A4" w:rsidRPr="006E28A4">
        <w:t xml:space="preserve"> </w:t>
      </w:r>
    </w:p>
    <w:p w14:paraId="1C988559" w14:textId="77777777" w:rsidR="006E28A4" w:rsidRPr="00CC6667" w:rsidRDefault="006E28A4" w:rsidP="006E28A4">
      <w:pPr>
        <w:pStyle w:val="Info"/>
        <w:spacing w:after="0"/>
      </w:pPr>
    </w:p>
    <w:p w14:paraId="62344DA6" w14:textId="6E6D0C34" w:rsidR="00F10808" w:rsidRPr="008E36E0" w:rsidRDefault="00F10808" w:rsidP="00CC6667">
      <w:pPr>
        <w:pStyle w:val="Heading3"/>
        <w:rPr>
          <w:i/>
        </w:rPr>
      </w:pPr>
      <w:r w:rsidRPr="008E36E0">
        <w:t>VI. CTP risk analysis</w:t>
      </w:r>
    </w:p>
    <w:p w14:paraId="7A77315D" w14:textId="77777777" w:rsidR="008E36E0" w:rsidRPr="008E36E0" w:rsidRDefault="00F10808" w:rsidP="006A3D19">
      <w:pPr>
        <w:pStyle w:val="Explanation"/>
        <w:keepNext/>
        <w:shd w:val="clear" w:color="auto" w:fill="auto"/>
        <w:tabs>
          <w:tab w:val="left" w:pos="0"/>
        </w:tabs>
        <w:ind w:left="0"/>
        <w:rPr>
          <w:rFonts w:asciiTheme="minorHAnsi" w:hAnsiTheme="minorHAnsi" w:cs="Arial"/>
          <w:bCs/>
          <w:iCs w:val="0"/>
          <w:szCs w:val="22"/>
        </w:rPr>
      </w:pPr>
      <w:r w:rsidRPr="008E36E0">
        <w:rPr>
          <w:rFonts w:asciiTheme="minorHAnsi" w:hAnsiTheme="minorHAnsi" w:cs="Arial"/>
          <w:bCs/>
          <w:iCs w:val="0"/>
          <w:szCs w:val="22"/>
        </w:rPr>
        <w:t xml:space="preserve">Describe the main context related, programme related and institution- related risks that have been identified so far in relation to CTP modalities and mechanisms. Risk analysis will be a key feature of the programme </w:t>
      </w:r>
      <w:bookmarkStart w:id="0" w:name="_GoBack"/>
      <w:bookmarkEnd w:id="0"/>
      <w:r w:rsidRPr="008E36E0">
        <w:rPr>
          <w:rFonts w:asciiTheme="minorHAnsi" w:hAnsiTheme="minorHAnsi" w:cs="Arial"/>
          <w:bCs/>
          <w:iCs w:val="0"/>
          <w:szCs w:val="22"/>
        </w:rPr>
        <w:t xml:space="preserve">cycle and there are a number of tools to guide this process. </w:t>
      </w:r>
    </w:p>
    <w:p w14:paraId="6FD8E9A4" w14:textId="77777777" w:rsidR="006E28A4" w:rsidRDefault="006E28A4" w:rsidP="006E28A4">
      <w:pPr>
        <w:pStyle w:val="Info"/>
        <w:spacing w:after="0"/>
      </w:pPr>
    </w:p>
    <w:p w14:paraId="46F367E1" w14:textId="284FADB2" w:rsidR="006E28A4" w:rsidRDefault="00F10808" w:rsidP="006E28A4">
      <w:pPr>
        <w:pStyle w:val="Info"/>
        <w:spacing w:after="0"/>
      </w:pPr>
      <w:r w:rsidRPr="002040EA">
        <w:t>This information will come from discussions in a team meeting with Logistics, Administration/finance, Security, IT, HR, Legal and Programme departments to identify risks associated with CTP modalities and mechanisms. The roadmap for risk analysis will help you as you move through the risk analysis process and the risk matrix to judge the seriousness of these risks. During the meeting allocate enough time to differentiate perceived risks that can be mitigated easily from risks that appear to be more difficult to control.</w:t>
      </w:r>
      <w:r w:rsidR="006E28A4" w:rsidRPr="006E28A4">
        <w:t xml:space="preserve"> </w:t>
      </w:r>
    </w:p>
    <w:p w14:paraId="02E50DD1" w14:textId="77777777" w:rsidR="006E28A4" w:rsidRPr="00CC6667" w:rsidRDefault="006E28A4" w:rsidP="006E28A4">
      <w:pPr>
        <w:pStyle w:val="Info"/>
        <w:spacing w:after="0"/>
      </w:pPr>
    </w:p>
    <w:p w14:paraId="378B7066" w14:textId="1E3AA6C9" w:rsidR="00F10808" w:rsidRPr="008E36E0" w:rsidRDefault="00F10808" w:rsidP="00CC6667">
      <w:pPr>
        <w:pStyle w:val="Heading3"/>
        <w:rPr>
          <w:rFonts w:asciiTheme="minorHAnsi" w:hAnsiTheme="minorHAnsi"/>
          <w:i/>
          <w:szCs w:val="22"/>
        </w:rPr>
      </w:pPr>
      <w:r w:rsidRPr="008E36E0">
        <w:t>VII. Overall conclusions</w:t>
      </w:r>
    </w:p>
    <w:p w14:paraId="7B63BC1D" w14:textId="77777777" w:rsidR="00F10808" w:rsidRPr="00D2067A" w:rsidRDefault="00F10808" w:rsidP="00773E67">
      <w:pPr>
        <w:rPr>
          <w:i/>
        </w:rPr>
      </w:pPr>
      <w:r w:rsidRPr="00D2067A">
        <w:rPr>
          <w:i/>
        </w:rPr>
        <w:t xml:space="preserve">Provide a brief overview of the conclusions that can be made from the information in the sections above.  </w:t>
      </w:r>
    </w:p>
    <w:p w14:paraId="3C34942E" w14:textId="77777777" w:rsidR="00F10808" w:rsidRPr="00D2067A" w:rsidRDefault="00F10808" w:rsidP="00D2067A">
      <w:pPr>
        <w:rPr>
          <w:b/>
          <w:i/>
        </w:rPr>
      </w:pPr>
      <w:r w:rsidRPr="00D2067A">
        <w:rPr>
          <w:i/>
        </w:rPr>
        <w:t>Suggest some next steps to improve preparedness based on the findings of the self-assessment and gap analysis for CTP emergency response. Include information on additional preparedness activities identified under these headings:</w:t>
      </w:r>
    </w:p>
    <w:p w14:paraId="482574EA" w14:textId="77777777" w:rsidR="00F10808" w:rsidRPr="00D2067A" w:rsidRDefault="00F10808" w:rsidP="00C4712C">
      <w:pPr>
        <w:pStyle w:val="ListParagraph"/>
        <w:numPr>
          <w:ilvl w:val="0"/>
          <w:numId w:val="5"/>
        </w:numPr>
        <w:rPr>
          <w:i w:val="0"/>
        </w:rPr>
      </w:pPr>
      <w:r w:rsidRPr="00D2067A">
        <w:t>Enabling systems</w:t>
      </w:r>
    </w:p>
    <w:p w14:paraId="6003046E" w14:textId="77777777" w:rsidR="00F10808" w:rsidRPr="00D2067A" w:rsidRDefault="00F10808" w:rsidP="00C4712C">
      <w:pPr>
        <w:pStyle w:val="ListParagraph"/>
        <w:numPr>
          <w:ilvl w:val="0"/>
          <w:numId w:val="5"/>
        </w:numPr>
        <w:rPr>
          <w:i w:val="0"/>
        </w:rPr>
      </w:pPr>
      <w:r w:rsidRPr="00D2067A">
        <w:t>Programme tools</w:t>
      </w:r>
    </w:p>
    <w:p w14:paraId="6ECDDE7A" w14:textId="77777777" w:rsidR="00F10808" w:rsidRPr="00D2067A" w:rsidRDefault="00F10808" w:rsidP="00C4712C">
      <w:pPr>
        <w:pStyle w:val="ListParagraph"/>
        <w:numPr>
          <w:ilvl w:val="0"/>
          <w:numId w:val="5"/>
        </w:numPr>
        <w:rPr>
          <w:i w:val="0"/>
        </w:rPr>
      </w:pPr>
      <w:r w:rsidRPr="00D2067A">
        <w:t>Resources and capacities</w:t>
      </w:r>
    </w:p>
    <w:p w14:paraId="76A27CCF" w14:textId="77777777" w:rsidR="008E36E0" w:rsidRPr="00D2067A" w:rsidRDefault="00F10808" w:rsidP="00C4712C">
      <w:pPr>
        <w:pStyle w:val="ListParagraph"/>
        <w:numPr>
          <w:ilvl w:val="0"/>
          <w:numId w:val="5"/>
        </w:numPr>
        <w:rPr>
          <w:i w:val="0"/>
        </w:rPr>
      </w:pPr>
      <w:r w:rsidRPr="00D2067A">
        <w:t>Communication and coordination.</w:t>
      </w:r>
    </w:p>
    <w:sectPr w:rsidR="008E36E0" w:rsidRPr="00D2067A" w:rsidSect="00671148">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F1EA" w14:textId="77777777" w:rsidR="00657824" w:rsidRDefault="00657824" w:rsidP="001B048C">
      <w:r>
        <w:separator/>
      </w:r>
    </w:p>
  </w:endnote>
  <w:endnote w:type="continuationSeparator" w:id="0">
    <w:p w14:paraId="2F2FCC97" w14:textId="77777777" w:rsidR="00657824" w:rsidRDefault="00657824" w:rsidP="001B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996E" w14:textId="77777777" w:rsidR="005C70CE" w:rsidRPr="00B45C74" w:rsidRDefault="005C70C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E373B">
      <w:rPr>
        <w:b/>
        <w:noProof/>
        <w:color w:val="808080" w:themeColor="background1" w:themeShade="80"/>
        <w:sz w:val="18"/>
        <w:szCs w:val="18"/>
      </w:rPr>
      <w:t>3</w:t>
    </w:r>
    <w:r w:rsidRPr="00B45C74">
      <w:rPr>
        <w:b/>
        <w:color w:val="808080" w:themeColor="background1" w:themeShade="80"/>
        <w:sz w:val="18"/>
        <w:szCs w:val="18"/>
      </w:rPr>
      <w:fldChar w:fldCharType="end"/>
    </w:r>
  </w:p>
  <w:p w14:paraId="70AFF8E2" w14:textId="7C068974" w:rsidR="005C70CE" w:rsidRPr="00190541" w:rsidRDefault="005C70CE" w:rsidP="00ED1B2B">
    <w:pPr>
      <w:pStyle w:val="Footer"/>
    </w:pPr>
    <w:r w:rsidRPr="00107E15">
      <w:rPr>
        <w:b/>
      </w:rPr>
      <w:t xml:space="preserve">Module </w:t>
    </w:r>
    <w:r>
      <w:rPr>
        <w:b/>
      </w:rPr>
      <w:t>1</w:t>
    </w:r>
    <w:r w:rsidRPr="00107E15">
      <w:rPr>
        <w:b/>
      </w:rPr>
      <w:t>.</w:t>
    </w:r>
    <w:r w:rsidRPr="00107E15">
      <w:t xml:space="preserve"> Step </w:t>
    </w:r>
    <w:r w:rsidR="000E373B">
      <w:t>1</w:t>
    </w:r>
    <w:r w:rsidRPr="00107E15">
      <w:t>.</w:t>
    </w:r>
    <w:r w:rsidR="000E373B">
      <w:t xml:space="preserve"> </w:t>
    </w:r>
    <w:r>
      <w:t xml:space="preserve">Sub-step </w:t>
    </w:r>
    <w:r w:rsidR="000E373B">
      <w:t>3</w:t>
    </w:r>
    <w:r w:rsidR="00190541">
      <w:t>.</w:t>
    </w:r>
    <w:r>
      <w:t xml:space="preserve"> </w:t>
    </w:r>
    <w:fldSimple w:instr=" STYLEREF  H1 \t  \* MERGEFORMAT ">
      <w:r w:rsidR="000E373B" w:rsidRPr="000E373B">
        <w:rPr>
          <w:bCs/>
          <w:noProof/>
        </w:rPr>
        <w:t>Baseline report template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9664" w14:textId="77777777" w:rsidR="00657824" w:rsidRDefault="00657824" w:rsidP="001B048C">
      <w:r>
        <w:separator/>
      </w:r>
    </w:p>
  </w:footnote>
  <w:footnote w:type="continuationSeparator" w:id="0">
    <w:p w14:paraId="39499FDE" w14:textId="77777777" w:rsidR="00657824" w:rsidRDefault="00657824" w:rsidP="001B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3BC3" w14:textId="77777777" w:rsidR="005C70CE" w:rsidRPr="00074036" w:rsidRDefault="005C70C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44"/>
    <w:multiLevelType w:val="hybridMultilevel"/>
    <w:tmpl w:val="33300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35C7E23"/>
    <w:multiLevelType w:val="hybridMultilevel"/>
    <w:tmpl w:val="92706D8A"/>
    <w:lvl w:ilvl="0" w:tplc="CAD4AE2E">
      <w:start w:val="1"/>
      <w:numFmt w:val="bullet"/>
      <w:pStyle w:val="ListParagraph"/>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414C24"/>
    <w:multiLevelType w:val="hybridMultilevel"/>
    <w:tmpl w:val="4426F276"/>
    <w:lvl w:ilvl="0" w:tplc="4118945C">
      <w:start w:val="1"/>
      <w:numFmt w:val="decimal"/>
      <w:pStyle w:val="ExplanationList"/>
      <w:lvlText w:val="%1."/>
      <w:lvlJc w:val="left"/>
      <w:pPr>
        <w:tabs>
          <w:tab w:val="num" w:pos="720"/>
        </w:tabs>
        <w:ind w:left="720" w:hanging="360"/>
      </w:pPr>
    </w:lvl>
    <w:lvl w:ilvl="1" w:tplc="5B4E25B6" w:tentative="1">
      <w:start w:val="1"/>
      <w:numFmt w:val="decimal"/>
      <w:lvlText w:val="%2."/>
      <w:lvlJc w:val="left"/>
      <w:pPr>
        <w:tabs>
          <w:tab w:val="num" w:pos="1440"/>
        </w:tabs>
        <w:ind w:left="1440" w:hanging="360"/>
      </w:pPr>
    </w:lvl>
    <w:lvl w:ilvl="2" w:tplc="26AA929C" w:tentative="1">
      <w:start w:val="1"/>
      <w:numFmt w:val="decimal"/>
      <w:lvlText w:val="%3."/>
      <w:lvlJc w:val="left"/>
      <w:pPr>
        <w:tabs>
          <w:tab w:val="num" w:pos="2160"/>
        </w:tabs>
        <w:ind w:left="2160" w:hanging="360"/>
      </w:pPr>
    </w:lvl>
    <w:lvl w:ilvl="3" w:tplc="E6003256" w:tentative="1">
      <w:start w:val="1"/>
      <w:numFmt w:val="decimal"/>
      <w:lvlText w:val="%4."/>
      <w:lvlJc w:val="left"/>
      <w:pPr>
        <w:tabs>
          <w:tab w:val="num" w:pos="2880"/>
        </w:tabs>
        <w:ind w:left="2880" w:hanging="360"/>
      </w:pPr>
    </w:lvl>
    <w:lvl w:ilvl="4" w:tplc="83ACCCE0" w:tentative="1">
      <w:start w:val="1"/>
      <w:numFmt w:val="decimal"/>
      <w:lvlText w:val="%5."/>
      <w:lvlJc w:val="left"/>
      <w:pPr>
        <w:tabs>
          <w:tab w:val="num" w:pos="3600"/>
        </w:tabs>
        <w:ind w:left="3600" w:hanging="360"/>
      </w:pPr>
    </w:lvl>
    <w:lvl w:ilvl="5" w:tplc="2E8E4CA4" w:tentative="1">
      <w:start w:val="1"/>
      <w:numFmt w:val="decimal"/>
      <w:lvlText w:val="%6."/>
      <w:lvlJc w:val="left"/>
      <w:pPr>
        <w:tabs>
          <w:tab w:val="num" w:pos="4320"/>
        </w:tabs>
        <w:ind w:left="4320" w:hanging="360"/>
      </w:pPr>
    </w:lvl>
    <w:lvl w:ilvl="6" w:tplc="8B00F3F2" w:tentative="1">
      <w:start w:val="1"/>
      <w:numFmt w:val="decimal"/>
      <w:lvlText w:val="%7."/>
      <w:lvlJc w:val="left"/>
      <w:pPr>
        <w:tabs>
          <w:tab w:val="num" w:pos="5040"/>
        </w:tabs>
        <w:ind w:left="5040" w:hanging="360"/>
      </w:pPr>
    </w:lvl>
    <w:lvl w:ilvl="7" w:tplc="16E6CA4E" w:tentative="1">
      <w:start w:val="1"/>
      <w:numFmt w:val="decimal"/>
      <w:lvlText w:val="%8."/>
      <w:lvlJc w:val="left"/>
      <w:pPr>
        <w:tabs>
          <w:tab w:val="num" w:pos="5760"/>
        </w:tabs>
        <w:ind w:left="5760" w:hanging="360"/>
      </w:pPr>
    </w:lvl>
    <w:lvl w:ilvl="8" w:tplc="865ACB74"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8"/>
  </w:num>
  <w:num w:numId="5">
    <w:abstractNumId w:val="0"/>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2"/>
  </w:num>
  <w:num w:numId="10">
    <w:abstractNumId w:val="4"/>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0B"/>
    <w:rsid w:val="00006BBF"/>
    <w:rsid w:val="00010C9E"/>
    <w:rsid w:val="00030CC0"/>
    <w:rsid w:val="00033612"/>
    <w:rsid w:val="0003434B"/>
    <w:rsid w:val="0005150F"/>
    <w:rsid w:val="00065213"/>
    <w:rsid w:val="00065F88"/>
    <w:rsid w:val="00066A17"/>
    <w:rsid w:val="00067ECA"/>
    <w:rsid w:val="0007193E"/>
    <w:rsid w:val="00084F9F"/>
    <w:rsid w:val="000941CB"/>
    <w:rsid w:val="00096A14"/>
    <w:rsid w:val="000A3896"/>
    <w:rsid w:val="000B0324"/>
    <w:rsid w:val="000B42FE"/>
    <w:rsid w:val="000E373B"/>
    <w:rsid w:val="000F4365"/>
    <w:rsid w:val="000F5FB3"/>
    <w:rsid w:val="00103BBA"/>
    <w:rsid w:val="00106ABC"/>
    <w:rsid w:val="00134925"/>
    <w:rsid w:val="0013503C"/>
    <w:rsid w:val="00137659"/>
    <w:rsid w:val="001418A3"/>
    <w:rsid w:val="00147030"/>
    <w:rsid w:val="00166927"/>
    <w:rsid w:val="0017388C"/>
    <w:rsid w:val="0018189F"/>
    <w:rsid w:val="00190541"/>
    <w:rsid w:val="001B048C"/>
    <w:rsid w:val="001B6A2C"/>
    <w:rsid w:val="001B7828"/>
    <w:rsid w:val="001C431C"/>
    <w:rsid w:val="001F4D30"/>
    <w:rsid w:val="002040EA"/>
    <w:rsid w:val="002140C6"/>
    <w:rsid w:val="00224867"/>
    <w:rsid w:val="00242E9E"/>
    <w:rsid w:val="00243808"/>
    <w:rsid w:val="002467E6"/>
    <w:rsid w:val="002553EC"/>
    <w:rsid w:val="00257AB8"/>
    <w:rsid w:val="00266F5C"/>
    <w:rsid w:val="002670E3"/>
    <w:rsid w:val="00267610"/>
    <w:rsid w:val="00271334"/>
    <w:rsid w:val="00276BFB"/>
    <w:rsid w:val="002A3623"/>
    <w:rsid w:val="002C7166"/>
    <w:rsid w:val="002D57D6"/>
    <w:rsid w:val="002E6E16"/>
    <w:rsid w:val="002F38C4"/>
    <w:rsid w:val="002F5A84"/>
    <w:rsid w:val="003004DA"/>
    <w:rsid w:val="0030260E"/>
    <w:rsid w:val="00302A1B"/>
    <w:rsid w:val="00311319"/>
    <w:rsid w:val="00312FC7"/>
    <w:rsid w:val="00315FA2"/>
    <w:rsid w:val="003302F8"/>
    <w:rsid w:val="003441CC"/>
    <w:rsid w:val="00366185"/>
    <w:rsid w:val="00370F5A"/>
    <w:rsid w:val="003764ED"/>
    <w:rsid w:val="003837E1"/>
    <w:rsid w:val="003860BE"/>
    <w:rsid w:val="00392C1B"/>
    <w:rsid w:val="003A4C81"/>
    <w:rsid w:val="003A6247"/>
    <w:rsid w:val="003B25BA"/>
    <w:rsid w:val="003B3BB3"/>
    <w:rsid w:val="003B57A7"/>
    <w:rsid w:val="003C5448"/>
    <w:rsid w:val="003C6BF3"/>
    <w:rsid w:val="00422540"/>
    <w:rsid w:val="0042605D"/>
    <w:rsid w:val="00426B65"/>
    <w:rsid w:val="00432124"/>
    <w:rsid w:val="00443E11"/>
    <w:rsid w:val="0044743A"/>
    <w:rsid w:val="00453FAC"/>
    <w:rsid w:val="004558F6"/>
    <w:rsid w:val="0046209F"/>
    <w:rsid w:val="0046330B"/>
    <w:rsid w:val="00467B15"/>
    <w:rsid w:val="00477CED"/>
    <w:rsid w:val="00480878"/>
    <w:rsid w:val="00481452"/>
    <w:rsid w:val="00483585"/>
    <w:rsid w:val="0048379D"/>
    <w:rsid w:val="00485DB4"/>
    <w:rsid w:val="00494645"/>
    <w:rsid w:val="004B4209"/>
    <w:rsid w:val="004C3EED"/>
    <w:rsid w:val="004D66C9"/>
    <w:rsid w:val="004E0717"/>
    <w:rsid w:val="004E566F"/>
    <w:rsid w:val="004F09A2"/>
    <w:rsid w:val="004F0FDA"/>
    <w:rsid w:val="004F6C7D"/>
    <w:rsid w:val="00501173"/>
    <w:rsid w:val="0053359D"/>
    <w:rsid w:val="005657F2"/>
    <w:rsid w:val="00567441"/>
    <w:rsid w:val="00583B60"/>
    <w:rsid w:val="00591361"/>
    <w:rsid w:val="0059593D"/>
    <w:rsid w:val="005965D7"/>
    <w:rsid w:val="005A409A"/>
    <w:rsid w:val="005A50E0"/>
    <w:rsid w:val="005B2941"/>
    <w:rsid w:val="005B29BD"/>
    <w:rsid w:val="005C2CE2"/>
    <w:rsid w:val="005C70CE"/>
    <w:rsid w:val="005D5E95"/>
    <w:rsid w:val="005D7C35"/>
    <w:rsid w:val="005E1A34"/>
    <w:rsid w:val="005E36A1"/>
    <w:rsid w:val="005E389D"/>
    <w:rsid w:val="005E5334"/>
    <w:rsid w:val="005F001F"/>
    <w:rsid w:val="00602355"/>
    <w:rsid w:val="0060789C"/>
    <w:rsid w:val="006153B3"/>
    <w:rsid w:val="0062474F"/>
    <w:rsid w:val="00624AE3"/>
    <w:rsid w:val="00637818"/>
    <w:rsid w:val="00652D0C"/>
    <w:rsid w:val="00657824"/>
    <w:rsid w:val="00660945"/>
    <w:rsid w:val="006610CC"/>
    <w:rsid w:val="00662F1B"/>
    <w:rsid w:val="00665B8C"/>
    <w:rsid w:val="00667A44"/>
    <w:rsid w:val="00670146"/>
    <w:rsid w:val="00671148"/>
    <w:rsid w:val="0067681E"/>
    <w:rsid w:val="00676B83"/>
    <w:rsid w:val="006A3D19"/>
    <w:rsid w:val="006B4442"/>
    <w:rsid w:val="006C684D"/>
    <w:rsid w:val="006D3BF7"/>
    <w:rsid w:val="006D53CE"/>
    <w:rsid w:val="006E1B6E"/>
    <w:rsid w:val="006E285F"/>
    <w:rsid w:val="006E28A4"/>
    <w:rsid w:val="006F2326"/>
    <w:rsid w:val="006F2503"/>
    <w:rsid w:val="006F3E86"/>
    <w:rsid w:val="00706131"/>
    <w:rsid w:val="007070EF"/>
    <w:rsid w:val="00712036"/>
    <w:rsid w:val="00725023"/>
    <w:rsid w:val="0075301B"/>
    <w:rsid w:val="007577A3"/>
    <w:rsid w:val="00773E67"/>
    <w:rsid w:val="00773F61"/>
    <w:rsid w:val="00780979"/>
    <w:rsid w:val="00791257"/>
    <w:rsid w:val="007A32C6"/>
    <w:rsid w:val="007B016C"/>
    <w:rsid w:val="007B6BB7"/>
    <w:rsid w:val="007C2235"/>
    <w:rsid w:val="007D217B"/>
    <w:rsid w:val="007D35D5"/>
    <w:rsid w:val="007D4406"/>
    <w:rsid w:val="007E691B"/>
    <w:rsid w:val="00807338"/>
    <w:rsid w:val="00830226"/>
    <w:rsid w:val="008402CB"/>
    <w:rsid w:val="00865444"/>
    <w:rsid w:val="00874ACF"/>
    <w:rsid w:val="008779AB"/>
    <w:rsid w:val="00893A68"/>
    <w:rsid w:val="00894B31"/>
    <w:rsid w:val="008A38A9"/>
    <w:rsid w:val="008B2C7F"/>
    <w:rsid w:val="008B31D5"/>
    <w:rsid w:val="008C3212"/>
    <w:rsid w:val="008C5775"/>
    <w:rsid w:val="008D2114"/>
    <w:rsid w:val="008E36E0"/>
    <w:rsid w:val="008E3B0A"/>
    <w:rsid w:val="008F0270"/>
    <w:rsid w:val="009023D7"/>
    <w:rsid w:val="00910A0B"/>
    <w:rsid w:val="00924E9C"/>
    <w:rsid w:val="00925A38"/>
    <w:rsid w:val="009423E1"/>
    <w:rsid w:val="00943D46"/>
    <w:rsid w:val="00962C54"/>
    <w:rsid w:val="009678F5"/>
    <w:rsid w:val="00970E74"/>
    <w:rsid w:val="009728DC"/>
    <w:rsid w:val="0097435B"/>
    <w:rsid w:val="009776D6"/>
    <w:rsid w:val="00990625"/>
    <w:rsid w:val="0099498D"/>
    <w:rsid w:val="009958F6"/>
    <w:rsid w:val="009A19DD"/>
    <w:rsid w:val="009A2004"/>
    <w:rsid w:val="009A6E23"/>
    <w:rsid w:val="009B10DB"/>
    <w:rsid w:val="009C1B85"/>
    <w:rsid w:val="009C3C0F"/>
    <w:rsid w:val="009D2B4A"/>
    <w:rsid w:val="009E631E"/>
    <w:rsid w:val="009E714B"/>
    <w:rsid w:val="00A238BA"/>
    <w:rsid w:val="00A32FD5"/>
    <w:rsid w:val="00A33F1F"/>
    <w:rsid w:val="00A37126"/>
    <w:rsid w:val="00A477B7"/>
    <w:rsid w:val="00A714DD"/>
    <w:rsid w:val="00A72044"/>
    <w:rsid w:val="00A77319"/>
    <w:rsid w:val="00A85FA8"/>
    <w:rsid w:val="00AB48E6"/>
    <w:rsid w:val="00AC3785"/>
    <w:rsid w:val="00AD003F"/>
    <w:rsid w:val="00AE50BC"/>
    <w:rsid w:val="00AF05D8"/>
    <w:rsid w:val="00B111E8"/>
    <w:rsid w:val="00B15A80"/>
    <w:rsid w:val="00B202C6"/>
    <w:rsid w:val="00B3075E"/>
    <w:rsid w:val="00B35D2B"/>
    <w:rsid w:val="00B50ECF"/>
    <w:rsid w:val="00B532ED"/>
    <w:rsid w:val="00B650D7"/>
    <w:rsid w:val="00B70758"/>
    <w:rsid w:val="00B84EAA"/>
    <w:rsid w:val="00B910D9"/>
    <w:rsid w:val="00B960D0"/>
    <w:rsid w:val="00BB3C24"/>
    <w:rsid w:val="00BB6EFE"/>
    <w:rsid w:val="00BC02CC"/>
    <w:rsid w:val="00BC2F94"/>
    <w:rsid w:val="00BC48B3"/>
    <w:rsid w:val="00BC646F"/>
    <w:rsid w:val="00BD3E76"/>
    <w:rsid w:val="00BD4796"/>
    <w:rsid w:val="00C0208B"/>
    <w:rsid w:val="00C04C88"/>
    <w:rsid w:val="00C06D48"/>
    <w:rsid w:val="00C42ADC"/>
    <w:rsid w:val="00C43A1E"/>
    <w:rsid w:val="00C4712C"/>
    <w:rsid w:val="00C71C14"/>
    <w:rsid w:val="00C75550"/>
    <w:rsid w:val="00C771C1"/>
    <w:rsid w:val="00C86A79"/>
    <w:rsid w:val="00C91E90"/>
    <w:rsid w:val="00C960BE"/>
    <w:rsid w:val="00CA5A7A"/>
    <w:rsid w:val="00CA7635"/>
    <w:rsid w:val="00CB1879"/>
    <w:rsid w:val="00CC6667"/>
    <w:rsid w:val="00CC6BC5"/>
    <w:rsid w:val="00CE5307"/>
    <w:rsid w:val="00CF0B79"/>
    <w:rsid w:val="00CF609B"/>
    <w:rsid w:val="00D050D3"/>
    <w:rsid w:val="00D070D5"/>
    <w:rsid w:val="00D2067A"/>
    <w:rsid w:val="00D258E2"/>
    <w:rsid w:val="00D27CF6"/>
    <w:rsid w:val="00D372A5"/>
    <w:rsid w:val="00D50759"/>
    <w:rsid w:val="00D5149A"/>
    <w:rsid w:val="00D5579A"/>
    <w:rsid w:val="00D733F3"/>
    <w:rsid w:val="00D84809"/>
    <w:rsid w:val="00D8700E"/>
    <w:rsid w:val="00D9291B"/>
    <w:rsid w:val="00DA617A"/>
    <w:rsid w:val="00DB197C"/>
    <w:rsid w:val="00DB3C0C"/>
    <w:rsid w:val="00DE2E36"/>
    <w:rsid w:val="00DE303F"/>
    <w:rsid w:val="00DF3988"/>
    <w:rsid w:val="00DF3E5A"/>
    <w:rsid w:val="00DF4B28"/>
    <w:rsid w:val="00E23289"/>
    <w:rsid w:val="00E345D8"/>
    <w:rsid w:val="00E3717D"/>
    <w:rsid w:val="00E57504"/>
    <w:rsid w:val="00E60B4D"/>
    <w:rsid w:val="00E72985"/>
    <w:rsid w:val="00EA3B6B"/>
    <w:rsid w:val="00EA469B"/>
    <w:rsid w:val="00ED08F3"/>
    <w:rsid w:val="00ED6446"/>
    <w:rsid w:val="00EE7E9D"/>
    <w:rsid w:val="00EF0957"/>
    <w:rsid w:val="00EF6162"/>
    <w:rsid w:val="00F03560"/>
    <w:rsid w:val="00F0521C"/>
    <w:rsid w:val="00F075D4"/>
    <w:rsid w:val="00F10808"/>
    <w:rsid w:val="00F12CB7"/>
    <w:rsid w:val="00F162D2"/>
    <w:rsid w:val="00F2184F"/>
    <w:rsid w:val="00F32E63"/>
    <w:rsid w:val="00F33B4F"/>
    <w:rsid w:val="00F37F90"/>
    <w:rsid w:val="00F63614"/>
    <w:rsid w:val="00F8660A"/>
    <w:rsid w:val="00FB4786"/>
    <w:rsid w:val="00FB5787"/>
    <w:rsid w:val="00FC52A7"/>
    <w:rsid w:val="00FE04B9"/>
    <w:rsid w:val="00FF4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B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B"/>
    <w:pPr>
      <w:spacing w:after="120" w:line="240" w:lineRule="auto"/>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rsid w:val="000E3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73B"/>
  </w:style>
  <w:style w:type="character" w:customStyle="1" w:styleId="Heading3Char">
    <w:name w:val="Heading 3 Char"/>
    <w:basedOn w:val="DefaultParagraphFont"/>
    <w:link w:val="Heading3"/>
    <w:uiPriority w:val="9"/>
    <w:rsid w:val="000E373B"/>
    <w:rPr>
      <w:rFonts w:ascii="Arial" w:eastAsiaTheme="minorEastAsia" w:hAnsi="Arial" w:cs="Times New Roman"/>
      <w:b/>
      <w:szCs w:val="24"/>
      <w:lang w:val="en-US"/>
    </w:rPr>
  </w:style>
  <w:style w:type="paragraph" w:styleId="ListParagraph">
    <w:name w:val="List Paragraph"/>
    <w:aliases w:val="Bullet 3"/>
    <w:basedOn w:val="Normal"/>
    <w:link w:val="ListParagraphChar"/>
    <w:qFormat/>
    <w:rsid w:val="000E373B"/>
    <w:pPr>
      <w:numPr>
        <w:numId w:val="11"/>
      </w:numPr>
      <w:spacing w:before="120"/>
      <w:ind w:right="425"/>
      <w:contextualSpacing/>
    </w:pPr>
    <w:rPr>
      <w:rFonts w:eastAsiaTheme="minorHAnsi" w:cs="Arial"/>
      <w:i/>
      <w:iCs/>
      <w:szCs w:val="22"/>
    </w:rPr>
  </w:style>
  <w:style w:type="table" w:styleId="TableGrid">
    <w:name w:val="Table Grid"/>
    <w:basedOn w:val="TableNormal"/>
    <w:uiPriority w:val="59"/>
    <w:rsid w:val="000E373B"/>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3 Char"/>
    <w:basedOn w:val="DefaultParagraphFont"/>
    <w:link w:val="ListParagraph"/>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8C5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3B"/>
    <w:rPr>
      <w:rFonts w:ascii="Lucida Grande" w:eastAsiaTheme="minorEastAsia" w:hAnsi="Lucida Grande" w:cs="Lucida Grande"/>
      <w:sz w:val="18"/>
      <w:szCs w:val="18"/>
      <w:lang w:val="en-US"/>
    </w:rPr>
  </w:style>
  <w:style w:type="paragraph" w:customStyle="1" w:styleId="Explanation">
    <w:name w:val="Explanation"/>
    <w:basedOn w:val="Normal"/>
    <w:qFormat/>
    <w:rsid w:val="00665B8C"/>
    <w:pPr>
      <w:shd w:val="clear" w:color="auto" w:fill="FFFFE1"/>
      <w:ind w:left="113" w:right="113"/>
    </w:pPr>
    <w:rPr>
      <w:rFonts w:ascii="Calibri" w:eastAsia="Times New Roman" w:hAnsi="Calibri"/>
      <w:i/>
      <w:iCs/>
      <w:szCs w:val="24"/>
    </w:rPr>
  </w:style>
  <w:style w:type="paragraph" w:customStyle="1" w:styleId="Exaplanationbullets">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customStyle="1" w:styleId="HeaderChar">
    <w:name w:val="Header Char"/>
    <w:basedOn w:val="DefaultParagraphFont"/>
    <w:link w:val="Header"/>
    <w:uiPriority w:val="99"/>
    <w:rsid w:val="000E373B"/>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customStyle="1" w:styleId="FooterChar">
    <w:name w:val="Footer Char"/>
    <w:basedOn w:val="DefaultParagraphFont"/>
    <w:link w:val="Footer"/>
    <w:uiPriority w:val="99"/>
    <w:rsid w:val="000E373B"/>
    <w:rPr>
      <w:rFonts w:ascii="Arial" w:eastAsiaTheme="minorEastAsia" w:hAnsi="Arial" w:cs="Times New Roman"/>
      <w:sz w:val="16"/>
      <w:szCs w:val="18"/>
      <w:lang w:val="en-US"/>
    </w:rPr>
  </w:style>
  <w:style w:type="paragraph" w:customStyle="1" w:styleId="ecxmsonormal">
    <w:name w:val="ecxmsonormal"/>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paragraph" w:customStyle="1" w:styleId="ecxmsolistparagraph">
    <w:name w:val="ecxmsolistparagraph"/>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customStyle="1" w:styleId="CommentTextChar">
    <w:name w:val="Comment Text Char"/>
    <w:basedOn w:val="DefaultParagraphFont"/>
    <w:link w:val="CommentText"/>
    <w:uiPriority w:val="99"/>
    <w:semiHidden/>
    <w:rsid w:val="00CC6BC5"/>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0E373B"/>
    <w:rPr>
      <w:b/>
      <w:bCs/>
    </w:rPr>
  </w:style>
  <w:style w:type="character" w:customStyle="1" w:styleId="CommentSubjectChar">
    <w:name w:val="Comment Subject Char"/>
    <w:basedOn w:val="DefaultParagraphFont"/>
    <w:link w:val="CommentSubject"/>
    <w:uiPriority w:val="99"/>
    <w:semiHidden/>
    <w:rsid w:val="000E373B"/>
    <w:rPr>
      <w:rFonts w:ascii="Arial" w:eastAsiaTheme="minorEastAsia" w:hAnsi="Arial" w:cs="Times New Roman"/>
      <w:b/>
      <w:bCs/>
      <w:sz w:val="20"/>
      <w:szCs w:val="20"/>
      <w:lang w:val="en-US"/>
    </w:rPr>
  </w:style>
  <w:style w:type="paragraph" w:customStyle="1" w:styleId="BasicParagraph">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0E373B"/>
    <w:pPr>
      <w:numPr>
        <w:numId w:val="2"/>
      </w:numPr>
      <w:spacing w:after="60"/>
      <w:jc w:val="left"/>
    </w:pPr>
    <w:rPr>
      <w:rFonts w:eastAsia="Times New Roman"/>
      <w:color w:val="000000"/>
    </w:rPr>
  </w:style>
  <w:style w:type="paragraph" w:customStyle="1" w:styleId="Default">
    <w:name w:val="Default"/>
    <w:rsid w:val="000E373B"/>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customStyle="1" w:styleId="H1">
    <w:name w:val="H1"/>
    <w:basedOn w:val="Normal"/>
    <w:link w:val="H1Char"/>
    <w:qFormat/>
    <w:rsid w:val="000E373B"/>
    <w:pPr>
      <w:spacing w:before="360" w:after="240"/>
      <w:jc w:val="left"/>
      <w:outlineLvl w:val="0"/>
    </w:pPr>
    <w:rPr>
      <w:b/>
      <w:sz w:val="40"/>
      <w:szCs w:val="52"/>
    </w:rPr>
  </w:style>
  <w:style w:type="character" w:customStyle="1" w:styleId="H1Char">
    <w:name w:val="H1 Char"/>
    <w:basedOn w:val="DefaultParagraphFont"/>
    <w:link w:val="H1"/>
    <w:rsid w:val="000E373B"/>
    <w:rPr>
      <w:rFonts w:ascii="Arial" w:eastAsiaTheme="minorEastAsia" w:hAnsi="Arial" w:cs="Times New Roman"/>
      <w:b/>
      <w:sz w:val="40"/>
      <w:szCs w:val="52"/>
      <w:lang w:val="en-US"/>
    </w:rPr>
  </w:style>
  <w:style w:type="paragraph" w:customStyle="1" w:styleId="Header1">
    <w:name w:val="Header 1"/>
    <w:basedOn w:val="Header"/>
    <w:rsid w:val="000E373B"/>
    <w:rPr>
      <w:b/>
      <w:sz w:val="24"/>
      <w:szCs w:val="24"/>
    </w:rPr>
  </w:style>
  <w:style w:type="character" w:customStyle="1" w:styleId="Heading1Char">
    <w:name w:val="Heading 1 Char"/>
    <w:basedOn w:val="DefaultParagraphFont"/>
    <w:link w:val="Heading1"/>
    <w:uiPriority w:val="9"/>
    <w:rsid w:val="000E373B"/>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0E373B"/>
    <w:rPr>
      <w:rFonts w:ascii="Arial" w:eastAsiaTheme="minorEastAsia" w:hAnsi="Arial" w:cs="Times New Roman"/>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customStyle="1" w:styleId="Pantone485">
    <w:name w:val="Pantone 485"/>
    <w:basedOn w:val="DefaultParagraphFont"/>
    <w:uiPriority w:val="1"/>
    <w:qFormat/>
    <w:rsid w:val="000E373B"/>
    <w:rPr>
      <w:rFonts w:cs="Caecilia-Light"/>
      <w:color w:val="DC281E"/>
      <w:szCs w:val="16"/>
    </w:rPr>
  </w:style>
  <w:style w:type="paragraph" w:customStyle="1" w:styleId="RefItem1">
    <w:name w:val="Ref Item 1"/>
    <w:basedOn w:val="Normal"/>
    <w:rsid w:val="000E373B"/>
    <w:pPr>
      <w:jc w:val="left"/>
    </w:pPr>
    <w:rPr>
      <w:color w:val="000000"/>
      <w:szCs w:val="24"/>
      <w:lang w:eastAsia="it-IT"/>
    </w:rPr>
  </w:style>
  <w:style w:type="paragraph" w:customStyle="1" w:styleId="RefTitre">
    <w:name w:val="Ref Titre"/>
    <w:basedOn w:val="Normal"/>
    <w:rsid w:val="000E373B"/>
    <w:pPr>
      <w:jc w:val="left"/>
    </w:pPr>
    <w:rPr>
      <w:rFonts w:eastAsia="Times New Roman"/>
      <w:b/>
      <w:bCs/>
      <w:sz w:val="26"/>
      <w:szCs w:val="26"/>
    </w:rPr>
  </w:style>
  <w:style w:type="table" w:customStyle="1" w:styleId="TableGray">
    <w:name w:val="Table Gray"/>
    <w:basedOn w:val="TableNormal"/>
    <w:uiPriority w:val="99"/>
    <w:rsid w:val="000E373B"/>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373B"/>
    <w:pPr>
      <w:numPr>
        <w:numId w:val="3"/>
      </w:numPr>
      <w:tabs>
        <w:tab w:val="left" w:pos="7230"/>
      </w:tabs>
      <w:spacing w:before="240" w:after="240"/>
      <w:ind w:right="0"/>
    </w:pPr>
    <w:rPr>
      <w:i w:val="0"/>
      <w:iCs w:val="0"/>
    </w:rPr>
  </w:style>
  <w:style w:type="character" w:customStyle="1" w:styleId="Heading4Char">
    <w:name w:val="Heading 4 Char"/>
    <w:basedOn w:val="DefaultParagraphFont"/>
    <w:link w:val="Heading4"/>
    <w:uiPriority w:val="9"/>
    <w:rsid w:val="00065F88"/>
    <w:rPr>
      <w:rFonts w:asciiTheme="majorHAnsi" w:eastAsiaTheme="majorEastAsia" w:hAnsiTheme="majorHAnsi" w:cstheme="majorBidi"/>
      <w:bCs/>
      <w:i/>
      <w:iCs/>
      <w:sz w:val="20"/>
      <w:szCs w:val="21"/>
    </w:rPr>
  </w:style>
  <w:style w:type="paragraph" w:customStyle="1" w:styleId="H2">
    <w:name w:val="H2"/>
    <w:basedOn w:val="Normal"/>
    <w:link w:val="H2Char"/>
    <w:qFormat/>
    <w:rsid w:val="00CC6BC5"/>
    <w:pPr>
      <w:keepNext/>
      <w:pBdr>
        <w:top w:val="single" w:sz="4" w:space="11" w:color="auto"/>
        <w:bottom w:val="single" w:sz="4" w:space="11" w:color="auto"/>
      </w:pBdr>
      <w:spacing w:before="360" w:after="360"/>
      <w:jc w:val="left"/>
      <w:outlineLvl w:val="1"/>
    </w:pPr>
    <w:rPr>
      <w:b/>
      <w:caps/>
      <w:color w:val="C00000"/>
      <w:sz w:val="24"/>
      <w:szCs w:val="26"/>
    </w:rPr>
  </w:style>
  <w:style w:type="character" w:customStyle="1" w:styleId="H2Char">
    <w:name w:val="H2 Char"/>
    <w:basedOn w:val="DefaultParagraphFont"/>
    <w:link w:val="H2"/>
    <w:rsid w:val="00CC6BC5"/>
    <w:rPr>
      <w:rFonts w:ascii="Arial" w:eastAsiaTheme="minorEastAsia" w:hAnsi="Arial" w:cs="Arial"/>
      <w:b/>
      <w:caps/>
      <w:color w:val="C00000"/>
      <w:sz w:val="24"/>
      <w:szCs w:val="26"/>
    </w:rPr>
  </w:style>
  <w:style w:type="paragraph" w:customStyle="1" w:styleId="H3">
    <w:name w:val="H3"/>
    <w:basedOn w:val="Normal"/>
    <w:link w:val="H3Char"/>
    <w:autoRedefine/>
    <w:qFormat/>
    <w:rsid w:val="00CC6667"/>
    <w:pPr>
      <w:keepNext/>
      <w:tabs>
        <w:tab w:val="left" w:pos="0"/>
      </w:tabs>
      <w:spacing w:before="360" w:after="240"/>
    </w:pPr>
    <w:rPr>
      <w:b/>
      <w:sz w:val="24"/>
      <w:szCs w:val="24"/>
    </w:rPr>
  </w:style>
  <w:style w:type="character" w:customStyle="1" w:styleId="H3Char">
    <w:name w:val="H3 Char"/>
    <w:basedOn w:val="DefaultParagraphFont"/>
    <w:link w:val="H3"/>
    <w:rsid w:val="00CC6667"/>
    <w:rPr>
      <w:rFonts w:ascii="Arial" w:eastAsiaTheme="minorEastAsia" w:hAnsi="Arial" w:cs="Arial"/>
      <w:b/>
      <w:sz w:val="24"/>
      <w:szCs w:val="24"/>
    </w:rPr>
  </w:style>
  <w:style w:type="paragraph" w:customStyle="1" w:styleId="NormalBold">
    <w:name w:val="Normal+Bold"/>
    <w:basedOn w:val="Normal"/>
    <w:autoRedefine/>
    <w:rsid w:val="005657F2"/>
    <w:pPr>
      <w:tabs>
        <w:tab w:val="left" w:pos="0"/>
      </w:tabs>
      <w:spacing w:before="240"/>
      <w:ind w:right="386"/>
    </w:pPr>
    <w:rPr>
      <w:b/>
      <w:sz w:val="21"/>
    </w:rPr>
  </w:style>
  <w:style w:type="paragraph" w:customStyle="1" w:styleId="NormalItalic">
    <w:name w:val="Normal+Italic"/>
    <w:basedOn w:val="Normal"/>
    <w:rsid w:val="00CC6BC5"/>
    <w:rPr>
      <w:i/>
    </w:rPr>
  </w:style>
  <w:style w:type="paragraph" w:customStyle="1" w:styleId="ExplanationList">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customStyle="1" w:styleId="FootnoteTextChar">
    <w:name w:val="Footnote Text Char"/>
    <w:basedOn w:val="DefaultParagraphFont"/>
    <w:link w:val="FootnoteText"/>
    <w:uiPriority w:val="99"/>
    <w:rsid w:val="000E373B"/>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eastAsiaTheme="minorEastAsia" w:hAnsi="Arial" w:cs="Arial"/>
      <w:sz w:val="21"/>
      <w:szCs w:val="21"/>
      <w:lang w:val="en-US"/>
    </w:rPr>
  </w:style>
  <w:style w:type="paragraph" w:customStyle="1" w:styleId="Info">
    <w:name w:val="Info"/>
    <w:basedOn w:val="Normal"/>
    <w:rsid w:val="00652D0C"/>
    <w:pPr>
      <w:shd w:val="clear" w:color="auto" w:fill="D9D9D9" w:themeFill="background1" w:themeFillShade="D9"/>
    </w:pPr>
    <w:rPr>
      <w:i/>
      <w:sz w:val="18"/>
    </w:rPr>
  </w:style>
  <w:style w:type="paragraph" w:customStyle="1" w:styleId="ListNumber1">
    <w:name w:val="List Number 1"/>
    <w:basedOn w:val="Normal"/>
    <w:rsid w:val="000E373B"/>
    <w:pPr>
      <w:numPr>
        <w:ilvl w:val="1"/>
        <w:numId w:val="9"/>
      </w:numPr>
      <w:contextualSpacing/>
    </w:pPr>
    <w:rPr>
      <w:rFonts w:eastAsiaTheme="minorHAnsi" w:cstheme="minorHAnsi"/>
      <w:szCs w:val="22"/>
    </w:rPr>
  </w:style>
  <w:style w:type="paragraph" w:customStyle="1" w:styleId="NormalNo">
    <w:name w:val="Normal + No"/>
    <w:basedOn w:val="Normal"/>
    <w:qFormat/>
    <w:rsid w:val="000E373B"/>
    <w:pPr>
      <w:numPr>
        <w:numId w:val="10"/>
      </w:numPr>
    </w:pPr>
    <w:rPr>
      <w:rFonts w:eastAsia="MS Mincho"/>
      <w:b/>
      <w:sz w:val="22"/>
    </w:rPr>
  </w:style>
  <w:style w:type="paragraph" w:customStyle="1" w:styleId="Indent">
    <w:name w:val="Indent"/>
    <w:basedOn w:val="Normal"/>
    <w:qFormat/>
    <w:rsid w:val="000E373B"/>
    <w:pPr>
      <w:ind w:left="567"/>
    </w:pPr>
    <w:rPr>
      <w:rFonts w:cs="Arial"/>
      <w:b/>
    </w:rPr>
  </w:style>
  <w:style w:type="paragraph" w:customStyle="1" w:styleId="TitreTableau">
    <w:name w:val="Titre Tableau"/>
    <w:basedOn w:val="Normal"/>
    <w:qFormat/>
    <w:rsid w:val="000E373B"/>
    <w:pPr>
      <w:spacing w:before="120"/>
      <w:jc w:val="center"/>
    </w:pPr>
    <w:rPr>
      <w:rFonts w:cs="Arial"/>
      <w:b/>
      <w:bCs/>
      <w:color w:val="FFFFFF" w:themeColor="background1"/>
      <w:lang w:val="en-CA"/>
    </w:rPr>
  </w:style>
  <w:style w:type="paragraph" w:customStyle="1" w:styleId="BulletTableau">
    <w:name w:val="Bullet Tableau"/>
    <w:basedOn w:val="Bullet2"/>
    <w:qFormat/>
    <w:rsid w:val="000E373B"/>
    <w:pPr>
      <w:keepNext/>
      <w:keepLines/>
      <w:framePr w:hSpace="141" w:wrap="around" w:vAnchor="text" w:hAnchor="margin" w:y="402"/>
      <w:numPr>
        <w:numId w:val="12"/>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3B"/>
    <w:pPr>
      <w:spacing w:after="120" w:line="240" w:lineRule="auto"/>
    </w:pPr>
    <w:rPr>
      <w:rFonts w:ascii="Arial" w:eastAsiaTheme="minorEastAsia" w:hAnsi="Arial" w:cs="Times New Roman"/>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rsid w:val="000E3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373B"/>
  </w:style>
  <w:style w:type="character" w:customStyle="1" w:styleId="Heading3Char">
    <w:name w:val="Heading 3 Char"/>
    <w:basedOn w:val="DefaultParagraphFont"/>
    <w:link w:val="Heading3"/>
    <w:uiPriority w:val="9"/>
    <w:rsid w:val="000E373B"/>
    <w:rPr>
      <w:rFonts w:ascii="Arial" w:eastAsiaTheme="minorEastAsia" w:hAnsi="Arial" w:cs="Times New Roman"/>
      <w:b/>
      <w:szCs w:val="24"/>
      <w:lang w:val="en-US"/>
    </w:rPr>
  </w:style>
  <w:style w:type="paragraph" w:styleId="ListParagraph">
    <w:name w:val="List Paragraph"/>
    <w:aliases w:val="Bullet 3"/>
    <w:basedOn w:val="Normal"/>
    <w:link w:val="ListParagraphChar"/>
    <w:qFormat/>
    <w:rsid w:val="000E373B"/>
    <w:pPr>
      <w:numPr>
        <w:numId w:val="11"/>
      </w:numPr>
      <w:spacing w:before="120"/>
      <w:ind w:right="425"/>
      <w:contextualSpacing/>
    </w:pPr>
    <w:rPr>
      <w:rFonts w:eastAsiaTheme="minorHAnsi" w:cs="Arial"/>
      <w:i/>
      <w:iCs/>
      <w:szCs w:val="22"/>
    </w:rPr>
  </w:style>
  <w:style w:type="table" w:styleId="TableGrid">
    <w:name w:val="Table Grid"/>
    <w:basedOn w:val="TableNormal"/>
    <w:uiPriority w:val="59"/>
    <w:rsid w:val="000E373B"/>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3 Char"/>
    <w:basedOn w:val="DefaultParagraphFont"/>
    <w:link w:val="ListParagraph"/>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eastAsia="Times New Roman" w:hAnsi="Times New Roman"/>
    </w:rPr>
  </w:style>
  <w:style w:type="character" w:customStyle="1" w:styleId="BodyText2Char">
    <w:name w:val="Body Text 2 Char"/>
    <w:basedOn w:val="DefaultParagraphFont"/>
    <w:link w:val="BodyText2"/>
    <w:rsid w:val="008C577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3B"/>
    <w:rPr>
      <w:rFonts w:ascii="Lucida Grande" w:eastAsiaTheme="minorEastAsia" w:hAnsi="Lucida Grande" w:cs="Lucida Grande"/>
      <w:sz w:val="18"/>
      <w:szCs w:val="18"/>
      <w:lang w:val="en-US"/>
    </w:rPr>
  </w:style>
  <w:style w:type="paragraph" w:customStyle="1" w:styleId="Explanation">
    <w:name w:val="Explanation"/>
    <w:basedOn w:val="Normal"/>
    <w:qFormat/>
    <w:rsid w:val="00665B8C"/>
    <w:pPr>
      <w:shd w:val="clear" w:color="auto" w:fill="FFFFE1"/>
      <w:ind w:left="113" w:right="113"/>
    </w:pPr>
    <w:rPr>
      <w:rFonts w:ascii="Calibri" w:eastAsia="Times New Roman" w:hAnsi="Calibri"/>
      <w:i/>
      <w:iCs/>
      <w:szCs w:val="24"/>
    </w:rPr>
  </w:style>
  <w:style w:type="paragraph" w:customStyle="1" w:styleId="Exaplanationbullets">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customStyle="1" w:styleId="HeaderChar">
    <w:name w:val="Header Char"/>
    <w:basedOn w:val="DefaultParagraphFont"/>
    <w:link w:val="Header"/>
    <w:uiPriority w:val="99"/>
    <w:rsid w:val="000E373B"/>
    <w:rPr>
      <w:rFonts w:ascii="Arial" w:eastAsiaTheme="minorEastAsia" w:hAnsi="Arial" w:cs="Times New Roman"/>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customStyle="1" w:styleId="FooterChar">
    <w:name w:val="Footer Char"/>
    <w:basedOn w:val="DefaultParagraphFont"/>
    <w:link w:val="Footer"/>
    <w:uiPriority w:val="99"/>
    <w:rsid w:val="000E373B"/>
    <w:rPr>
      <w:rFonts w:ascii="Arial" w:eastAsiaTheme="minorEastAsia" w:hAnsi="Arial" w:cs="Times New Roman"/>
      <w:sz w:val="16"/>
      <w:szCs w:val="18"/>
      <w:lang w:val="en-US"/>
    </w:rPr>
  </w:style>
  <w:style w:type="paragraph" w:customStyle="1" w:styleId="ecxmsonormal">
    <w:name w:val="ecxmsonormal"/>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paragraph" w:customStyle="1" w:styleId="ecxmsolistparagraph">
    <w:name w:val="ecxmsolistparagraph"/>
    <w:basedOn w:val="Normal"/>
    <w:rsid w:val="005E5334"/>
    <w:pPr>
      <w:spacing w:before="100" w:beforeAutospacing="1" w:after="100" w:afterAutospacing="1"/>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customStyle="1" w:styleId="CommentTextChar">
    <w:name w:val="Comment Text Char"/>
    <w:basedOn w:val="DefaultParagraphFont"/>
    <w:link w:val="CommentText"/>
    <w:uiPriority w:val="99"/>
    <w:semiHidden/>
    <w:rsid w:val="00CC6BC5"/>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0E373B"/>
    <w:rPr>
      <w:b/>
      <w:bCs/>
    </w:rPr>
  </w:style>
  <w:style w:type="character" w:customStyle="1" w:styleId="CommentSubjectChar">
    <w:name w:val="Comment Subject Char"/>
    <w:basedOn w:val="DefaultParagraphFont"/>
    <w:link w:val="CommentSubject"/>
    <w:uiPriority w:val="99"/>
    <w:semiHidden/>
    <w:rsid w:val="000E373B"/>
    <w:rPr>
      <w:rFonts w:ascii="Arial" w:eastAsiaTheme="minorEastAsia" w:hAnsi="Arial" w:cs="Times New Roman"/>
      <w:b/>
      <w:bCs/>
      <w:sz w:val="20"/>
      <w:szCs w:val="20"/>
      <w:lang w:val="en-US"/>
    </w:rPr>
  </w:style>
  <w:style w:type="paragraph" w:customStyle="1" w:styleId="BasicParagraph">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0E373B"/>
    <w:pPr>
      <w:numPr>
        <w:numId w:val="2"/>
      </w:numPr>
      <w:spacing w:after="60"/>
      <w:jc w:val="left"/>
    </w:pPr>
    <w:rPr>
      <w:rFonts w:eastAsia="Times New Roman"/>
      <w:color w:val="000000"/>
    </w:rPr>
  </w:style>
  <w:style w:type="paragraph" w:customStyle="1" w:styleId="Default">
    <w:name w:val="Default"/>
    <w:rsid w:val="000E373B"/>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customStyle="1" w:styleId="H1">
    <w:name w:val="H1"/>
    <w:basedOn w:val="Normal"/>
    <w:link w:val="H1Char"/>
    <w:qFormat/>
    <w:rsid w:val="000E373B"/>
    <w:pPr>
      <w:spacing w:before="360" w:after="240"/>
      <w:jc w:val="left"/>
      <w:outlineLvl w:val="0"/>
    </w:pPr>
    <w:rPr>
      <w:b/>
      <w:sz w:val="40"/>
      <w:szCs w:val="52"/>
    </w:rPr>
  </w:style>
  <w:style w:type="character" w:customStyle="1" w:styleId="H1Char">
    <w:name w:val="H1 Char"/>
    <w:basedOn w:val="DefaultParagraphFont"/>
    <w:link w:val="H1"/>
    <w:rsid w:val="000E373B"/>
    <w:rPr>
      <w:rFonts w:ascii="Arial" w:eastAsiaTheme="minorEastAsia" w:hAnsi="Arial" w:cs="Times New Roman"/>
      <w:b/>
      <w:sz w:val="40"/>
      <w:szCs w:val="52"/>
      <w:lang w:val="en-US"/>
    </w:rPr>
  </w:style>
  <w:style w:type="paragraph" w:customStyle="1" w:styleId="Header1">
    <w:name w:val="Header 1"/>
    <w:basedOn w:val="Header"/>
    <w:rsid w:val="000E373B"/>
    <w:rPr>
      <w:b/>
      <w:sz w:val="24"/>
      <w:szCs w:val="24"/>
    </w:rPr>
  </w:style>
  <w:style w:type="character" w:customStyle="1" w:styleId="Heading1Char">
    <w:name w:val="Heading 1 Char"/>
    <w:basedOn w:val="DefaultParagraphFont"/>
    <w:link w:val="Heading1"/>
    <w:uiPriority w:val="9"/>
    <w:rsid w:val="000E373B"/>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0E373B"/>
    <w:rPr>
      <w:rFonts w:ascii="Arial" w:eastAsiaTheme="minorEastAsia" w:hAnsi="Arial" w:cs="Times New Roman"/>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customStyle="1" w:styleId="Pantone485">
    <w:name w:val="Pantone 485"/>
    <w:basedOn w:val="DefaultParagraphFont"/>
    <w:uiPriority w:val="1"/>
    <w:qFormat/>
    <w:rsid w:val="000E373B"/>
    <w:rPr>
      <w:rFonts w:cs="Caecilia-Light"/>
      <w:color w:val="DC281E"/>
      <w:szCs w:val="16"/>
    </w:rPr>
  </w:style>
  <w:style w:type="paragraph" w:customStyle="1" w:styleId="RefItem1">
    <w:name w:val="Ref Item 1"/>
    <w:basedOn w:val="Normal"/>
    <w:rsid w:val="000E373B"/>
    <w:pPr>
      <w:jc w:val="left"/>
    </w:pPr>
    <w:rPr>
      <w:color w:val="000000"/>
      <w:szCs w:val="24"/>
      <w:lang w:eastAsia="it-IT"/>
    </w:rPr>
  </w:style>
  <w:style w:type="paragraph" w:customStyle="1" w:styleId="RefTitre">
    <w:name w:val="Ref Titre"/>
    <w:basedOn w:val="Normal"/>
    <w:rsid w:val="000E373B"/>
    <w:pPr>
      <w:jc w:val="left"/>
    </w:pPr>
    <w:rPr>
      <w:rFonts w:eastAsia="Times New Roman"/>
      <w:b/>
      <w:bCs/>
      <w:sz w:val="26"/>
      <w:szCs w:val="26"/>
    </w:rPr>
  </w:style>
  <w:style w:type="table" w:customStyle="1" w:styleId="TableGray">
    <w:name w:val="Table Gray"/>
    <w:basedOn w:val="TableNormal"/>
    <w:uiPriority w:val="99"/>
    <w:rsid w:val="000E373B"/>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E373B"/>
    <w:pPr>
      <w:numPr>
        <w:numId w:val="3"/>
      </w:numPr>
      <w:tabs>
        <w:tab w:val="left" w:pos="7230"/>
      </w:tabs>
      <w:spacing w:before="240" w:after="240"/>
      <w:ind w:right="0"/>
    </w:pPr>
    <w:rPr>
      <w:i w:val="0"/>
      <w:iCs w:val="0"/>
    </w:rPr>
  </w:style>
  <w:style w:type="character" w:customStyle="1" w:styleId="Heading4Char">
    <w:name w:val="Heading 4 Char"/>
    <w:basedOn w:val="DefaultParagraphFont"/>
    <w:link w:val="Heading4"/>
    <w:uiPriority w:val="9"/>
    <w:rsid w:val="00065F88"/>
    <w:rPr>
      <w:rFonts w:asciiTheme="majorHAnsi" w:eastAsiaTheme="majorEastAsia" w:hAnsiTheme="majorHAnsi" w:cstheme="majorBidi"/>
      <w:bCs/>
      <w:i/>
      <w:iCs/>
      <w:sz w:val="20"/>
      <w:szCs w:val="21"/>
    </w:rPr>
  </w:style>
  <w:style w:type="paragraph" w:customStyle="1" w:styleId="H2">
    <w:name w:val="H2"/>
    <w:basedOn w:val="Normal"/>
    <w:link w:val="H2Char"/>
    <w:qFormat/>
    <w:rsid w:val="00CC6BC5"/>
    <w:pPr>
      <w:keepNext/>
      <w:pBdr>
        <w:top w:val="single" w:sz="4" w:space="11" w:color="auto"/>
        <w:bottom w:val="single" w:sz="4" w:space="11" w:color="auto"/>
      </w:pBdr>
      <w:spacing w:before="360" w:after="360"/>
      <w:jc w:val="left"/>
      <w:outlineLvl w:val="1"/>
    </w:pPr>
    <w:rPr>
      <w:b/>
      <w:caps/>
      <w:color w:val="C00000"/>
      <w:sz w:val="24"/>
      <w:szCs w:val="26"/>
    </w:rPr>
  </w:style>
  <w:style w:type="character" w:customStyle="1" w:styleId="H2Char">
    <w:name w:val="H2 Char"/>
    <w:basedOn w:val="DefaultParagraphFont"/>
    <w:link w:val="H2"/>
    <w:rsid w:val="00CC6BC5"/>
    <w:rPr>
      <w:rFonts w:ascii="Arial" w:eastAsiaTheme="minorEastAsia" w:hAnsi="Arial" w:cs="Arial"/>
      <w:b/>
      <w:caps/>
      <w:color w:val="C00000"/>
      <w:sz w:val="24"/>
      <w:szCs w:val="26"/>
    </w:rPr>
  </w:style>
  <w:style w:type="paragraph" w:customStyle="1" w:styleId="H3">
    <w:name w:val="H3"/>
    <w:basedOn w:val="Normal"/>
    <w:link w:val="H3Char"/>
    <w:autoRedefine/>
    <w:qFormat/>
    <w:rsid w:val="00CC6667"/>
    <w:pPr>
      <w:keepNext/>
      <w:tabs>
        <w:tab w:val="left" w:pos="0"/>
      </w:tabs>
      <w:spacing w:before="360" w:after="240"/>
    </w:pPr>
    <w:rPr>
      <w:b/>
      <w:sz w:val="24"/>
      <w:szCs w:val="24"/>
    </w:rPr>
  </w:style>
  <w:style w:type="character" w:customStyle="1" w:styleId="H3Char">
    <w:name w:val="H3 Char"/>
    <w:basedOn w:val="DefaultParagraphFont"/>
    <w:link w:val="H3"/>
    <w:rsid w:val="00CC6667"/>
    <w:rPr>
      <w:rFonts w:ascii="Arial" w:eastAsiaTheme="minorEastAsia" w:hAnsi="Arial" w:cs="Arial"/>
      <w:b/>
      <w:sz w:val="24"/>
      <w:szCs w:val="24"/>
    </w:rPr>
  </w:style>
  <w:style w:type="paragraph" w:customStyle="1" w:styleId="NormalBold">
    <w:name w:val="Normal+Bold"/>
    <w:basedOn w:val="Normal"/>
    <w:autoRedefine/>
    <w:rsid w:val="005657F2"/>
    <w:pPr>
      <w:tabs>
        <w:tab w:val="left" w:pos="0"/>
      </w:tabs>
      <w:spacing w:before="240"/>
      <w:ind w:right="386"/>
    </w:pPr>
    <w:rPr>
      <w:b/>
      <w:sz w:val="21"/>
    </w:rPr>
  </w:style>
  <w:style w:type="paragraph" w:customStyle="1" w:styleId="NormalItalic">
    <w:name w:val="Normal+Italic"/>
    <w:basedOn w:val="Normal"/>
    <w:rsid w:val="00CC6BC5"/>
    <w:rPr>
      <w:i/>
    </w:rPr>
  </w:style>
  <w:style w:type="paragraph" w:customStyle="1" w:styleId="ExplanationList">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customStyle="1" w:styleId="FootnoteTextChar">
    <w:name w:val="Footnote Text Char"/>
    <w:basedOn w:val="DefaultParagraphFont"/>
    <w:link w:val="FootnoteText"/>
    <w:uiPriority w:val="99"/>
    <w:rsid w:val="000E373B"/>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eastAsiaTheme="minorEastAsia" w:hAnsi="Arial" w:cs="Arial"/>
      <w:sz w:val="21"/>
      <w:szCs w:val="21"/>
      <w:lang w:val="en-US"/>
    </w:rPr>
  </w:style>
  <w:style w:type="paragraph" w:customStyle="1" w:styleId="Info">
    <w:name w:val="Info"/>
    <w:basedOn w:val="Normal"/>
    <w:rsid w:val="00652D0C"/>
    <w:pPr>
      <w:shd w:val="clear" w:color="auto" w:fill="D9D9D9" w:themeFill="background1" w:themeFillShade="D9"/>
    </w:pPr>
    <w:rPr>
      <w:i/>
      <w:sz w:val="18"/>
    </w:rPr>
  </w:style>
  <w:style w:type="paragraph" w:customStyle="1" w:styleId="ListNumber1">
    <w:name w:val="List Number 1"/>
    <w:basedOn w:val="Normal"/>
    <w:rsid w:val="000E373B"/>
    <w:pPr>
      <w:numPr>
        <w:ilvl w:val="1"/>
        <w:numId w:val="9"/>
      </w:numPr>
      <w:contextualSpacing/>
    </w:pPr>
    <w:rPr>
      <w:rFonts w:eastAsiaTheme="minorHAnsi" w:cstheme="minorHAnsi"/>
      <w:szCs w:val="22"/>
    </w:rPr>
  </w:style>
  <w:style w:type="paragraph" w:customStyle="1" w:styleId="NormalNo">
    <w:name w:val="Normal + No"/>
    <w:basedOn w:val="Normal"/>
    <w:qFormat/>
    <w:rsid w:val="000E373B"/>
    <w:pPr>
      <w:numPr>
        <w:numId w:val="10"/>
      </w:numPr>
    </w:pPr>
    <w:rPr>
      <w:rFonts w:eastAsia="MS Mincho"/>
      <w:b/>
      <w:sz w:val="22"/>
    </w:rPr>
  </w:style>
  <w:style w:type="paragraph" w:customStyle="1" w:styleId="Indent">
    <w:name w:val="Indent"/>
    <w:basedOn w:val="Normal"/>
    <w:qFormat/>
    <w:rsid w:val="000E373B"/>
    <w:pPr>
      <w:ind w:left="567"/>
    </w:pPr>
    <w:rPr>
      <w:rFonts w:cs="Arial"/>
      <w:b/>
    </w:rPr>
  </w:style>
  <w:style w:type="paragraph" w:customStyle="1" w:styleId="TitreTableau">
    <w:name w:val="Titre Tableau"/>
    <w:basedOn w:val="Normal"/>
    <w:qFormat/>
    <w:rsid w:val="000E373B"/>
    <w:pPr>
      <w:spacing w:before="120"/>
      <w:jc w:val="center"/>
    </w:pPr>
    <w:rPr>
      <w:rFonts w:cs="Arial"/>
      <w:b/>
      <w:bCs/>
      <w:color w:val="FFFFFF" w:themeColor="background1"/>
      <w:lang w:val="en-CA"/>
    </w:rPr>
  </w:style>
  <w:style w:type="paragraph" w:customStyle="1" w:styleId="BulletTableau">
    <w:name w:val="Bullet Tableau"/>
    <w:basedOn w:val="Bullet2"/>
    <w:qFormat/>
    <w:rsid w:val="000E373B"/>
    <w:pPr>
      <w:keepNext/>
      <w:keepLines/>
      <w:framePr w:hSpace="141" w:wrap="around" w:vAnchor="text" w:hAnchor="margin" w:y="402"/>
      <w:numPr>
        <w:numId w:val="12"/>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40">
      <w:bodyDiv w:val="1"/>
      <w:marLeft w:val="0"/>
      <w:marRight w:val="0"/>
      <w:marTop w:val="0"/>
      <w:marBottom w:val="0"/>
      <w:divBdr>
        <w:top w:val="none" w:sz="0" w:space="0" w:color="auto"/>
        <w:left w:val="none" w:sz="0" w:space="0" w:color="auto"/>
        <w:bottom w:val="none" w:sz="0" w:space="0" w:color="auto"/>
        <w:right w:val="none" w:sz="0" w:space="0" w:color="auto"/>
      </w:divBdr>
      <w:divsChild>
        <w:div w:id="1745762748">
          <w:marLeft w:val="432"/>
          <w:marRight w:val="0"/>
          <w:marTop w:val="58"/>
          <w:marBottom w:val="0"/>
          <w:divBdr>
            <w:top w:val="none" w:sz="0" w:space="0" w:color="auto"/>
            <w:left w:val="none" w:sz="0" w:space="0" w:color="auto"/>
            <w:bottom w:val="none" w:sz="0" w:space="0" w:color="auto"/>
            <w:right w:val="none" w:sz="0" w:space="0" w:color="auto"/>
          </w:divBdr>
        </w:div>
        <w:div w:id="1824203717">
          <w:marLeft w:val="432"/>
          <w:marRight w:val="0"/>
          <w:marTop w:val="58"/>
          <w:marBottom w:val="0"/>
          <w:divBdr>
            <w:top w:val="none" w:sz="0" w:space="0" w:color="auto"/>
            <w:left w:val="none" w:sz="0" w:space="0" w:color="auto"/>
            <w:bottom w:val="none" w:sz="0" w:space="0" w:color="auto"/>
            <w:right w:val="none" w:sz="0" w:space="0" w:color="auto"/>
          </w:divBdr>
        </w:div>
        <w:div w:id="1040394106">
          <w:marLeft w:val="432"/>
          <w:marRight w:val="0"/>
          <w:marTop w:val="58"/>
          <w:marBottom w:val="0"/>
          <w:divBdr>
            <w:top w:val="none" w:sz="0" w:space="0" w:color="auto"/>
            <w:left w:val="none" w:sz="0" w:space="0" w:color="auto"/>
            <w:bottom w:val="none" w:sz="0" w:space="0" w:color="auto"/>
            <w:right w:val="none" w:sz="0" w:space="0" w:color="auto"/>
          </w:divBdr>
        </w:div>
      </w:divsChild>
    </w:div>
    <w:div w:id="404887361">
      <w:bodyDiv w:val="1"/>
      <w:marLeft w:val="0"/>
      <w:marRight w:val="0"/>
      <w:marTop w:val="0"/>
      <w:marBottom w:val="0"/>
      <w:divBdr>
        <w:top w:val="none" w:sz="0" w:space="0" w:color="auto"/>
        <w:left w:val="none" w:sz="0" w:space="0" w:color="auto"/>
        <w:bottom w:val="none" w:sz="0" w:space="0" w:color="auto"/>
        <w:right w:val="none" w:sz="0" w:space="0" w:color="auto"/>
      </w:divBdr>
      <w:divsChild>
        <w:div w:id="149909916">
          <w:marLeft w:val="432"/>
          <w:marRight w:val="0"/>
          <w:marTop w:val="55"/>
          <w:marBottom w:val="0"/>
          <w:divBdr>
            <w:top w:val="none" w:sz="0" w:space="0" w:color="auto"/>
            <w:left w:val="none" w:sz="0" w:space="0" w:color="auto"/>
            <w:bottom w:val="none" w:sz="0" w:space="0" w:color="auto"/>
            <w:right w:val="none" w:sz="0" w:space="0" w:color="auto"/>
          </w:divBdr>
        </w:div>
      </w:divsChild>
    </w:div>
    <w:div w:id="6937711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083">
          <w:marLeft w:val="432"/>
          <w:marRight w:val="0"/>
          <w:marTop w:val="58"/>
          <w:marBottom w:val="0"/>
          <w:divBdr>
            <w:top w:val="none" w:sz="0" w:space="0" w:color="auto"/>
            <w:left w:val="none" w:sz="0" w:space="0" w:color="auto"/>
            <w:bottom w:val="none" w:sz="0" w:space="0" w:color="auto"/>
            <w:right w:val="none" w:sz="0" w:space="0" w:color="auto"/>
          </w:divBdr>
        </w:div>
        <w:div w:id="1208570819">
          <w:marLeft w:val="432"/>
          <w:marRight w:val="0"/>
          <w:marTop w:val="58"/>
          <w:marBottom w:val="0"/>
          <w:divBdr>
            <w:top w:val="none" w:sz="0" w:space="0" w:color="auto"/>
            <w:left w:val="none" w:sz="0" w:space="0" w:color="auto"/>
            <w:bottom w:val="none" w:sz="0" w:space="0" w:color="auto"/>
            <w:right w:val="none" w:sz="0" w:space="0" w:color="auto"/>
          </w:divBdr>
        </w:div>
        <w:div w:id="2101024802">
          <w:marLeft w:val="432"/>
          <w:marRight w:val="0"/>
          <w:marTop w:val="58"/>
          <w:marBottom w:val="0"/>
          <w:divBdr>
            <w:top w:val="none" w:sz="0" w:space="0" w:color="auto"/>
            <w:left w:val="none" w:sz="0" w:space="0" w:color="auto"/>
            <w:bottom w:val="none" w:sz="0" w:space="0" w:color="auto"/>
            <w:right w:val="none" w:sz="0" w:space="0" w:color="auto"/>
          </w:divBdr>
        </w:div>
        <w:div w:id="1327631127">
          <w:marLeft w:val="432"/>
          <w:marRight w:val="0"/>
          <w:marTop w:val="58"/>
          <w:marBottom w:val="0"/>
          <w:divBdr>
            <w:top w:val="none" w:sz="0" w:space="0" w:color="auto"/>
            <w:left w:val="none" w:sz="0" w:space="0" w:color="auto"/>
            <w:bottom w:val="none" w:sz="0" w:space="0" w:color="auto"/>
            <w:right w:val="none" w:sz="0" w:space="0" w:color="auto"/>
          </w:divBdr>
        </w:div>
        <w:div w:id="201943916">
          <w:marLeft w:val="432"/>
          <w:marRight w:val="0"/>
          <w:marTop w:val="58"/>
          <w:marBottom w:val="0"/>
          <w:divBdr>
            <w:top w:val="none" w:sz="0" w:space="0" w:color="auto"/>
            <w:left w:val="none" w:sz="0" w:space="0" w:color="auto"/>
            <w:bottom w:val="none" w:sz="0" w:space="0" w:color="auto"/>
            <w:right w:val="none" w:sz="0" w:space="0" w:color="auto"/>
          </w:divBdr>
        </w:div>
        <w:div w:id="765421550">
          <w:marLeft w:val="432"/>
          <w:marRight w:val="0"/>
          <w:marTop w:val="58"/>
          <w:marBottom w:val="0"/>
          <w:divBdr>
            <w:top w:val="none" w:sz="0" w:space="0" w:color="auto"/>
            <w:left w:val="none" w:sz="0" w:space="0" w:color="auto"/>
            <w:bottom w:val="none" w:sz="0" w:space="0" w:color="auto"/>
            <w:right w:val="none" w:sz="0" w:space="0" w:color="auto"/>
          </w:divBdr>
        </w:div>
      </w:divsChild>
    </w:div>
    <w:div w:id="1236936832">
      <w:bodyDiv w:val="1"/>
      <w:marLeft w:val="0"/>
      <w:marRight w:val="0"/>
      <w:marTop w:val="0"/>
      <w:marBottom w:val="0"/>
      <w:divBdr>
        <w:top w:val="none" w:sz="0" w:space="0" w:color="auto"/>
        <w:left w:val="none" w:sz="0" w:space="0" w:color="auto"/>
        <w:bottom w:val="none" w:sz="0" w:space="0" w:color="auto"/>
        <w:right w:val="none" w:sz="0" w:space="0" w:color="auto"/>
      </w:divBdr>
      <w:divsChild>
        <w:div w:id="156311286">
          <w:marLeft w:val="432"/>
          <w:marRight w:val="0"/>
          <w:marTop w:val="55"/>
          <w:marBottom w:val="0"/>
          <w:divBdr>
            <w:top w:val="none" w:sz="0" w:space="0" w:color="auto"/>
            <w:left w:val="none" w:sz="0" w:space="0" w:color="auto"/>
            <w:bottom w:val="none" w:sz="0" w:space="0" w:color="auto"/>
            <w:right w:val="none" w:sz="0" w:space="0" w:color="auto"/>
          </w:divBdr>
        </w:div>
      </w:divsChild>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sChild>
        <w:div w:id="1554660319">
          <w:marLeft w:val="432"/>
          <w:marRight w:val="0"/>
          <w:marTop w:val="55"/>
          <w:marBottom w:val="0"/>
          <w:divBdr>
            <w:top w:val="none" w:sz="0" w:space="0" w:color="auto"/>
            <w:left w:val="none" w:sz="0" w:space="0" w:color="auto"/>
            <w:bottom w:val="none" w:sz="0" w:space="0" w:color="auto"/>
            <w:right w:val="none" w:sz="0" w:space="0" w:color="auto"/>
          </w:divBdr>
        </w:div>
        <w:div w:id="2089615596">
          <w:marLeft w:val="432"/>
          <w:marRight w:val="0"/>
          <w:marTop w:val="55"/>
          <w:marBottom w:val="0"/>
          <w:divBdr>
            <w:top w:val="none" w:sz="0" w:space="0" w:color="auto"/>
            <w:left w:val="none" w:sz="0" w:space="0" w:color="auto"/>
            <w:bottom w:val="none" w:sz="0" w:space="0" w:color="auto"/>
            <w:right w:val="none" w:sz="0" w:space="0" w:color="auto"/>
          </w:divBdr>
        </w:div>
        <w:div w:id="1515538245">
          <w:marLeft w:val="432"/>
          <w:marRight w:val="0"/>
          <w:marTop w:val="55"/>
          <w:marBottom w:val="0"/>
          <w:divBdr>
            <w:top w:val="none" w:sz="0" w:space="0" w:color="auto"/>
            <w:left w:val="none" w:sz="0" w:space="0" w:color="auto"/>
            <w:bottom w:val="none" w:sz="0" w:space="0" w:color="auto"/>
            <w:right w:val="none" w:sz="0" w:space="0" w:color="auto"/>
          </w:divBdr>
        </w:div>
        <w:div w:id="1162161600">
          <w:marLeft w:val="432"/>
          <w:marRight w:val="0"/>
          <w:marTop w:val="55"/>
          <w:marBottom w:val="0"/>
          <w:divBdr>
            <w:top w:val="none" w:sz="0" w:space="0" w:color="auto"/>
            <w:left w:val="none" w:sz="0" w:space="0" w:color="auto"/>
            <w:bottom w:val="none" w:sz="0" w:space="0" w:color="auto"/>
            <w:right w:val="none" w:sz="0" w:space="0" w:color="auto"/>
          </w:divBdr>
        </w:div>
        <w:div w:id="755786712">
          <w:marLeft w:val="432"/>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51</TotalTime>
  <Pages>3</Pages>
  <Words>1439</Words>
  <Characters>8204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Nicole Francoeur</cp:lastModifiedBy>
  <cp:revision>13</cp:revision>
  <cp:lastPrinted>2015-09-08T18:41:00Z</cp:lastPrinted>
  <dcterms:created xsi:type="dcterms:W3CDTF">2015-09-04T12:57:00Z</dcterms:created>
  <dcterms:modified xsi:type="dcterms:W3CDTF">2015-09-14T00:36:00Z</dcterms:modified>
</cp:coreProperties>
</file>