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E7" w:rsidRPr="00BE14AA" w:rsidRDefault="00BE14AA" w:rsidP="00973013">
      <w:pPr>
        <w:pStyle w:val="H1"/>
        <w:spacing w:after="480"/>
        <w:rPr>
          <w:lang w:val="fr-FR"/>
        </w:rPr>
      </w:pPr>
      <w:bookmarkStart w:id="0" w:name="_GoBack"/>
      <w:r w:rsidRPr="00BE14AA">
        <w:rPr>
          <w:lang w:val="fr-FR"/>
        </w:rPr>
        <w:t xml:space="preserve">Comparaison des </w:t>
      </w:r>
      <w:r>
        <w:rPr>
          <w:lang w:val="fr-FR"/>
        </w:rPr>
        <w:t>modalités</w:t>
      </w:r>
      <w:r w:rsidRPr="00BE14AA">
        <w:rPr>
          <w:lang w:val="fr-FR"/>
        </w:rPr>
        <w:t xml:space="preserve"> et des</w:t>
      </w:r>
      <w:r>
        <w:rPr>
          <w:lang w:val="fr-FR"/>
        </w:rPr>
        <w:t xml:space="preserve"> mécanismes de transfert</w:t>
      </w:r>
      <w:r w:rsidR="003A4F94">
        <w:rPr>
          <w:lang w:val="fr-FR"/>
        </w:rPr>
        <w:t>s</w:t>
      </w:r>
    </w:p>
    <w:tbl>
      <w:tblPr>
        <w:tblStyle w:val="TableGrid"/>
        <w:tblW w:w="9848" w:type="dxa"/>
        <w:tblLook w:val="00A0" w:firstRow="1" w:lastRow="0" w:firstColumn="1" w:lastColumn="0" w:noHBand="0" w:noVBand="0"/>
      </w:tblPr>
      <w:tblGrid>
        <w:gridCol w:w="2561"/>
        <w:gridCol w:w="7287"/>
      </w:tblGrid>
      <w:tr w:rsidR="00973013" w:rsidRPr="00BE14AA" w:rsidTr="00973013">
        <w:tc>
          <w:tcPr>
            <w:tcW w:w="2061" w:type="dxa"/>
            <w:tcBorders>
              <w:bottom w:val="single" w:sz="4" w:space="0" w:color="auto"/>
            </w:tcBorders>
            <w:shd w:val="clear" w:color="auto" w:fill="DC281E"/>
          </w:tcPr>
          <w:p w:rsidR="002D75B3" w:rsidRPr="00BE14AA" w:rsidRDefault="00BE14AA" w:rsidP="00973013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Critères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DC281E"/>
          </w:tcPr>
          <w:p w:rsidR="002D75B3" w:rsidRPr="00BE14AA" w:rsidRDefault="00BE14AA" w:rsidP="00973013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Questions clés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B87994" w:rsidP="00B87994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BESOINS</w:t>
            </w:r>
            <w:r w:rsidR="002D75B3"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 xml:space="preserve"> </w:t>
            </w: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devant être couverts par l’intervention</w:t>
            </w:r>
          </w:p>
        </w:tc>
        <w:tc>
          <w:tcPr>
            <w:tcW w:w="7787" w:type="dxa"/>
            <w:shd w:val="clear" w:color="auto" w:fill="F3F3F3"/>
          </w:tcPr>
          <w:p w:rsidR="00B87994" w:rsidRDefault="00B87994" w:rsidP="00973013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>Quels sont les mécanismes/modalités les plus adaptés pour répondre aux besoins de la population touchée ?</w:t>
            </w:r>
          </w:p>
          <w:p w:rsidR="00E67D35" w:rsidRPr="00BE14AA" w:rsidRDefault="00B87994" w:rsidP="00973013">
            <w:pPr>
              <w:spacing w:before="60" w:after="60"/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>Prenez en compte les objectifs et les résultats attendus de l’intervention, en lien avec les vulnérabilités particulières de la population touchée.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2D75B3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F</w:t>
            </w:r>
            <w:r w:rsidR="00B87994">
              <w:rPr>
                <w:rFonts w:ascii="Arial Bold" w:hAnsi="Arial Bold"/>
                <w:b/>
                <w:color w:val="FFFFFF" w:themeColor="background1"/>
                <w:lang w:val="fr-FR"/>
              </w:rPr>
              <w:t>INANCEMENT</w:t>
            </w:r>
          </w:p>
        </w:tc>
        <w:tc>
          <w:tcPr>
            <w:tcW w:w="7787" w:type="dxa"/>
            <w:shd w:val="clear" w:color="auto" w:fill="F3F3F3"/>
          </w:tcPr>
          <w:p w:rsidR="002D75B3" w:rsidRPr="00BE14AA" w:rsidRDefault="00B43B08" w:rsidP="00B43B08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>Quels sont les mécanismes/modalités les plus susceptibles d’être financés ?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B87994" w:rsidP="00B87994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 xml:space="preserve">Politiques </w:t>
            </w:r>
            <w:r w:rsidR="002D75B3"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GO</w:t>
            </w: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U</w:t>
            </w:r>
            <w:r w:rsidR="002D75B3"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VERN</w:t>
            </w: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E</w:t>
            </w:r>
            <w:r w:rsidR="002D75B3"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MENT</w:t>
            </w: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ALES</w:t>
            </w:r>
          </w:p>
        </w:tc>
        <w:tc>
          <w:tcPr>
            <w:tcW w:w="7787" w:type="dxa"/>
            <w:shd w:val="clear" w:color="auto" w:fill="F3F3F3"/>
          </w:tcPr>
          <w:p w:rsidR="00B43B08" w:rsidRDefault="00B43B08" w:rsidP="00973013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>Quels sont les mécanismes/modalités les plus en adéquation avec les politiques et les programmes gouvernementaux ?</w:t>
            </w:r>
          </w:p>
          <w:p w:rsidR="002D75B3" w:rsidRPr="00BE14AA" w:rsidRDefault="00B43B08" w:rsidP="00D94701">
            <w:pPr>
              <w:spacing w:before="60" w:after="60"/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Réfléchissez aux synergies possibles et aux </w:t>
            </w:r>
            <w:r w:rsidR="00D94701">
              <w:rPr>
                <w:i/>
                <w:lang w:val="fr-FR"/>
              </w:rPr>
              <w:t>mises à jour</w:t>
            </w:r>
            <w:r>
              <w:rPr>
                <w:i/>
                <w:lang w:val="fr-FR"/>
              </w:rPr>
              <w:t xml:space="preserve"> futures.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2D75B3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MAR</w:t>
            </w:r>
            <w:r w:rsidR="00B87994">
              <w:rPr>
                <w:rFonts w:ascii="Arial Bold" w:hAnsi="Arial Bold"/>
                <w:b/>
                <w:color w:val="FFFFFF" w:themeColor="background1"/>
                <w:lang w:val="fr-FR"/>
              </w:rPr>
              <w:t>CHÉS</w:t>
            </w:r>
          </w:p>
        </w:tc>
        <w:tc>
          <w:tcPr>
            <w:tcW w:w="7787" w:type="dxa"/>
            <w:shd w:val="clear" w:color="auto" w:fill="F3F3F3"/>
          </w:tcPr>
          <w:p w:rsidR="00B43B08" w:rsidRDefault="00B43B08" w:rsidP="00A752BB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Quels sont les mécanismes/modalités </w:t>
            </w:r>
            <w:r w:rsidR="00A752BB">
              <w:rPr>
                <w:lang w:val="fr-FR"/>
              </w:rPr>
              <w:t>les plus adaptés aux</w:t>
            </w:r>
            <w:r w:rsidR="00D94701">
              <w:rPr>
                <w:lang w:val="fr-FR"/>
              </w:rPr>
              <w:t xml:space="preserve"> conditions des marchés locaux ?</w:t>
            </w:r>
          </w:p>
          <w:p w:rsidR="002D75B3" w:rsidRPr="00BE14AA" w:rsidRDefault="002D75B3" w:rsidP="00D94701">
            <w:pPr>
              <w:spacing w:before="60" w:after="60"/>
              <w:jc w:val="left"/>
              <w:rPr>
                <w:lang w:val="fr-FR"/>
              </w:rPr>
            </w:pP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B87994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CAPACITÉS ORGANISATIONNELLES</w:t>
            </w:r>
          </w:p>
        </w:tc>
        <w:tc>
          <w:tcPr>
            <w:tcW w:w="7787" w:type="dxa"/>
            <w:shd w:val="clear" w:color="auto" w:fill="F3F3F3"/>
          </w:tcPr>
          <w:p w:rsidR="00D94701" w:rsidRDefault="00D94701" w:rsidP="00A752BB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>Quels sont les mécanismes/modalités que l’organis</w:t>
            </w:r>
            <w:r w:rsidR="00A752BB">
              <w:rPr>
                <w:lang w:val="fr-FR"/>
              </w:rPr>
              <w:t>ation</w:t>
            </w:r>
            <w:r>
              <w:rPr>
                <w:lang w:val="fr-FR"/>
              </w:rPr>
              <w:t xml:space="preserve"> serait </w:t>
            </w:r>
            <w:r w:rsidR="00A752BB">
              <w:rPr>
                <w:lang w:val="fr-FR"/>
              </w:rPr>
              <w:t>la mieux préparée</w:t>
            </w:r>
            <w:r w:rsidR="005F1A9F">
              <w:rPr>
                <w:lang w:val="fr-FR"/>
              </w:rPr>
              <w:t xml:space="preserve"> </w:t>
            </w:r>
            <w:r w:rsidR="004E0DD4">
              <w:rPr>
                <w:lang w:val="fr-FR"/>
              </w:rPr>
              <w:t>à</w:t>
            </w:r>
            <w:r>
              <w:rPr>
                <w:lang w:val="fr-FR"/>
              </w:rPr>
              <w:t xml:space="preserve"> mettre en œuvre ?</w:t>
            </w:r>
          </w:p>
          <w:p w:rsidR="002D75B3" w:rsidRPr="00BE14AA" w:rsidRDefault="005F1A9F" w:rsidP="00973013">
            <w:pPr>
              <w:spacing w:before="60" w:after="60"/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>Prenez en compte les expériences précédentes, ainsi que les systèmes, les contrats et les accords de partenariat déjà mis en place.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2D75B3" w:rsidP="00B87994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INFRASTRUCTURE</w:t>
            </w:r>
            <w:r w:rsidR="00B87994">
              <w:rPr>
                <w:rFonts w:ascii="Arial Bold" w:hAnsi="Arial Bold"/>
                <w:b/>
                <w:color w:val="FFFFFF" w:themeColor="background1"/>
                <w:lang w:val="fr-FR"/>
              </w:rPr>
              <w:t>S</w:t>
            </w:r>
            <w:r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 xml:space="preserve"> </w:t>
            </w:r>
            <w:r w:rsidR="00B87994">
              <w:rPr>
                <w:rFonts w:ascii="Arial Bold" w:hAnsi="Arial Bold"/>
                <w:b/>
                <w:color w:val="FFFFFF" w:themeColor="background1"/>
                <w:lang w:val="fr-FR"/>
              </w:rPr>
              <w:t>ET</w:t>
            </w:r>
            <w:r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 xml:space="preserve"> SERVICES</w:t>
            </w:r>
          </w:p>
        </w:tc>
        <w:tc>
          <w:tcPr>
            <w:tcW w:w="7787" w:type="dxa"/>
            <w:shd w:val="clear" w:color="auto" w:fill="F3F3F3"/>
          </w:tcPr>
          <w:p w:rsidR="005F1A9F" w:rsidRDefault="00B34EF5" w:rsidP="00973013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Quels sont les mécanismes/modalités </w:t>
            </w:r>
            <w:r w:rsidR="004E0DD4">
              <w:rPr>
                <w:lang w:val="fr-FR"/>
              </w:rPr>
              <w:t>les plus appropriés et fiables au regard</w:t>
            </w:r>
            <w:r>
              <w:rPr>
                <w:lang w:val="fr-FR"/>
              </w:rPr>
              <w:t xml:space="preserve"> des infrastructures existantes et des services disp</w:t>
            </w:r>
            <w:r w:rsidR="00A752BB">
              <w:rPr>
                <w:lang w:val="fr-FR"/>
              </w:rPr>
              <w:t>onibles </w:t>
            </w:r>
            <w:r>
              <w:rPr>
                <w:lang w:val="fr-FR"/>
              </w:rPr>
              <w:t>?</w:t>
            </w:r>
          </w:p>
          <w:p w:rsidR="002D75B3" w:rsidRPr="00B34EF5" w:rsidRDefault="00B34EF5" w:rsidP="00973013">
            <w:pPr>
              <w:spacing w:before="60" w:after="60"/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>Réfléchissez aux limites imposées par les infrastructures et les services disponibles.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B87994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RAPIDITÉ</w:t>
            </w:r>
          </w:p>
        </w:tc>
        <w:tc>
          <w:tcPr>
            <w:tcW w:w="7787" w:type="dxa"/>
            <w:shd w:val="clear" w:color="auto" w:fill="F3F3F3"/>
          </w:tcPr>
          <w:p w:rsidR="00B34EF5" w:rsidRDefault="006B3D51" w:rsidP="00973013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Quels sont les mécanismes/modalités dont les délais de mise en place sont les plus courts ? </w:t>
            </w:r>
          </w:p>
          <w:p w:rsidR="002D75B3" w:rsidRPr="006B3D51" w:rsidRDefault="00D93696" w:rsidP="00973013">
            <w:pPr>
              <w:spacing w:before="60" w:after="60"/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>Prenez en compte le</w:t>
            </w:r>
            <w:r w:rsidR="006B3D51" w:rsidRPr="006B3D51">
              <w:rPr>
                <w:i/>
                <w:lang w:val="fr-FR"/>
              </w:rPr>
              <w:t xml:space="preserve"> temps nécessaire pour sélectionner et recruter les prestataires de services.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B87994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PRÉFÉRENCES DES BÉNÉFICIAIRES</w:t>
            </w:r>
          </w:p>
        </w:tc>
        <w:tc>
          <w:tcPr>
            <w:tcW w:w="7787" w:type="dxa"/>
            <w:shd w:val="clear" w:color="auto" w:fill="F3F3F3"/>
          </w:tcPr>
          <w:p w:rsidR="006B3D51" w:rsidRDefault="006B3D51" w:rsidP="00973013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>Quels sont les mécanismes/modalités privilégiés par les bénéficiaires ?</w:t>
            </w:r>
          </w:p>
          <w:p w:rsidR="002D75B3" w:rsidRPr="006B3D51" w:rsidRDefault="006B3D51" w:rsidP="00973013">
            <w:pPr>
              <w:spacing w:before="60" w:after="60"/>
              <w:jc w:val="left"/>
              <w:rPr>
                <w:i/>
                <w:lang w:val="fr-FR"/>
              </w:rPr>
            </w:pPr>
            <w:r w:rsidRPr="006B3D51">
              <w:rPr>
                <w:i/>
                <w:lang w:val="fr-FR"/>
              </w:rPr>
              <w:t>Réfléchissez aux aspects liés à l’autonomisation et à la dignité des bénéficiaires.</w:t>
            </w:r>
          </w:p>
          <w:p w:rsidR="002D75B3" w:rsidRPr="006B3D51" w:rsidRDefault="006B3D51" w:rsidP="00A752BB">
            <w:pPr>
              <w:spacing w:before="60" w:after="60"/>
              <w:jc w:val="left"/>
              <w:rPr>
                <w:lang w:val="fr-FR"/>
              </w:rPr>
            </w:pPr>
            <w:r w:rsidRPr="006B3D51">
              <w:rPr>
                <w:i/>
                <w:lang w:val="fr-FR"/>
              </w:rPr>
              <w:t xml:space="preserve">Prenez également en compte les capacités des bénéficiaires : par exemple leur capacité </w:t>
            </w:r>
            <w:r w:rsidR="00A752BB">
              <w:rPr>
                <w:i/>
                <w:lang w:val="fr-FR"/>
              </w:rPr>
              <w:t>d’</w:t>
            </w:r>
            <w:r w:rsidRPr="006B3D51">
              <w:rPr>
                <w:i/>
                <w:lang w:val="fr-FR"/>
              </w:rPr>
              <w:t>utiliser les technologies (téléphones mobiles, cartes, etc.).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2D75B3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RIS</w:t>
            </w:r>
            <w:r w:rsidR="00B87994">
              <w:rPr>
                <w:rFonts w:ascii="Arial Bold" w:hAnsi="Arial Bold"/>
                <w:b/>
                <w:color w:val="FFFFFF" w:themeColor="background1"/>
                <w:lang w:val="fr-FR"/>
              </w:rPr>
              <w:t>QUES</w:t>
            </w:r>
          </w:p>
        </w:tc>
        <w:tc>
          <w:tcPr>
            <w:tcW w:w="7787" w:type="dxa"/>
            <w:shd w:val="clear" w:color="auto" w:fill="F3F3F3"/>
          </w:tcPr>
          <w:p w:rsidR="006B3D51" w:rsidRDefault="006B3D51" w:rsidP="00A752BB">
            <w:pPr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Quels sont les mécanismes/modalités </w:t>
            </w:r>
            <w:r w:rsidR="00A752BB">
              <w:rPr>
                <w:lang w:val="fr-FR"/>
              </w:rPr>
              <w:t>présentant le</w:t>
            </w:r>
            <w:r>
              <w:rPr>
                <w:lang w:val="fr-FR"/>
              </w:rPr>
              <w:t xml:space="preserve"> moins de risques et/ou dont les risques sont plus faciles à gérer ?</w:t>
            </w:r>
          </w:p>
          <w:p w:rsidR="006B3D51" w:rsidRPr="006B3D51" w:rsidRDefault="006B3D51" w:rsidP="00973013">
            <w:pPr>
              <w:spacing w:before="60" w:after="60"/>
              <w:jc w:val="left"/>
              <w:rPr>
                <w:i/>
                <w:lang w:val="fr-FR"/>
              </w:rPr>
            </w:pPr>
            <w:r w:rsidRPr="006B3D51">
              <w:rPr>
                <w:i/>
                <w:lang w:val="fr-FR"/>
              </w:rPr>
              <w:t xml:space="preserve">Réfléchissez aux risques liés au contexte, aux programmes et à l’institution, et en particulier aux risques liés à la sécurité des bénéficiaires et des employés </w:t>
            </w:r>
            <w:r w:rsidR="004E0DD4">
              <w:rPr>
                <w:i/>
                <w:lang w:val="fr-FR"/>
              </w:rPr>
              <w:t>et aux risques de corruption et d’</w:t>
            </w:r>
            <w:r w:rsidRPr="006B3D51">
              <w:rPr>
                <w:i/>
                <w:lang w:val="fr-FR"/>
              </w:rPr>
              <w:t>abus.</w:t>
            </w:r>
          </w:p>
          <w:p w:rsidR="002D75B3" w:rsidRPr="00BE14AA" w:rsidRDefault="006B3D51" w:rsidP="00A752BB">
            <w:pPr>
              <w:spacing w:before="60" w:after="60"/>
              <w:jc w:val="left"/>
              <w:rPr>
                <w:lang w:val="fr-FR"/>
              </w:rPr>
            </w:pPr>
            <w:r w:rsidRPr="006B3D51">
              <w:rPr>
                <w:i/>
                <w:lang w:val="fr-FR"/>
              </w:rPr>
              <w:t xml:space="preserve">Réfléchissez également à la possibilité de transférer les risques à des </w:t>
            </w:r>
            <w:r w:rsidR="00A752BB">
              <w:rPr>
                <w:i/>
                <w:lang w:val="fr-FR"/>
              </w:rPr>
              <w:t>organismes tiers</w:t>
            </w:r>
            <w:r w:rsidRPr="006B3D51">
              <w:rPr>
                <w:i/>
                <w:lang w:val="fr-FR"/>
              </w:rPr>
              <w:t>.</w:t>
            </w:r>
          </w:p>
        </w:tc>
      </w:tr>
      <w:tr w:rsidR="002D75B3" w:rsidRPr="003A4F94" w:rsidTr="00973013">
        <w:tc>
          <w:tcPr>
            <w:tcW w:w="2061" w:type="dxa"/>
            <w:shd w:val="clear" w:color="auto" w:fill="A6A6A6"/>
          </w:tcPr>
          <w:p w:rsidR="002D75B3" w:rsidRPr="00BE14AA" w:rsidRDefault="00B87994" w:rsidP="00973013">
            <w:pPr>
              <w:spacing w:before="60" w:after="60"/>
              <w:jc w:val="left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>
              <w:rPr>
                <w:rFonts w:ascii="Arial Bold" w:hAnsi="Arial Bold"/>
                <w:b/>
                <w:color w:val="FFFFFF" w:themeColor="background1"/>
                <w:lang w:val="fr-FR"/>
              </w:rPr>
              <w:t>COÛ</w:t>
            </w:r>
            <w:r w:rsidR="002D75B3"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T</w:t>
            </w:r>
            <w:r w:rsidR="002D13D9" w:rsidRPr="00BE14AA">
              <w:rPr>
                <w:rFonts w:ascii="Arial Bold" w:hAnsi="Arial Bold"/>
                <w:b/>
                <w:color w:val="FFFFFF" w:themeColor="background1"/>
                <w:lang w:val="fr-FR"/>
              </w:rPr>
              <w:t>S</w:t>
            </w:r>
          </w:p>
        </w:tc>
        <w:tc>
          <w:tcPr>
            <w:tcW w:w="7787" w:type="dxa"/>
            <w:shd w:val="clear" w:color="auto" w:fill="F3F3F3"/>
          </w:tcPr>
          <w:p w:rsidR="006B3D51" w:rsidRPr="006B3D51" w:rsidRDefault="006B3D51" w:rsidP="00A752BB">
            <w:pPr>
              <w:spacing w:before="60" w:after="60"/>
              <w:jc w:val="left"/>
              <w:rPr>
                <w:lang w:val="fr-FR"/>
              </w:rPr>
            </w:pPr>
            <w:r w:rsidRPr="006B3D51">
              <w:rPr>
                <w:lang w:val="fr-FR"/>
              </w:rPr>
              <w:t xml:space="preserve">Quels sont les mécanismes/modalités les plus </w:t>
            </w:r>
            <w:r w:rsidR="00A752BB">
              <w:rPr>
                <w:lang w:val="fr-FR"/>
              </w:rPr>
              <w:t>efficaces par rapport aux coûts</w:t>
            </w:r>
            <w:r w:rsidRPr="006B3D51">
              <w:rPr>
                <w:lang w:val="fr-FR"/>
              </w:rPr>
              <w:t> ?</w:t>
            </w:r>
          </w:p>
          <w:p w:rsidR="006B3D51" w:rsidRDefault="006B3D51" w:rsidP="00A752BB">
            <w:pPr>
              <w:spacing w:before="60" w:after="60"/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Prenez en compte les coûts </w:t>
            </w:r>
            <w:r w:rsidR="00F84E2E">
              <w:rPr>
                <w:i/>
                <w:lang w:val="fr-FR"/>
              </w:rPr>
              <w:t xml:space="preserve">institutionnels et </w:t>
            </w:r>
            <w:r w:rsidR="0077056C">
              <w:rPr>
                <w:i/>
                <w:lang w:val="fr-FR"/>
              </w:rPr>
              <w:t>la commodité pour les bénéficiaires.</w:t>
            </w:r>
            <w:r w:rsidR="00F84E2E">
              <w:rPr>
                <w:i/>
                <w:lang w:val="fr-FR"/>
              </w:rPr>
              <w:t xml:space="preserve"> </w:t>
            </w:r>
          </w:p>
          <w:p w:rsidR="002D75B3" w:rsidRPr="00BE14AA" w:rsidRDefault="006B3D51" w:rsidP="00973013">
            <w:pPr>
              <w:spacing w:before="60" w:after="60"/>
              <w:jc w:val="left"/>
              <w:rPr>
                <w:i/>
                <w:lang w:val="fr-FR"/>
              </w:rPr>
            </w:pPr>
            <w:r>
              <w:rPr>
                <w:i/>
                <w:lang w:val="fr-FR"/>
              </w:rPr>
              <w:t>Prenez également en compte les coûts liés à la mise en œuvre des programmes et à la distribution des espèces.</w:t>
            </w:r>
          </w:p>
        </w:tc>
      </w:tr>
    </w:tbl>
    <w:p w:rsidR="002D13D9" w:rsidRPr="00BE14AA" w:rsidRDefault="002D13D9" w:rsidP="00973013">
      <w:pPr>
        <w:spacing w:before="60" w:after="60"/>
        <w:rPr>
          <w:lang w:val="fr-FR"/>
        </w:rPr>
      </w:pPr>
    </w:p>
    <w:p w:rsidR="00B87994" w:rsidRDefault="00B87994" w:rsidP="00A752BB">
      <w:pPr>
        <w:rPr>
          <w:lang w:val="fr-FR"/>
        </w:rPr>
      </w:pPr>
      <w:r>
        <w:rPr>
          <w:lang w:val="fr-FR"/>
        </w:rPr>
        <w:t>Les</w:t>
      </w:r>
      <w:r w:rsidR="00A752BB">
        <w:rPr>
          <w:lang w:val="fr-FR"/>
        </w:rPr>
        <w:t xml:space="preserve"> outils relatifs aux</w:t>
      </w:r>
      <w:r>
        <w:rPr>
          <w:lang w:val="fr-FR"/>
        </w:rPr>
        <w:t xml:space="preserve"> avantages et </w:t>
      </w:r>
      <w:r w:rsidR="00A752BB">
        <w:rPr>
          <w:lang w:val="fr-FR"/>
        </w:rPr>
        <w:t>aux</w:t>
      </w:r>
      <w:r>
        <w:rPr>
          <w:lang w:val="fr-FR"/>
        </w:rPr>
        <w:t xml:space="preserve"> inconvénients des différentes modalités et des différents mécanismes de distribution peuvent vous aider à répondre aux questions posées.</w:t>
      </w:r>
    </w:p>
    <w:p w:rsidR="00865741" w:rsidRPr="00BE14AA" w:rsidRDefault="00B87994" w:rsidP="00A752BB">
      <w:pPr>
        <w:rPr>
          <w:lang w:val="fr-FR"/>
        </w:rPr>
      </w:pPr>
      <w:r>
        <w:rPr>
          <w:lang w:val="fr-FR"/>
        </w:rPr>
        <w:lastRenderedPageBreak/>
        <w:t xml:space="preserve">Il peut être nécessaire d’effectuer une analyse plus approfondie des risques (pour obtenir des </w:t>
      </w:r>
      <w:r w:rsidR="00A752BB">
        <w:rPr>
          <w:lang w:val="fr-FR"/>
        </w:rPr>
        <w:t>orientations sur la conduite d’</w:t>
      </w:r>
      <w:r>
        <w:rPr>
          <w:lang w:val="fr-FR"/>
        </w:rPr>
        <w:t xml:space="preserve">une analyse approfondie des risques, voir la feuille de route pour l’analyse des risques) et des coûts (pour obtenir des </w:t>
      </w:r>
      <w:r w:rsidR="00A752BB" w:rsidRPr="00A752BB">
        <w:rPr>
          <w:lang w:val="fr-FR"/>
        </w:rPr>
        <w:t>o</w:t>
      </w:r>
      <w:r w:rsidR="00A752BB">
        <w:rPr>
          <w:lang w:val="fr-FR"/>
        </w:rPr>
        <w:t>rientations sur l’évaluation de la rentabilité</w:t>
      </w:r>
      <w:r>
        <w:rPr>
          <w:lang w:val="fr-FR"/>
        </w:rPr>
        <w:t xml:space="preserve"> des différentes solutions d’intervention, voir l’outil de calcul rapide de </w:t>
      </w:r>
      <w:r w:rsidR="00A752BB">
        <w:rPr>
          <w:lang w:val="fr-FR"/>
        </w:rPr>
        <w:t>l’efficacité par rapport aux coûts</w:t>
      </w:r>
      <w:r>
        <w:rPr>
          <w:lang w:val="fr-FR"/>
        </w:rPr>
        <w:t>).</w:t>
      </w:r>
      <w:bookmarkEnd w:id="0"/>
    </w:p>
    <w:sectPr w:rsidR="00865741" w:rsidRPr="00BE14AA" w:rsidSect="00973013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C96150" w15:done="0"/>
  <w15:commentEx w15:paraId="7B1041CF" w15:done="0"/>
  <w15:commentEx w15:paraId="5EFFBB1E" w15:done="0"/>
  <w15:commentEx w15:paraId="6CD37A3F" w15:done="0"/>
  <w15:commentEx w15:paraId="53DC1E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A2" w:rsidRDefault="003356A2" w:rsidP="004E1304">
      <w:pPr>
        <w:spacing w:after="0"/>
      </w:pPr>
      <w:r>
        <w:separator/>
      </w:r>
    </w:p>
  </w:endnote>
  <w:endnote w:type="continuationSeparator" w:id="0">
    <w:p w:rsidR="003356A2" w:rsidRDefault="003356A2" w:rsidP="004E1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D3" w:rsidRDefault="00DC01EF" w:rsidP="00E67D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D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DD3" w:rsidRDefault="00AF1DD3" w:rsidP="004E13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9C" w:rsidRPr="00B45C74" w:rsidRDefault="00DC01EF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9B1C9C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024C8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9B1C9C" w:rsidRPr="00BE14AA" w:rsidRDefault="009B1C9C" w:rsidP="00ED1B2B">
    <w:pPr>
      <w:pStyle w:val="Footer"/>
      <w:rPr>
        <w:lang w:val="fr-FR"/>
      </w:rPr>
    </w:pPr>
    <w:r w:rsidRPr="00BE14AA">
      <w:rPr>
        <w:b/>
        <w:lang w:val="fr-FR"/>
      </w:rPr>
      <w:t>Module 3.</w:t>
    </w:r>
    <w:r w:rsidR="00BE14AA">
      <w:rPr>
        <w:lang w:val="fr-FR"/>
      </w:rPr>
      <w:t xml:space="preserve"> Étape</w:t>
    </w:r>
    <w:r w:rsidRPr="00BE14AA">
      <w:rPr>
        <w:lang w:val="fr-FR"/>
      </w:rPr>
      <w:t xml:space="preserve"> 1. </w:t>
    </w:r>
    <w:r w:rsidR="00BE14AA">
      <w:rPr>
        <w:lang w:val="fr-FR"/>
      </w:rPr>
      <w:t>Étape subsidiaire 3. Comparaison des modalités et des mécanismes de transfert</w:t>
    </w:r>
    <w:r w:rsidR="00DB05EB">
      <w:rPr>
        <w:lang w:val="fr-FR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A2" w:rsidRDefault="003356A2" w:rsidP="004E1304">
      <w:pPr>
        <w:spacing w:after="0"/>
      </w:pPr>
      <w:r>
        <w:separator/>
      </w:r>
    </w:p>
  </w:footnote>
  <w:footnote w:type="continuationSeparator" w:id="0">
    <w:p w:rsidR="003356A2" w:rsidRDefault="003356A2" w:rsidP="004E1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9C" w:rsidRPr="00BE14AA" w:rsidRDefault="00BE14AA" w:rsidP="003A4F94">
    <w:pPr>
      <w:pStyle w:val="Header"/>
      <w:rPr>
        <w:sz w:val="14"/>
        <w:szCs w:val="14"/>
        <w:lang w:val="fr-FR"/>
      </w:rPr>
    </w:pPr>
    <w:r w:rsidRPr="00BE14AA">
      <w:rPr>
        <w:rStyle w:val="Pantone485"/>
        <w:sz w:val="14"/>
        <w:szCs w:val="14"/>
        <w:lang w:val="fr-FR"/>
      </w:rPr>
      <w:t>Mouvement international de la Croix-Rouge et du Croissant-Rouge</w:t>
    </w:r>
    <w:r w:rsidR="009B1C9C" w:rsidRPr="00BE14AA">
      <w:rPr>
        <w:rFonts w:cs="Caecilia-Light"/>
        <w:color w:val="FF0000"/>
        <w:sz w:val="14"/>
        <w:szCs w:val="14"/>
        <w:lang w:val="fr-FR"/>
      </w:rPr>
      <w:t xml:space="preserve"> </w:t>
    </w:r>
    <w:r w:rsidR="009B1C9C" w:rsidRPr="00BE14AA">
      <w:rPr>
        <w:rStyle w:val="PageNumber"/>
        <w:bCs/>
        <w:sz w:val="14"/>
        <w:szCs w:val="14"/>
        <w:lang w:val="fr-FR"/>
      </w:rPr>
      <w:t>I</w:t>
    </w:r>
    <w:r w:rsidR="009B1C9C" w:rsidRPr="00BE14AA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3A4F94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B5697"/>
    <w:multiLevelType w:val="hybridMultilevel"/>
    <w:tmpl w:val="072ECA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41"/>
    <w:rsid w:val="00053FE3"/>
    <w:rsid w:val="000B519F"/>
    <w:rsid w:val="0015167A"/>
    <w:rsid w:val="002133E4"/>
    <w:rsid w:val="002D13D9"/>
    <w:rsid w:val="002D2C67"/>
    <w:rsid w:val="002D75B3"/>
    <w:rsid w:val="00332744"/>
    <w:rsid w:val="003356A2"/>
    <w:rsid w:val="003A4F94"/>
    <w:rsid w:val="003E64E3"/>
    <w:rsid w:val="003F63D6"/>
    <w:rsid w:val="00456EE7"/>
    <w:rsid w:val="00477C0A"/>
    <w:rsid w:val="00483145"/>
    <w:rsid w:val="004C3C88"/>
    <w:rsid w:val="004E0DD4"/>
    <w:rsid w:val="004E1304"/>
    <w:rsid w:val="0054462C"/>
    <w:rsid w:val="00547C1C"/>
    <w:rsid w:val="005749B1"/>
    <w:rsid w:val="005F1A9F"/>
    <w:rsid w:val="00625DD9"/>
    <w:rsid w:val="006B3D51"/>
    <w:rsid w:val="006E36C9"/>
    <w:rsid w:val="006F32D6"/>
    <w:rsid w:val="00731E45"/>
    <w:rsid w:val="007376F3"/>
    <w:rsid w:val="0077056C"/>
    <w:rsid w:val="007A130D"/>
    <w:rsid w:val="007B6D6C"/>
    <w:rsid w:val="00804347"/>
    <w:rsid w:val="00865741"/>
    <w:rsid w:val="00895825"/>
    <w:rsid w:val="008B6CEF"/>
    <w:rsid w:val="008E34AB"/>
    <w:rsid w:val="008F1A19"/>
    <w:rsid w:val="0091461E"/>
    <w:rsid w:val="00973013"/>
    <w:rsid w:val="009B0024"/>
    <w:rsid w:val="009B1C9C"/>
    <w:rsid w:val="009D02C4"/>
    <w:rsid w:val="009D6501"/>
    <w:rsid w:val="00A752BB"/>
    <w:rsid w:val="00A83D21"/>
    <w:rsid w:val="00AC102C"/>
    <w:rsid w:val="00AC7971"/>
    <w:rsid w:val="00AF1DD3"/>
    <w:rsid w:val="00AF6A5B"/>
    <w:rsid w:val="00B34EF5"/>
    <w:rsid w:val="00B43B08"/>
    <w:rsid w:val="00B87994"/>
    <w:rsid w:val="00BE14AA"/>
    <w:rsid w:val="00C01DA3"/>
    <w:rsid w:val="00C10F41"/>
    <w:rsid w:val="00C22AB3"/>
    <w:rsid w:val="00C778D3"/>
    <w:rsid w:val="00CC43E5"/>
    <w:rsid w:val="00CD0621"/>
    <w:rsid w:val="00CE08BD"/>
    <w:rsid w:val="00D93696"/>
    <w:rsid w:val="00D94701"/>
    <w:rsid w:val="00D959A1"/>
    <w:rsid w:val="00DB05EB"/>
    <w:rsid w:val="00DC01EF"/>
    <w:rsid w:val="00E67D35"/>
    <w:rsid w:val="00F024C8"/>
    <w:rsid w:val="00F34F3C"/>
    <w:rsid w:val="00F84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9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9B1C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C9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C9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C9C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C9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B1C9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B1C9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1C9C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B1C9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B1C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6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6F3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B1C9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B1C9C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9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1C9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1C9C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C9C"/>
    <w:rPr>
      <w:rFonts w:ascii="Arial" w:eastAsiaTheme="minorEastAsia" w:hAnsi="Arial" w:cs="Times New Roman"/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B1C9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1C9C"/>
    <w:rPr>
      <w:rFonts w:ascii="Arial" w:hAnsi="Arial"/>
      <w:sz w:val="20"/>
      <w:szCs w:val="22"/>
    </w:rPr>
  </w:style>
  <w:style w:type="paragraph" w:customStyle="1" w:styleId="Default">
    <w:name w:val="Default"/>
    <w:rsid w:val="009B1C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9B1C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C9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B1C9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C9C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B1C9C"/>
    <w:rPr>
      <w:vertAlign w:val="superscript"/>
    </w:rPr>
  </w:style>
  <w:style w:type="paragraph" w:styleId="Revision">
    <w:name w:val="Revision"/>
    <w:hidden/>
    <w:uiPriority w:val="99"/>
    <w:semiHidden/>
    <w:rsid w:val="009B1C9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B1C9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B1C9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B1C9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B1C9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B1C9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B1C9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B1C9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B1C9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B1C9C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B1C9C"/>
    <w:pPr>
      <w:numPr>
        <w:numId w:val="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9B1C9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B1C9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B1C9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B1C9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B1C9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B1C9C"/>
    <w:pPr>
      <w:keepNext/>
      <w:keepLines/>
      <w:framePr w:hSpace="141" w:wrap="around" w:vAnchor="text" w:hAnchor="margin" w:y="402"/>
      <w:numPr>
        <w:numId w:val="7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9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9B1C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C9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C9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C9C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C9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B1C9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B1C9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1C9C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B1C9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B1C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6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6F3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B1C9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B1C9C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9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1C9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1C9C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C9C"/>
    <w:rPr>
      <w:rFonts w:ascii="Arial" w:eastAsiaTheme="minorEastAsia" w:hAnsi="Arial" w:cs="Times New Roman"/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B1C9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1C9C"/>
    <w:rPr>
      <w:rFonts w:ascii="Arial" w:hAnsi="Arial"/>
      <w:sz w:val="20"/>
      <w:szCs w:val="22"/>
    </w:rPr>
  </w:style>
  <w:style w:type="paragraph" w:customStyle="1" w:styleId="Default">
    <w:name w:val="Default"/>
    <w:rsid w:val="009B1C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9B1C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C9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B1C9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C9C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B1C9C"/>
    <w:rPr>
      <w:vertAlign w:val="superscript"/>
    </w:rPr>
  </w:style>
  <w:style w:type="paragraph" w:styleId="Revision">
    <w:name w:val="Revision"/>
    <w:hidden/>
    <w:uiPriority w:val="99"/>
    <w:semiHidden/>
    <w:rsid w:val="009B1C9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B1C9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B1C9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B1C9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B1C9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B1C9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B1C9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B1C9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B1C9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B1C9C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B1C9C"/>
    <w:pPr>
      <w:numPr>
        <w:numId w:val="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9B1C9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B1C9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B1C9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B1C9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B1C9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B1C9C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208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Florence MAROT</cp:lastModifiedBy>
  <cp:revision>26</cp:revision>
  <cp:lastPrinted>2015-12-03T14:41:00Z</cp:lastPrinted>
  <dcterms:created xsi:type="dcterms:W3CDTF">2014-11-19T10:58:00Z</dcterms:created>
  <dcterms:modified xsi:type="dcterms:W3CDTF">2016-04-05T16:12:00Z</dcterms:modified>
</cp:coreProperties>
</file>