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0D2C8" w14:textId="6BEFF7ED" w:rsidR="000D4C50" w:rsidRPr="00706F8E" w:rsidRDefault="00706F8E" w:rsidP="00502572">
      <w:pPr>
        <w:pStyle w:val="H1"/>
        <w:rPr>
          <w:lang w:val="es-ES"/>
        </w:rPr>
      </w:pPr>
      <w:r w:rsidRPr="00706F8E">
        <w:rPr>
          <w:lang w:val="es-ES"/>
        </w:rPr>
        <w:t>Responsabilidades de los grupos de coordinaci</w:t>
      </w:r>
      <w:r>
        <w:rPr>
          <w:lang w:val="es-ES"/>
        </w:rPr>
        <w:t xml:space="preserve">ón de PTE  </w:t>
      </w:r>
    </w:p>
    <w:p w14:paraId="48E33E96" w14:textId="62529EE7" w:rsidR="000D4C50" w:rsidRPr="0010054A" w:rsidRDefault="00706F8E" w:rsidP="00375B2E">
      <w:pPr>
        <w:rPr>
          <w:color w:val="4F81BD" w:themeColor="accent1"/>
          <w:lang w:val="es-ES"/>
        </w:rPr>
      </w:pPr>
      <w:r>
        <w:rPr>
          <w:lang w:val="es-ES"/>
        </w:rPr>
        <w:t xml:space="preserve">Se han establecido </w:t>
      </w:r>
      <w:r w:rsidRPr="00706F8E">
        <w:rPr>
          <w:lang w:val="es-ES"/>
        </w:rPr>
        <w:t xml:space="preserve">grupos de coordinación de efectivo en el Líbano, Filipinas, Haití, Somalia, la República Democrática del Congo (RDC) y Pakistán. </w:t>
      </w:r>
      <w:r w:rsidRPr="0010054A">
        <w:rPr>
          <w:lang w:val="es-ES"/>
        </w:rPr>
        <w:t xml:space="preserve">Algunos se han establecido a través del CaLP, mientras que otros han sido formados por personal de la </w:t>
      </w:r>
      <w:r w:rsidR="00605EDC" w:rsidRPr="0010054A">
        <w:rPr>
          <w:lang w:val="es-ES"/>
        </w:rPr>
        <w:t>organización</w:t>
      </w:r>
      <w:r w:rsidRPr="0010054A">
        <w:rPr>
          <w:lang w:val="es-ES"/>
        </w:rPr>
        <w:t xml:space="preserve"> en el terreno</w:t>
      </w:r>
      <w:r w:rsidRPr="00706F8E">
        <w:rPr>
          <w:lang w:val="es-ES"/>
        </w:rPr>
        <w:t>.</w:t>
      </w:r>
      <w:r>
        <w:rPr>
          <w:lang w:val="es-ES"/>
        </w:rPr>
        <w:t xml:space="preserve"> </w:t>
      </w:r>
      <w:r w:rsidR="0010054A" w:rsidRPr="0010054A">
        <w:rPr>
          <w:color w:val="4F81BD" w:themeColor="accent1"/>
          <w:lang w:val="es-ES"/>
        </w:rPr>
        <w:t xml:space="preserve"> </w:t>
      </w:r>
    </w:p>
    <w:p w14:paraId="4DE66B91" w14:textId="77777777" w:rsidR="00706F8E" w:rsidRPr="0010054A" w:rsidRDefault="00706F8E" w:rsidP="00706F8E">
      <w:pPr>
        <w:rPr>
          <w:lang w:val="es-ES"/>
        </w:rPr>
      </w:pPr>
      <w:r w:rsidRPr="0010054A">
        <w:rPr>
          <w:lang w:val="es-ES"/>
        </w:rPr>
        <w:t>Responsabilidades incluidas en los Términos de Referencia (TdR) de estos diferentes grupos:</w:t>
      </w:r>
    </w:p>
    <w:p w14:paraId="1B6A1AE4" w14:textId="77777777" w:rsidR="00706F8E" w:rsidRPr="0010054A" w:rsidRDefault="00706F8E" w:rsidP="00E84C3B">
      <w:pPr>
        <w:pStyle w:val="Bullet2"/>
        <w:rPr>
          <w:color w:val="4F81BD" w:themeColor="accent1"/>
          <w:lang w:val="es-ES"/>
        </w:rPr>
      </w:pPr>
      <w:r w:rsidRPr="00706F8E">
        <w:rPr>
          <w:lang w:val="es-ES"/>
        </w:rPr>
        <w:t xml:space="preserve">Asegurar la coordinación entre agencias de </w:t>
      </w:r>
      <w:r>
        <w:rPr>
          <w:lang w:val="es-ES"/>
        </w:rPr>
        <w:t>PTE</w:t>
      </w:r>
      <w:r w:rsidRPr="00706F8E">
        <w:rPr>
          <w:lang w:val="es-ES"/>
        </w:rPr>
        <w:t xml:space="preserve">, incluyendo el mapeo geográfico de las actividades, el calendario de las intervenciones y el ajuste de los valores de </w:t>
      </w:r>
      <w:r>
        <w:rPr>
          <w:lang w:val="es-ES"/>
        </w:rPr>
        <w:t xml:space="preserve">las </w:t>
      </w:r>
      <w:r w:rsidRPr="00706F8E">
        <w:rPr>
          <w:lang w:val="es-ES"/>
        </w:rPr>
        <w:t>transferencia</w:t>
      </w:r>
      <w:r>
        <w:rPr>
          <w:lang w:val="es-ES"/>
        </w:rPr>
        <w:t>s</w:t>
      </w:r>
      <w:r w:rsidRPr="00706F8E">
        <w:rPr>
          <w:lang w:val="es-ES"/>
        </w:rPr>
        <w:t>.</w:t>
      </w:r>
      <w:r>
        <w:rPr>
          <w:lang w:val="es-ES"/>
        </w:rPr>
        <w:t xml:space="preserve"> </w:t>
      </w:r>
    </w:p>
    <w:p w14:paraId="7E2F8E56" w14:textId="75D537DD" w:rsidR="000D4C50" w:rsidRPr="00706F8E" w:rsidRDefault="00FC4875" w:rsidP="00E84C3B">
      <w:pPr>
        <w:pStyle w:val="Bullet2"/>
        <w:rPr>
          <w:lang w:val="es-ES"/>
        </w:rPr>
      </w:pPr>
      <w:r>
        <w:rPr>
          <w:lang w:val="es-ES"/>
        </w:rPr>
        <w:t>Hacer el s</w:t>
      </w:r>
      <w:r w:rsidR="00706F8E" w:rsidRPr="00706F8E">
        <w:rPr>
          <w:lang w:val="es-ES"/>
        </w:rPr>
        <w:t xml:space="preserve">eguimiento de la información sobre </w:t>
      </w:r>
      <w:r w:rsidR="00706F8E">
        <w:rPr>
          <w:lang w:val="es-ES"/>
        </w:rPr>
        <w:t xml:space="preserve">PTE por </w:t>
      </w:r>
      <w:r w:rsidR="00706F8E" w:rsidRPr="00706F8E">
        <w:rPr>
          <w:lang w:val="es-ES"/>
        </w:rPr>
        <w:t xml:space="preserve">agencia, área geográfica, tipo de </w:t>
      </w:r>
      <w:r w:rsidR="00706F8E">
        <w:rPr>
          <w:lang w:val="es-ES"/>
        </w:rPr>
        <w:t xml:space="preserve">PTE </w:t>
      </w:r>
      <w:r w:rsidR="00706F8E" w:rsidRPr="00706F8E">
        <w:rPr>
          <w:lang w:val="es-ES"/>
        </w:rPr>
        <w:t xml:space="preserve">y mecanismos de </w:t>
      </w:r>
      <w:r w:rsidR="00706F8E">
        <w:rPr>
          <w:lang w:val="es-ES"/>
        </w:rPr>
        <w:t>entrega de las transferencias de efectivo</w:t>
      </w:r>
      <w:r w:rsidR="00706F8E" w:rsidRPr="00706F8E">
        <w:rPr>
          <w:lang w:val="es-ES"/>
        </w:rPr>
        <w:t>.</w:t>
      </w:r>
      <w:r w:rsidR="00706F8E">
        <w:rPr>
          <w:lang w:val="es-ES"/>
        </w:rPr>
        <w:t xml:space="preserve"> </w:t>
      </w:r>
      <w:r w:rsidR="00706F8E" w:rsidRPr="00706F8E">
        <w:rPr>
          <w:color w:val="4F81BD" w:themeColor="accent1"/>
          <w:lang w:val="es-ES"/>
        </w:rPr>
        <w:t xml:space="preserve"> </w:t>
      </w:r>
    </w:p>
    <w:p w14:paraId="0174745B" w14:textId="2436D940" w:rsidR="000D4C50" w:rsidRPr="0010054A" w:rsidRDefault="005269A1" w:rsidP="00375B2E">
      <w:pPr>
        <w:pStyle w:val="Bullet2"/>
        <w:rPr>
          <w:color w:val="4F81BD" w:themeColor="accent1"/>
          <w:lang w:val="es-ES"/>
        </w:rPr>
      </w:pPr>
      <w:r w:rsidRPr="00706F8E">
        <w:rPr>
          <w:lang w:val="es-ES"/>
        </w:rPr>
        <w:t>Documentar</w:t>
      </w:r>
      <w:r w:rsidR="00706F8E" w:rsidRPr="00706F8E">
        <w:rPr>
          <w:lang w:val="es-ES"/>
        </w:rPr>
        <w:t xml:space="preserve"> las lecciones </w:t>
      </w:r>
      <w:r w:rsidR="00706F8E" w:rsidRPr="0010054A">
        <w:rPr>
          <w:lang w:val="es-ES"/>
        </w:rPr>
        <w:t>aprendidas d</w:t>
      </w:r>
      <w:r w:rsidRPr="0010054A">
        <w:rPr>
          <w:lang w:val="es-ES"/>
        </w:rPr>
        <w:t xml:space="preserve">e las intervenciones de </w:t>
      </w:r>
      <w:r w:rsidR="00706F8E" w:rsidRPr="0010054A">
        <w:rPr>
          <w:lang w:val="es-ES"/>
        </w:rPr>
        <w:t>transfere</w:t>
      </w:r>
      <w:r w:rsidRPr="0010054A">
        <w:rPr>
          <w:lang w:val="es-ES"/>
        </w:rPr>
        <w:t>n</w:t>
      </w:r>
      <w:r w:rsidR="00706F8E" w:rsidRPr="0010054A">
        <w:rPr>
          <w:lang w:val="es-ES"/>
        </w:rPr>
        <w:t>cia</w:t>
      </w:r>
      <w:r w:rsidRPr="0010054A">
        <w:rPr>
          <w:lang w:val="es-ES"/>
        </w:rPr>
        <w:t>s</w:t>
      </w:r>
      <w:r w:rsidR="00706F8E" w:rsidRPr="0010054A">
        <w:rPr>
          <w:lang w:val="es-ES"/>
        </w:rPr>
        <w:t xml:space="preserve"> de efectivo y </w:t>
      </w:r>
      <w:r w:rsidRPr="0010054A">
        <w:rPr>
          <w:lang w:val="es-ES"/>
        </w:rPr>
        <w:t>compartirlas</w:t>
      </w:r>
      <w:r w:rsidR="00706F8E" w:rsidRPr="0010054A">
        <w:rPr>
          <w:lang w:val="es-ES"/>
        </w:rPr>
        <w:t xml:space="preserve"> durante las </w:t>
      </w:r>
      <w:r w:rsidRPr="0010054A">
        <w:rPr>
          <w:lang w:val="es-ES"/>
        </w:rPr>
        <w:t>reuniones</w:t>
      </w:r>
      <w:r w:rsidR="00B83E4C">
        <w:rPr>
          <w:lang w:val="es-ES"/>
        </w:rPr>
        <w:t xml:space="preserve"> del cluster </w:t>
      </w:r>
      <w:r w:rsidR="00706F8E">
        <w:rPr>
          <w:lang w:val="es-ES"/>
        </w:rPr>
        <w:t xml:space="preserve"> </w:t>
      </w:r>
      <w:r w:rsidR="0010054A" w:rsidRPr="0010054A">
        <w:rPr>
          <w:color w:val="4F81BD" w:themeColor="accent1"/>
          <w:lang w:val="es-ES"/>
        </w:rPr>
        <w:t xml:space="preserve"> </w:t>
      </w:r>
      <w:bookmarkStart w:id="0" w:name="_GoBack"/>
      <w:bookmarkEnd w:id="0"/>
    </w:p>
    <w:p w14:paraId="6BA064F4" w14:textId="04FAEF6B" w:rsidR="000D4C50" w:rsidRPr="005269A1" w:rsidRDefault="005269A1" w:rsidP="005269A1">
      <w:pPr>
        <w:pStyle w:val="Bullet2"/>
        <w:rPr>
          <w:color w:val="4F81BD" w:themeColor="accent1"/>
          <w:lang w:val="es-ES"/>
        </w:rPr>
      </w:pPr>
      <w:r>
        <w:rPr>
          <w:lang w:val="es-ES"/>
        </w:rPr>
        <w:t xml:space="preserve">Hacer </w:t>
      </w:r>
      <w:r w:rsidRPr="005269A1">
        <w:rPr>
          <w:lang w:val="es-ES"/>
        </w:rPr>
        <w:t xml:space="preserve">recomendaciones para la mejora de las herramientas de programación y las directrices, así como para más investigación (por ejemplo, herramientas conjuntas de monitoreo y evaluación, mecanismos comunes de retroalimentación y respuesta, desarrollo de materiales de rendición de cuentas, estandarización de las tasas de pago).  </w:t>
      </w:r>
    </w:p>
    <w:p w14:paraId="034DD0B1" w14:textId="2FCF2E81" w:rsidR="000D4C50" w:rsidRPr="005269A1" w:rsidRDefault="005269A1" w:rsidP="005269A1">
      <w:pPr>
        <w:pStyle w:val="Bullet2"/>
        <w:rPr>
          <w:lang w:val="es-ES"/>
        </w:rPr>
      </w:pPr>
      <w:r w:rsidRPr="005269A1">
        <w:rPr>
          <w:lang w:val="es-ES"/>
        </w:rPr>
        <w:t xml:space="preserve">Llevar a cabo visitas de supervisión conjuntas basadas en las necesidades identificadas, para apoyar a los grupos </w:t>
      </w:r>
      <w:r>
        <w:rPr>
          <w:lang w:val="es-ES"/>
        </w:rPr>
        <w:t xml:space="preserve">en el terreno </w:t>
      </w:r>
      <w:r w:rsidRPr="005269A1">
        <w:rPr>
          <w:lang w:val="es-ES"/>
        </w:rPr>
        <w:t>y generar estudios de caso.</w:t>
      </w:r>
      <w:r>
        <w:rPr>
          <w:lang w:val="es-ES"/>
        </w:rPr>
        <w:t xml:space="preserve"> </w:t>
      </w:r>
      <w:r w:rsidRPr="005269A1">
        <w:rPr>
          <w:lang w:val="es-ES"/>
        </w:rPr>
        <w:t xml:space="preserve"> </w:t>
      </w:r>
    </w:p>
    <w:p w14:paraId="5B4BD278" w14:textId="419DD3C4" w:rsidR="000D4C50" w:rsidRPr="005269A1" w:rsidRDefault="005269A1" w:rsidP="005269A1">
      <w:pPr>
        <w:pStyle w:val="Bullet2"/>
        <w:rPr>
          <w:lang w:val="es-ES"/>
        </w:rPr>
      </w:pPr>
      <w:r w:rsidRPr="005269A1">
        <w:rPr>
          <w:lang w:val="es-ES"/>
        </w:rPr>
        <w:t xml:space="preserve">Establecer </w:t>
      </w:r>
      <w:r>
        <w:rPr>
          <w:lang w:val="es-ES"/>
        </w:rPr>
        <w:t xml:space="preserve">estándares </w:t>
      </w:r>
      <w:r w:rsidRPr="005269A1">
        <w:rPr>
          <w:lang w:val="es-ES"/>
        </w:rPr>
        <w:t xml:space="preserve">y enfoques comunes.  </w:t>
      </w:r>
    </w:p>
    <w:p w14:paraId="06D619F8" w14:textId="6924A645" w:rsidR="000D4C50" w:rsidRPr="0010054A" w:rsidRDefault="005269A1" w:rsidP="005269A1">
      <w:pPr>
        <w:pStyle w:val="Bullet2"/>
        <w:rPr>
          <w:lang w:val="es-ES"/>
        </w:rPr>
      </w:pPr>
      <w:r w:rsidRPr="005269A1">
        <w:rPr>
          <w:lang w:val="es-ES"/>
        </w:rPr>
        <w:t xml:space="preserve">Identificar áreas de colaboración entre </w:t>
      </w:r>
      <w:r>
        <w:rPr>
          <w:lang w:val="es-ES"/>
        </w:rPr>
        <w:t>agencias</w:t>
      </w:r>
      <w:r w:rsidRPr="005269A1">
        <w:rPr>
          <w:lang w:val="es-ES"/>
        </w:rPr>
        <w:t xml:space="preserve">. </w:t>
      </w:r>
    </w:p>
    <w:p w14:paraId="30C67535" w14:textId="77777777" w:rsidR="000A486D" w:rsidRPr="0010054A" w:rsidRDefault="005269A1" w:rsidP="00375B2E">
      <w:pPr>
        <w:pStyle w:val="Bullet2"/>
        <w:rPr>
          <w:lang w:val="es-ES"/>
        </w:rPr>
      </w:pPr>
      <w:r w:rsidRPr="000A486D">
        <w:rPr>
          <w:lang w:val="es-ES"/>
        </w:rPr>
        <w:t xml:space="preserve">Compartir información sobre los mecanismos de entrega de transferencias de efectivo, fomentando el debate y la identificación de áreas para la innovación y la armonización. </w:t>
      </w:r>
    </w:p>
    <w:p w14:paraId="2800A340" w14:textId="4034014F" w:rsidR="000A486D" w:rsidRPr="000A486D" w:rsidRDefault="000A486D" w:rsidP="00375B2E">
      <w:pPr>
        <w:pStyle w:val="Bullet2"/>
        <w:rPr>
          <w:lang w:val="es-ES"/>
        </w:rPr>
      </w:pPr>
      <w:r w:rsidRPr="000A486D">
        <w:rPr>
          <w:lang w:val="es-ES"/>
        </w:rPr>
        <w:t>Involucrar al sector privado, el académico y las instituciones financieras.</w:t>
      </w:r>
    </w:p>
    <w:p w14:paraId="2B15AE67" w14:textId="4213A536" w:rsidR="000D4C50" w:rsidRPr="000A486D" w:rsidRDefault="000A486D" w:rsidP="00375B2E">
      <w:pPr>
        <w:pStyle w:val="Bullet2"/>
        <w:rPr>
          <w:lang w:val="es-ES"/>
        </w:rPr>
      </w:pPr>
      <w:r w:rsidRPr="000A486D">
        <w:rPr>
          <w:lang w:val="es-ES"/>
        </w:rPr>
        <w:t xml:space="preserve">Desarrollar posiciones compartidas sobre PTE a través de la incidencia, el cabildeo y la influencia sobre los actores clave, y la formulación de políticas.  </w:t>
      </w:r>
    </w:p>
    <w:p w14:paraId="684358EE" w14:textId="77777777" w:rsidR="000A486D" w:rsidRPr="0010054A" w:rsidRDefault="000A486D" w:rsidP="00375B2E">
      <w:pPr>
        <w:pStyle w:val="Bullet2"/>
        <w:rPr>
          <w:lang w:val="es-ES"/>
        </w:rPr>
      </w:pPr>
      <w:r>
        <w:rPr>
          <w:lang w:val="es-ES"/>
        </w:rPr>
        <w:t xml:space="preserve">Establecer vínculos con el EMMA y otras evaluaciones de mercado. </w:t>
      </w:r>
    </w:p>
    <w:p w14:paraId="4ADD849E" w14:textId="44AF136A" w:rsidR="000D4C50" w:rsidRPr="0010054A" w:rsidRDefault="000A486D" w:rsidP="00375B2E">
      <w:pPr>
        <w:pStyle w:val="Bullet2"/>
        <w:rPr>
          <w:color w:val="4F81BD" w:themeColor="accent1"/>
          <w:lang w:val="es-ES"/>
        </w:rPr>
      </w:pPr>
      <w:r w:rsidRPr="00EF566C">
        <w:rPr>
          <w:lang w:val="es-ES"/>
        </w:rPr>
        <w:t xml:space="preserve">Revisión </w:t>
      </w:r>
      <w:r w:rsidR="00EF566C" w:rsidRPr="00EF566C">
        <w:rPr>
          <w:lang w:val="es-ES"/>
        </w:rPr>
        <w:t xml:space="preserve">entre </w:t>
      </w:r>
      <w:r w:rsidR="0010054A" w:rsidRPr="00EF566C">
        <w:rPr>
          <w:lang w:val="es-ES"/>
        </w:rPr>
        <w:t xml:space="preserve">pares </w:t>
      </w:r>
      <w:r w:rsidRPr="00EF566C">
        <w:rPr>
          <w:lang w:val="es-ES"/>
        </w:rPr>
        <w:t>de</w:t>
      </w:r>
      <w:r w:rsidRPr="000A486D">
        <w:rPr>
          <w:lang w:val="es-ES"/>
        </w:rPr>
        <w:t xml:space="preserve"> los </w:t>
      </w:r>
      <w:r>
        <w:rPr>
          <w:lang w:val="es-ES"/>
        </w:rPr>
        <w:t>pro</w:t>
      </w:r>
      <w:r w:rsidRPr="000A486D">
        <w:rPr>
          <w:lang w:val="es-ES"/>
        </w:rPr>
        <w:t xml:space="preserve">gramas </w:t>
      </w:r>
      <w:r w:rsidRPr="0010054A">
        <w:rPr>
          <w:lang w:val="es-ES"/>
        </w:rPr>
        <w:t xml:space="preserve">en curso </w:t>
      </w:r>
      <w:r w:rsidR="00605EDC" w:rsidRPr="0010054A">
        <w:rPr>
          <w:lang w:val="es-ES"/>
        </w:rPr>
        <w:t>de la organización</w:t>
      </w:r>
      <w:r w:rsidRPr="0010054A">
        <w:rPr>
          <w:lang w:val="es-ES"/>
        </w:rPr>
        <w:t>.</w:t>
      </w:r>
      <w:r>
        <w:rPr>
          <w:lang w:val="es-ES"/>
        </w:rPr>
        <w:t xml:space="preserve"> </w:t>
      </w:r>
      <w:r w:rsidRPr="000A486D">
        <w:rPr>
          <w:lang w:val="es-ES"/>
        </w:rPr>
        <w:t xml:space="preserve"> </w:t>
      </w:r>
      <w:r w:rsidR="0010054A">
        <w:rPr>
          <w:color w:val="4F81BD" w:themeColor="accent1"/>
          <w:lang w:val="es-ES"/>
        </w:rPr>
        <w:t xml:space="preserve"> </w:t>
      </w:r>
    </w:p>
    <w:p w14:paraId="2F358F05" w14:textId="1072333B" w:rsidR="000D4C50" w:rsidRPr="0010054A" w:rsidRDefault="000A486D" w:rsidP="000A486D">
      <w:pPr>
        <w:pStyle w:val="Bullet2"/>
        <w:rPr>
          <w:color w:val="4F81BD" w:themeColor="accent1"/>
          <w:lang w:val="es-ES"/>
        </w:rPr>
      </w:pPr>
      <w:r w:rsidRPr="000A486D">
        <w:rPr>
          <w:lang w:val="es-ES"/>
        </w:rPr>
        <w:t xml:space="preserve">Involucrar a las ONG locales, organismos </w:t>
      </w:r>
      <w:r w:rsidRPr="0010054A">
        <w:rPr>
          <w:lang w:val="es-ES"/>
        </w:rPr>
        <w:t>gubernamentales e instituciones de microfinanzas para incluir el conocimiento, la práctica y la programación existentes.</w:t>
      </w:r>
      <w:r>
        <w:rPr>
          <w:lang w:val="es-ES"/>
        </w:rPr>
        <w:t xml:space="preserve"> </w:t>
      </w:r>
      <w:r w:rsidR="0010054A" w:rsidRPr="0010054A">
        <w:rPr>
          <w:color w:val="4F81BD" w:themeColor="accent1"/>
          <w:lang w:val="es-ES"/>
        </w:rPr>
        <w:t xml:space="preserve"> </w:t>
      </w:r>
    </w:p>
    <w:p w14:paraId="34BC82B1" w14:textId="7708D4C9" w:rsidR="000D4C50" w:rsidRPr="00A31261" w:rsidRDefault="000A486D" w:rsidP="000A486D">
      <w:pPr>
        <w:pStyle w:val="Bullet2"/>
        <w:rPr>
          <w:lang w:val="es-ES"/>
        </w:rPr>
      </w:pPr>
      <w:r>
        <w:rPr>
          <w:lang w:val="es-ES"/>
        </w:rPr>
        <w:t>Identificar</w:t>
      </w:r>
      <w:r w:rsidRPr="000A486D">
        <w:rPr>
          <w:lang w:val="es-ES"/>
        </w:rPr>
        <w:t xml:space="preserve"> formas </w:t>
      </w:r>
      <w:r>
        <w:rPr>
          <w:lang w:val="es-ES"/>
        </w:rPr>
        <w:t xml:space="preserve">adecuadas de </w:t>
      </w:r>
      <w:r w:rsidRPr="000A486D">
        <w:rPr>
          <w:lang w:val="es-ES"/>
        </w:rPr>
        <w:t xml:space="preserve">contribuir a los debates </w:t>
      </w:r>
      <w:r>
        <w:rPr>
          <w:lang w:val="es-ES"/>
        </w:rPr>
        <w:t xml:space="preserve">del cluster </w:t>
      </w:r>
      <w:r w:rsidRPr="000A486D">
        <w:rPr>
          <w:lang w:val="es-ES"/>
        </w:rPr>
        <w:t xml:space="preserve">sobre </w:t>
      </w:r>
      <w:r>
        <w:rPr>
          <w:lang w:val="es-ES"/>
        </w:rPr>
        <w:t>transferencias de efectivo</w:t>
      </w:r>
      <w:r w:rsidRPr="000A486D">
        <w:rPr>
          <w:lang w:val="es-ES"/>
        </w:rPr>
        <w:t>.</w:t>
      </w:r>
      <w:r>
        <w:rPr>
          <w:lang w:val="es-ES"/>
        </w:rPr>
        <w:t xml:space="preserve"> </w:t>
      </w:r>
      <w:r w:rsidR="00A31261" w:rsidRPr="00A31261">
        <w:rPr>
          <w:color w:val="4F81BD" w:themeColor="accent1"/>
          <w:lang w:val="es-ES"/>
        </w:rPr>
        <w:t xml:space="preserve"> </w:t>
      </w:r>
    </w:p>
    <w:p w14:paraId="3EEE8BE7" w14:textId="0DFB05A4" w:rsidR="000D4C50" w:rsidRPr="000A486D" w:rsidRDefault="000A486D" w:rsidP="00375B2E">
      <w:pPr>
        <w:pStyle w:val="Bullet2"/>
        <w:rPr>
          <w:lang w:val="es-ES"/>
        </w:rPr>
      </w:pPr>
      <w:r w:rsidRPr="00A218D1">
        <w:rPr>
          <w:lang w:val="es-ES"/>
        </w:rPr>
        <w:t>Crea</w:t>
      </w:r>
      <w:r>
        <w:rPr>
          <w:lang w:val="es-ES"/>
        </w:rPr>
        <w:t>r</w:t>
      </w:r>
      <w:r w:rsidRPr="00A218D1">
        <w:rPr>
          <w:lang w:val="es-ES"/>
        </w:rPr>
        <w:t xml:space="preserve"> una biblioteca </w:t>
      </w:r>
      <w:r w:rsidRPr="000A486D">
        <w:rPr>
          <w:lang w:val="es-ES"/>
        </w:rPr>
        <w:t>de recursos de transferencias de efectivo.</w:t>
      </w:r>
      <w:r w:rsidRPr="00A218D1">
        <w:rPr>
          <w:highlight w:val="yellow"/>
          <w:lang w:val="es-ES"/>
        </w:rPr>
        <w:t xml:space="preserve"> </w:t>
      </w:r>
      <w:r>
        <w:rPr>
          <w:lang w:val="es-ES"/>
        </w:rPr>
        <w:t xml:space="preserve">  </w:t>
      </w:r>
    </w:p>
    <w:p w14:paraId="607A0152" w14:textId="3B500F40" w:rsidR="000D4C50" w:rsidRPr="009F0CC0" w:rsidRDefault="009F0CC0" w:rsidP="009F0CC0">
      <w:pPr>
        <w:pStyle w:val="Bullet2"/>
        <w:rPr>
          <w:lang w:val="es-ES"/>
        </w:rPr>
      </w:pPr>
      <w:r w:rsidRPr="009F0CC0">
        <w:rPr>
          <w:lang w:val="es-ES"/>
        </w:rPr>
        <w:t xml:space="preserve">Participar en el trabajo de </w:t>
      </w:r>
      <w:r>
        <w:rPr>
          <w:lang w:val="es-ES"/>
        </w:rPr>
        <w:t xml:space="preserve">incidencia </w:t>
      </w:r>
      <w:r w:rsidRPr="009F0CC0">
        <w:rPr>
          <w:lang w:val="es-ES"/>
        </w:rPr>
        <w:t>sobre cuestiones importantes identificadas por los participantes.</w:t>
      </w:r>
      <w:r>
        <w:rPr>
          <w:lang w:val="es-ES"/>
        </w:rPr>
        <w:t xml:space="preserve"> </w:t>
      </w:r>
    </w:p>
    <w:p w14:paraId="43918FEA" w14:textId="1005BCC8" w:rsidR="000D4C50" w:rsidRPr="009F0CC0" w:rsidRDefault="009F0CC0" w:rsidP="009F0CC0">
      <w:pPr>
        <w:pStyle w:val="Bullet2"/>
        <w:rPr>
          <w:lang w:val="es-ES"/>
        </w:rPr>
      </w:pPr>
      <w:r w:rsidRPr="009F0CC0">
        <w:rPr>
          <w:lang w:val="es-ES"/>
        </w:rPr>
        <w:t xml:space="preserve">Asegurar que todas las actividades </w:t>
      </w:r>
      <w:r>
        <w:rPr>
          <w:lang w:val="es-ES"/>
        </w:rPr>
        <w:t xml:space="preserve">sean </w:t>
      </w:r>
      <w:r w:rsidRPr="009F0CC0">
        <w:rPr>
          <w:lang w:val="es-ES"/>
        </w:rPr>
        <w:t>coherentes con el Código de conducta y normas de Esfera.</w:t>
      </w:r>
      <w:r>
        <w:rPr>
          <w:lang w:val="es-ES"/>
        </w:rPr>
        <w:t xml:space="preserve"> </w:t>
      </w:r>
      <w:r w:rsidRPr="009F0CC0">
        <w:rPr>
          <w:lang w:val="es-ES"/>
        </w:rPr>
        <w:t xml:space="preserve"> </w:t>
      </w:r>
    </w:p>
    <w:p w14:paraId="0605701D" w14:textId="3E61700D" w:rsidR="00C62B57" w:rsidRPr="005D4F96" w:rsidRDefault="009F0CC0" w:rsidP="00375B2E">
      <w:pPr>
        <w:spacing w:before="2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Fuente: Harvey P. (2011) </w:t>
      </w:r>
      <w:r w:rsidR="000D4C50" w:rsidRPr="005D4F96">
        <w:rPr>
          <w:sz w:val="18"/>
          <w:szCs w:val="18"/>
        </w:rPr>
        <w:t>“Cash transfer programming in emergencies”</w:t>
      </w:r>
    </w:p>
    <w:sectPr w:rsidR="00C62B57" w:rsidRPr="005D4F96" w:rsidSect="00502572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96CD" w14:textId="77777777" w:rsidR="007B4218" w:rsidRDefault="007B4218" w:rsidP="00AB4B5C">
      <w:r>
        <w:separator/>
      </w:r>
    </w:p>
  </w:endnote>
  <w:endnote w:type="continuationSeparator" w:id="0">
    <w:p w14:paraId="7ADD731C" w14:textId="77777777" w:rsidR="007B4218" w:rsidRDefault="007B4218" w:rsidP="00AB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C006" w14:textId="77777777" w:rsidR="00AB4B5C" w:rsidRDefault="00AB4B5C" w:rsidP="00AB4B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5382ED" w14:textId="77777777" w:rsidR="00AB4B5C" w:rsidRDefault="00AB4B5C" w:rsidP="00AB4B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C390A" w14:textId="48F10B88" w:rsidR="00502572" w:rsidRPr="00B45C74" w:rsidRDefault="0050257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83E4C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C64FA3E" w14:textId="5411D725" w:rsidR="00502572" w:rsidRPr="00502572" w:rsidRDefault="00502572" w:rsidP="00ED1B2B">
    <w:pPr>
      <w:pStyle w:val="Footer"/>
    </w:pPr>
    <w:r w:rsidRPr="00107E15">
      <w:rPr>
        <w:b/>
      </w:rPr>
      <w:t>M</w:t>
    </w:r>
    <w:r w:rsidR="00AD1442">
      <w:rPr>
        <w:b/>
      </w:rPr>
      <w:t>ó</w:t>
    </w:r>
    <w:r w:rsidRPr="00107E15">
      <w:rPr>
        <w:b/>
      </w:rPr>
      <w:t>dul</w:t>
    </w:r>
    <w:r w:rsidR="00AD1442">
      <w:rPr>
        <w:b/>
      </w:rPr>
      <w:t>o</w:t>
    </w:r>
    <w:r w:rsidRPr="00107E15">
      <w:rPr>
        <w:b/>
      </w:rPr>
      <w:t xml:space="preserve"> </w:t>
    </w:r>
    <w:r>
      <w:rPr>
        <w:b/>
      </w:rPr>
      <w:t>4</w:t>
    </w:r>
    <w:r w:rsidRPr="00107E15">
      <w:rPr>
        <w:b/>
      </w:rPr>
      <w:t>.</w:t>
    </w:r>
    <w:r w:rsidRPr="00107E15">
      <w:t xml:space="preserve"> </w:t>
    </w:r>
    <w:r w:rsidR="00AD1442">
      <w:t xml:space="preserve">Etapa </w:t>
    </w:r>
    <w:r>
      <w:t>1</w:t>
    </w:r>
    <w:r w:rsidRPr="00107E15">
      <w:t>.</w:t>
    </w:r>
    <w:r>
      <w:t xml:space="preserve"> Sub-</w:t>
    </w:r>
    <w:r w:rsidR="00AD1442">
      <w:t xml:space="preserve">etapa </w:t>
    </w:r>
    <w:r>
      <w:t xml:space="preserve">3. </w:t>
    </w:r>
    <w:fldSimple w:instr=" STYLEREF  H1 \t  \* MERGEFORMAT ">
      <w:r w:rsidR="00B83E4C" w:rsidRPr="00B83E4C">
        <w:rPr>
          <w:bCs/>
          <w:noProof/>
        </w:rPr>
        <w:t>Responsabilidades de los grupos de</w:t>
      </w:r>
      <w:r w:rsidR="00B83E4C">
        <w:rPr>
          <w:noProof/>
        </w:rPr>
        <w:t xml:space="preserve"> coordinación de PTE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9A17" w14:textId="77777777" w:rsidR="007B4218" w:rsidRDefault="007B4218" w:rsidP="00AB4B5C">
      <w:r>
        <w:separator/>
      </w:r>
    </w:p>
  </w:footnote>
  <w:footnote w:type="continuationSeparator" w:id="0">
    <w:p w14:paraId="32DE078E" w14:textId="77777777" w:rsidR="007B4218" w:rsidRDefault="007B4218" w:rsidP="00AB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5C43" w14:textId="77777777" w:rsidR="00961D10" w:rsidRPr="00730879" w:rsidRDefault="00961D10" w:rsidP="00961D10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14:paraId="582183C4" w14:textId="5BFCE3CF" w:rsidR="00502572" w:rsidRPr="00961D10" w:rsidRDefault="00502572" w:rsidP="00961D10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3189D"/>
    <w:multiLevelType w:val="hybridMultilevel"/>
    <w:tmpl w:val="0BF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50"/>
    <w:rsid w:val="000A486D"/>
    <w:rsid w:val="000D4C50"/>
    <w:rsid w:val="000F50E3"/>
    <w:rsid w:val="0010054A"/>
    <w:rsid w:val="00113F10"/>
    <w:rsid w:val="001336FD"/>
    <w:rsid w:val="0015347F"/>
    <w:rsid w:val="002D6EAF"/>
    <w:rsid w:val="00375B2E"/>
    <w:rsid w:val="003C4F92"/>
    <w:rsid w:val="00502572"/>
    <w:rsid w:val="005269A1"/>
    <w:rsid w:val="005A2607"/>
    <w:rsid w:val="005D4F96"/>
    <w:rsid w:val="005E083D"/>
    <w:rsid w:val="005E5E6B"/>
    <w:rsid w:val="005F4021"/>
    <w:rsid w:val="00605EDC"/>
    <w:rsid w:val="006318EE"/>
    <w:rsid w:val="00635EA3"/>
    <w:rsid w:val="0065202B"/>
    <w:rsid w:val="0069493C"/>
    <w:rsid w:val="00706F8E"/>
    <w:rsid w:val="007B4218"/>
    <w:rsid w:val="008B142A"/>
    <w:rsid w:val="00961D10"/>
    <w:rsid w:val="009D5A86"/>
    <w:rsid w:val="009F0CC0"/>
    <w:rsid w:val="00A227CB"/>
    <w:rsid w:val="00A30793"/>
    <w:rsid w:val="00A31261"/>
    <w:rsid w:val="00AB4B5C"/>
    <w:rsid w:val="00AD1442"/>
    <w:rsid w:val="00B83E4C"/>
    <w:rsid w:val="00C62B57"/>
    <w:rsid w:val="00C80A20"/>
    <w:rsid w:val="00C80EC9"/>
    <w:rsid w:val="00E84C3B"/>
    <w:rsid w:val="00EF566C"/>
    <w:rsid w:val="00F50770"/>
    <w:rsid w:val="00FC4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196F8"/>
  <w15:docId w15:val="{7D4EC48F-B65A-4834-AC3A-DDF998A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83D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5E08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83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83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083D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08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A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A20"/>
    <w:rPr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5E083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E083D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83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3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83D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E083D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5E083D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083D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5E083D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E083D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E083D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83D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083D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5E083D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83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08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83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E083D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83D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5E083D"/>
    <w:rPr>
      <w:vertAlign w:val="superscript"/>
    </w:rPr>
  </w:style>
  <w:style w:type="paragraph" w:styleId="Revision">
    <w:name w:val="Revision"/>
    <w:hidden/>
    <w:uiPriority w:val="99"/>
    <w:semiHidden/>
    <w:rsid w:val="005E083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5E083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5E083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5E083D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5E083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5E083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5E083D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5E083D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5E083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5E083D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5E083D"/>
    <w:pPr>
      <w:numPr>
        <w:numId w:val="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5E083D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5E083D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5E083D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5E083D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5E083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E083D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0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Ines DALMAU i GUTSENS</cp:lastModifiedBy>
  <cp:revision>2</cp:revision>
  <cp:lastPrinted>2015-10-11T22:17:00Z</cp:lastPrinted>
  <dcterms:created xsi:type="dcterms:W3CDTF">2016-02-13T18:56:00Z</dcterms:created>
  <dcterms:modified xsi:type="dcterms:W3CDTF">2016-02-13T18:56:00Z</dcterms:modified>
</cp:coreProperties>
</file>