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292" w:rsidRPr="00322B29" w:rsidRDefault="001E4C56" w:rsidP="0031579C">
      <w:pPr>
        <w:pStyle w:val="H1"/>
        <w:rPr>
          <w:lang w:val="fr-FR"/>
        </w:rPr>
      </w:pPr>
      <w:r w:rsidRPr="00322B29">
        <w:rPr>
          <w:lang w:val="fr-FR"/>
        </w:rPr>
        <w:t xml:space="preserve">Avantages </w:t>
      </w:r>
      <w:r w:rsidR="00322B29" w:rsidRPr="00322B29">
        <w:rPr>
          <w:lang w:val="fr-FR"/>
        </w:rPr>
        <w:t xml:space="preserve">et </w:t>
      </w:r>
      <w:r w:rsidR="00322B29">
        <w:rPr>
          <w:lang w:val="fr-FR"/>
        </w:rPr>
        <w:t>inconvé</w:t>
      </w:r>
      <w:r w:rsidR="00322B29" w:rsidRPr="00322B29">
        <w:rPr>
          <w:lang w:val="fr-FR"/>
        </w:rPr>
        <w:t>nient</w:t>
      </w:r>
      <w:r w:rsidR="00322B29">
        <w:rPr>
          <w:lang w:val="fr-FR"/>
        </w:rPr>
        <w:t>s</w:t>
      </w:r>
      <w:r w:rsidR="0031579C">
        <w:rPr>
          <w:lang w:val="fr-FR"/>
        </w:rPr>
        <w:t xml:space="preserve"> des mécanismes de distribution</w:t>
      </w:r>
      <w:bookmarkStart w:id="0" w:name="_GoBack"/>
      <w:bookmarkEnd w:id="0"/>
    </w:p>
    <w:p w:rsidR="00687B1A" w:rsidRPr="00322B29" w:rsidRDefault="00687B1A" w:rsidP="00C85949">
      <w:pPr>
        <w:spacing w:after="0"/>
        <w:rPr>
          <w:color w:val="4F81BD" w:themeColor="accent1"/>
          <w:lang w:val="fr-F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68"/>
        <w:gridCol w:w="2858"/>
        <w:gridCol w:w="2708"/>
        <w:gridCol w:w="2820"/>
      </w:tblGrid>
      <w:tr w:rsidR="007368D3" w:rsidRPr="00322B29" w:rsidTr="00D34754">
        <w:tc>
          <w:tcPr>
            <w:tcW w:w="745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322B29" w:rsidRDefault="00322B29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  <w:lang w:val="fr-FR"/>
              </w:rPr>
            </w:pPr>
            <w:r>
              <w:rPr>
                <w:rFonts w:ascii="Arial Bold" w:hAnsi="Arial Bold" w:cs="Arial"/>
                <w:b/>
                <w:color w:val="FFFFFF" w:themeColor="background1"/>
                <w:lang w:val="fr-FR"/>
              </w:rPr>
              <w:t>Prestataire</w:t>
            </w: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322B29" w:rsidRDefault="00322B29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  <w:lang w:val="fr-FR"/>
              </w:rPr>
            </w:pPr>
            <w:r>
              <w:rPr>
                <w:rFonts w:ascii="Arial Bold" w:hAnsi="Arial Bold" w:cs="Arial"/>
                <w:b/>
                <w:color w:val="FFFFFF" w:themeColor="background1"/>
                <w:lang w:val="fr-FR"/>
              </w:rPr>
              <w:t>Conditions minimales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322B29" w:rsidRDefault="00322B29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  <w:lang w:val="fr-FR"/>
              </w:rPr>
            </w:pPr>
            <w:r>
              <w:rPr>
                <w:rFonts w:ascii="Arial Bold" w:hAnsi="Arial Bold" w:cs="Arial"/>
                <w:b/>
                <w:color w:val="FFFFFF" w:themeColor="background1"/>
                <w:lang w:val="fr-FR"/>
              </w:rPr>
              <w:t>A</w:t>
            </w:r>
            <w:r w:rsidR="00C37981" w:rsidRPr="00322B29">
              <w:rPr>
                <w:rFonts w:ascii="Arial Bold" w:hAnsi="Arial Bold" w:cs="Arial"/>
                <w:b/>
                <w:color w:val="FFFFFF" w:themeColor="background1"/>
                <w:lang w:val="fr-FR"/>
              </w:rPr>
              <w:t>vantages</w:t>
            </w: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DC281E"/>
          </w:tcPr>
          <w:p w:rsidR="00C37981" w:rsidRPr="00322B29" w:rsidRDefault="00322B29" w:rsidP="007368D3">
            <w:pPr>
              <w:spacing w:before="120"/>
              <w:jc w:val="center"/>
              <w:rPr>
                <w:rFonts w:ascii="Arial Bold" w:hAnsi="Arial Bold" w:cs="Arial"/>
                <w:b/>
                <w:color w:val="FFFFFF" w:themeColor="background1"/>
                <w:lang w:val="fr-FR"/>
              </w:rPr>
            </w:pPr>
            <w:r>
              <w:rPr>
                <w:rFonts w:ascii="Arial Bold" w:hAnsi="Arial Bold" w:cs="Arial"/>
                <w:b/>
                <w:color w:val="FFFFFF" w:themeColor="background1"/>
                <w:lang w:val="fr-FR"/>
              </w:rPr>
              <w:t>Inconvénient</w:t>
            </w:r>
            <w:r w:rsidR="00C37981" w:rsidRPr="00322B29">
              <w:rPr>
                <w:rFonts w:ascii="Arial Bold" w:hAnsi="Arial Bold" w:cs="Arial"/>
                <w:b/>
                <w:color w:val="FFFFFF" w:themeColor="background1"/>
                <w:lang w:val="fr-FR"/>
              </w:rPr>
              <w:t>s</w:t>
            </w:r>
          </w:p>
        </w:tc>
      </w:tr>
      <w:tr w:rsidR="00C85949" w:rsidRPr="00AC4DB6" w:rsidTr="007368D3">
        <w:tc>
          <w:tcPr>
            <w:tcW w:w="5000" w:type="pct"/>
            <w:gridSpan w:val="4"/>
            <w:shd w:val="clear" w:color="auto" w:fill="E6E6E6"/>
          </w:tcPr>
          <w:p w:rsidR="00C85949" w:rsidRPr="00322B29" w:rsidRDefault="00322B29" w:rsidP="00AC4DB6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b/>
                <w:lang w:val="fr-FR"/>
              </w:rPr>
              <w:t>Tr</w:t>
            </w:r>
            <w:r w:rsidR="00AC4DB6">
              <w:rPr>
                <w:rFonts w:cs="Arial"/>
                <w:b/>
                <w:lang w:val="fr-FR"/>
              </w:rPr>
              <w:t>ansferts par l’intermédiaire d’organismes tiers tel</w:t>
            </w:r>
            <w:r>
              <w:rPr>
                <w:rFonts w:cs="Arial"/>
                <w:b/>
                <w:lang w:val="fr-FR"/>
              </w:rPr>
              <w:t>s que des banque</w:t>
            </w:r>
            <w:r w:rsidR="006E0533" w:rsidRPr="00322B29">
              <w:rPr>
                <w:rFonts w:cs="Arial"/>
                <w:b/>
                <w:lang w:val="fr-FR"/>
              </w:rPr>
              <w:t>s,</w:t>
            </w:r>
            <w:r>
              <w:rPr>
                <w:rFonts w:cs="Arial"/>
                <w:b/>
                <w:lang w:val="fr-FR"/>
              </w:rPr>
              <w:t xml:space="preserve"> des organismes de transfert de fonds ou des bureaux de poste</w:t>
            </w:r>
          </w:p>
        </w:tc>
      </w:tr>
      <w:tr w:rsidR="00C85949" w:rsidRPr="00322B29" w:rsidTr="007368D3">
        <w:tc>
          <w:tcPr>
            <w:tcW w:w="745" w:type="pct"/>
            <w:vMerge w:val="restart"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  <w:lang w:val="fr-FR"/>
              </w:rPr>
            </w:pPr>
            <w:r w:rsidRPr="00322B29">
              <w:rPr>
                <w:rFonts w:cs="Arial"/>
                <w:b/>
                <w:noProof/>
                <w:color w:val="365F91" w:themeColor="accent1" w:themeShade="BF"/>
                <w:lang w:val="en-GB" w:eastAsia="en-GB"/>
              </w:rPr>
              <w:drawing>
                <wp:inline distT="0" distB="0" distL="0" distR="0">
                  <wp:extent cx="755999" cy="566924"/>
                  <wp:effectExtent l="0" t="0" r="635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99" cy="56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322B29" w:rsidRDefault="00EE3C96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Réglementation bancaire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EE3C96" w:rsidP="007312E6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 xml:space="preserve">Risques financiers supportés par les </w:t>
            </w:r>
            <w:r w:rsidR="007312E6">
              <w:rPr>
                <w:rFonts w:cs="Arial"/>
                <w:lang w:val="fr-FR"/>
              </w:rPr>
              <w:t>prestataires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48106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Processus</w:t>
            </w:r>
            <w:r w:rsidR="00EE3C96">
              <w:rPr>
                <w:rFonts w:cs="Arial"/>
                <w:lang w:val="fr-FR"/>
              </w:rPr>
              <w:t xml:space="preserve"> lent</w:t>
            </w:r>
            <w:r w:rsidR="00C85949" w:rsidRPr="00322B29">
              <w:rPr>
                <w:rFonts w:cs="Arial"/>
                <w:lang w:val="fr-FR"/>
              </w:rPr>
              <w:t xml:space="preserve"> </w:t>
            </w:r>
          </w:p>
        </w:tc>
      </w:tr>
      <w:tr w:rsidR="00C85949" w:rsidRPr="00322B29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  <w:lang w:val="fr-FR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22B29" w:rsidRDefault="00EE3C96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Systèmes informatiques solides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E6270C" w:rsidP="00E6270C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Inclusion financière et connaissances financières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E6270C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Connaissances financières requises</w:t>
            </w:r>
            <w:r w:rsidR="00C85949" w:rsidRPr="00322B29">
              <w:rPr>
                <w:rFonts w:cs="Arial"/>
                <w:lang w:val="fr-FR"/>
              </w:rPr>
              <w:t xml:space="preserve"> </w:t>
            </w:r>
          </w:p>
        </w:tc>
      </w:tr>
      <w:tr w:rsidR="00C85949" w:rsidRPr="00322B29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  <w:lang w:val="fr-FR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Respect d</w:t>
            </w:r>
            <w:r w:rsidR="00EE3C96">
              <w:rPr>
                <w:rFonts w:cs="Arial"/>
                <w:lang w:val="fr-FR"/>
              </w:rPr>
              <w:t>es critères financiers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EE3C96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Réseaux existants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E6270C" w:rsidP="007312E6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 xml:space="preserve">Faible accessibilité </w:t>
            </w:r>
            <w:r w:rsidR="007312E6">
              <w:rPr>
                <w:rFonts w:cs="Arial"/>
                <w:lang w:val="fr-FR"/>
              </w:rPr>
              <w:t>des</w:t>
            </w:r>
            <w:r>
              <w:rPr>
                <w:rFonts w:cs="Arial"/>
                <w:lang w:val="fr-FR"/>
              </w:rPr>
              <w:t xml:space="preserve"> services</w:t>
            </w:r>
          </w:p>
        </w:tc>
      </w:tr>
      <w:tr w:rsidR="00C85949" w:rsidRPr="00322B29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  <w:lang w:val="fr-FR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22B29" w:rsidRDefault="00EE3C96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Contrats existants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EE3C96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Grande échelle</w:t>
            </w:r>
            <w:r w:rsidR="00C85949" w:rsidRPr="00322B29">
              <w:rPr>
                <w:rFonts w:cs="Arial"/>
                <w:lang w:val="fr-FR"/>
              </w:rPr>
              <w:t xml:space="preserve"> 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Données</w:t>
            </w:r>
            <w:r w:rsidR="00E6270C">
              <w:rPr>
                <w:rFonts w:cs="Arial"/>
                <w:lang w:val="fr-FR"/>
              </w:rPr>
              <w:t xml:space="preserve"> précises</w:t>
            </w:r>
            <w:r>
              <w:rPr>
                <w:rFonts w:cs="Arial"/>
                <w:lang w:val="fr-FR"/>
              </w:rPr>
              <w:t xml:space="preserve"> requises</w:t>
            </w:r>
          </w:p>
        </w:tc>
      </w:tr>
      <w:tr w:rsidR="00C85949" w:rsidRPr="00322B29" w:rsidTr="00245B06">
        <w:tc>
          <w:tcPr>
            <w:tcW w:w="745" w:type="pct"/>
            <w:vMerge/>
            <w:tcBorders>
              <w:bottom w:val="single" w:sz="4" w:space="0" w:color="auto"/>
            </w:tcBorders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b/>
                <w:color w:val="365F91" w:themeColor="accent1" w:themeShade="BF"/>
                <w:lang w:val="fr-FR"/>
              </w:rPr>
            </w:pP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A6A6A6"/>
          </w:tcPr>
          <w:p w:rsidR="00C85949" w:rsidRPr="00322B29" w:rsidRDefault="00EE3C96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Acceptation de la communauté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F3F3F3"/>
          </w:tcPr>
          <w:p w:rsidR="00C85949" w:rsidRPr="00322B29" w:rsidRDefault="00EE3C96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I</w:t>
            </w:r>
            <w:r w:rsidR="00C85949" w:rsidRPr="00322B29">
              <w:rPr>
                <w:rFonts w:cs="Arial"/>
                <w:lang w:val="fr-FR"/>
              </w:rPr>
              <w:t>dentification</w:t>
            </w:r>
            <w:r>
              <w:rPr>
                <w:rFonts w:cs="Arial"/>
                <w:lang w:val="fr-FR"/>
              </w:rPr>
              <w:t xml:space="preserve"> formelle</w:t>
            </w:r>
          </w:p>
        </w:tc>
      </w:tr>
      <w:tr w:rsidR="00C85949" w:rsidRPr="00AC4DB6" w:rsidTr="00245B06">
        <w:tc>
          <w:tcPr>
            <w:tcW w:w="5000" w:type="pct"/>
            <w:gridSpan w:val="4"/>
            <w:shd w:val="clear" w:color="auto" w:fill="E6E6E6"/>
          </w:tcPr>
          <w:p w:rsidR="00C85949" w:rsidRPr="00322B29" w:rsidRDefault="00322B29" w:rsidP="0048106A">
            <w:pPr>
              <w:spacing w:before="40" w:after="40"/>
              <w:jc w:val="left"/>
              <w:rPr>
                <w:rFonts w:cs="Arial"/>
                <w:b/>
                <w:lang w:val="fr-FR"/>
              </w:rPr>
            </w:pPr>
            <w:r>
              <w:rPr>
                <w:rFonts w:cs="Arial"/>
                <w:b/>
                <w:lang w:val="fr-FR"/>
              </w:rPr>
              <w:t xml:space="preserve">Transferts par l’intermédiaire </w:t>
            </w:r>
            <w:r w:rsidR="0048106A" w:rsidRPr="0048106A">
              <w:rPr>
                <w:rFonts w:cs="Arial"/>
                <w:b/>
                <w:lang w:val="fr-FR"/>
              </w:rPr>
              <w:t xml:space="preserve">d’organismes tiers tels </w:t>
            </w:r>
            <w:r>
              <w:rPr>
                <w:rFonts w:cs="Arial"/>
                <w:b/>
                <w:lang w:val="fr-FR"/>
              </w:rPr>
              <w:t>que des opérateurs de téléphone mobile ou des prestataires de services de paiement électronique (transferts mobiles)</w:t>
            </w:r>
            <w:r w:rsidR="00687B1A" w:rsidRPr="00322B29">
              <w:rPr>
                <w:rFonts w:cs="Arial"/>
                <w:b/>
                <w:color w:val="4F81BD" w:themeColor="accent1"/>
                <w:lang w:val="fr-FR"/>
              </w:rPr>
              <w:t xml:space="preserve"> </w:t>
            </w:r>
          </w:p>
        </w:tc>
      </w:tr>
      <w:tr w:rsidR="00C85949" w:rsidRPr="00322B29" w:rsidTr="007368D3">
        <w:tc>
          <w:tcPr>
            <w:tcW w:w="745" w:type="pct"/>
            <w:vMerge w:val="restart"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 w:rsidRPr="00322B29">
              <w:rPr>
                <w:rFonts w:cs="Arial"/>
                <w:noProof/>
                <w:lang w:val="en-GB" w:eastAsia="en-GB"/>
              </w:rPr>
              <w:drawing>
                <wp:inline distT="0" distB="0" distL="0" distR="0">
                  <wp:extent cx="736600" cy="520700"/>
                  <wp:effectExtent l="0" t="0" r="0" b="12700"/>
                  <wp:docPr id="11" name="Picture 1" descr="Macintosh HD:Users:ejowett:Desktop:mobile-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jowett:Desktop:mobile-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322B29" w:rsidRDefault="00E6270C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Évaluation des capacités informatiques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F</w:t>
            </w:r>
            <w:r w:rsidR="00E6270C">
              <w:rPr>
                <w:rFonts w:cs="Arial"/>
                <w:lang w:val="fr-FR"/>
              </w:rPr>
              <w:t>ormalités</w:t>
            </w:r>
            <w:r>
              <w:rPr>
                <w:rFonts w:cs="Arial"/>
                <w:lang w:val="fr-FR"/>
              </w:rPr>
              <w:t xml:space="preserve"> réduites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E6270C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Souvent non réglementé</w:t>
            </w:r>
            <w:r w:rsidR="009553DA">
              <w:rPr>
                <w:rFonts w:cs="Arial"/>
                <w:lang w:val="fr-FR"/>
              </w:rPr>
              <w:t>s</w:t>
            </w:r>
          </w:p>
        </w:tc>
      </w:tr>
      <w:tr w:rsidR="00C85949" w:rsidRPr="00322B29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22B29" w:rsidRDefault="00E6270C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Réseau fiable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Charge</w:t>
            </w:r>
            <w:r w:rsidR="00E6270C">
              <w:rPr>
                <w:rFonts w:cs="Arial"/>
                <w:lang w:val="fr-FR"/>
              </w:rPr>
              <w:t xml:space="preserve"> de travail</w:t>
            </w:r>
            <w:r>
              <w:rPr>
                <w:rFonts w:cs="Arial"/>
                <w:lang w:val="fr-FR"/>
              </w:rPr>
              <w:t xml:space="preserve"> réduite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E6270C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 xml:space="preserve">Coûteux </w:t>
            </w:r>
          </w:p>
        </w:tc>
      </w:tr>
      <w:tr w:rsidR="00C85949" w:rsidRPr="00322B29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22B29" w:rsidRDefault="00E6270C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Disponibilité des logiciels de paiement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R</w:t>
            </w:r>
            <w:r w:rsidR="00E6270C">
              <w:rPr>
                <w:rFonts w:cs="Arial"/>
                <w:lang w:val="fr-FR"/>
              </w:rPr>
              <w:t>isques de fraude</w:t>
            </w:r>
            <w:r>
              <w:rPr>
                <w:rFonts w:cs="Arial"/>
                <w:lang w:val="fr-FR"/>
              </w:rPr>
              <w:t xml:space="preserve"> réduits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E6270C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Investissement initial élevé</w:t>
            </w:r>
          </w:p>
        </w:tc>
      </w:tr>
      <w:tr w:rsidR="00C85949" w:rsidRPr="00AC4DB6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22B29" w:rsidRDefault="00E6270C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Capacités des points de vente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E6270C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Grande échelle</w:t>
            </w:r>
            <w:r w:rsidR="00C85949" w:rsidRPr="00322B29">
              <w:rPr>
                <w:rFonts w:cs="Arial"/>
                <w:lang w:val="fr-FR"/>
              </w:rPr>
              <w:t xml:space="preserve"> 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9553DA" w:rsidP="000E6BC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 xml:space="preserve">Impossibilité de </w:t>
            </w:r>
            <w:r w:rsidR="000E6BC3">
              <w:rPr>
                <w:rFonts w:cs="Arial"/>
                <w:lang w:val="fr-FR"/>
              </w:rPr>
              <w:t>restreindre</w:t>
            </w:r>
            <w:r>
              <w:rPr>
                <w:rFonts w:cs="Arial"/>
                <w:lang w:val="fr-FR"/>
              </w:rPr>
              <w:t xml:space="preserve"> les achats des ménages</w:t>
            </w:r>
          </w:p>
        </w:tc>
      </w:tr>
      <w:tr w:rsidR="00C85949" w:rsidRPr="00AC4DB6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50" w:type="pct"/>
            <w:vMerge w:val="restart"/>
            <w:shd w:val="clear" w:color="auto" w:fill="A6A6A6"/>
          </w:tcPr>
          <w:p w:rsidR="00C85949" w:rsidRPr="00322B29" w:rsidRDefault="00E6270C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Capacités des utilisateurs</w:t>
            </w:r>
            <w:r w:rsidR="00C85949" w:rsidRPr="00322B29">
              <w:rPr>
                <w:rFonts w:cs="Arial"/>
                <w:lang w:val="fr-FR"/>
              </w:rPr>
              <w:t xml:space="preserve"> 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E6270C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Transferts rapides et sûrs</w:t>
            </w:r>
          </w:p>
        </w:tc>
        <w:tc>
          <w:tcPr>
            <w:tcW w:w="1431" w:type="pct"/>
            <w:vMerge w:val="restart"/>
            <w:shd w:val="clear" w:color="auto" w:fill="F3F3F3"/>
          </w:tcPr>
          <w:p w:rsidR="00C85949" w:rsidRPr="00322B29" w:rsidRDefault="009553DA" w:rsidP="00DB49BD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 xml:space="preserve">Possibilité limitée de </w:t>
            </w:r>
            <w:r w:rsidR="00DB49BD">
              <w:rPr>
                <w:rFonts w:cs="Arial"/>
                <w:lang w:val="fr-FR"/>
              </w:rPr>
              <w:t>restreindre</w:t>
            </w:r>
            <w:r>
              <w:rPr>
                <w:rFonts w:cs="Arial"/>
                <w:lang w:val="fr-FR"/>
              </w:rPr>
              <w:t xml:space="preserve"> les achats d’articles alimentaires</w:t>
            </w:r>
          </w:p>
        </w:tc>
      </w:tr>
      <w:tr w:rsidR="00C85949" w:rsidRPr="00322B29" w:rsidTr="00245B06">
        <w:tc>
          <w:tcPr>
            <w:tcW w:w="745" w:type="pct"/>
            <w:vMerge/>
            <w:tcBorders>
              <w:bottom w:val="single" w:sz="4" w:space="0" w:color="auto"/>
            </w:tcBorders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50" w:type="pct"/>
            <w:vMerge/>
            <w:tcBorders>
              <w:bottom w:val="single" w:sz="4" w:space="0" w:color="auto"/>
            </w:tcBorders>
            <w:shd w:val="clear" w:color="auto" w:fill="A6A6A6"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322B29" w:rsidRDefault="006E0533" w:rsidP="00E6270C">
            <w:pPr>
              <w:spacing w:before="40" w:after="40"/>
              <w:jc w:val="left"/>
              <w:rPr>
                <w:rFonts w:cs="Arial"/>
                <w:lang w:val="fr-FR"/>
              </w:rPr>
            </w:pPr>
            <w:r w:rsidRPr="00322B29">
              <w:rPr>
                <w:rFonts w:cs="Arial"/>
                <w:lang w:val="fr-FR"/>
              </w:rPr>
              <w:t>Flexibili</w:t>
            </w:r>
            <w:r w:rsidR="00E6270C">
              <w:rPr>
                <w:rFonts w:cs="Arial"/>
                <w:lang w:val="fr-FR"/>
              </w:rPr>
              <w:t>té pour les bénéficiaires</w:t>
            </w:r>
          </w:p>
        </w:tc>
        <w:tc>
          <w:tcPr>
            <w:tcW w:w="1431" w:type="pct"/>
            <w:vMerge/>
            <w:tcBorders>
              <w:bottom w:val="single" w:sz="4" w:space="0" w:color="auto"/>
            </w:tcBorders>
            <w:shd w:val="clear" w:color="auto" w:fill="F3F3F3"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</w:tr>
      <w:tr w:rsidR="00C85949" w:rsidRPr="00AC4DB6" w:rsidTr="00245B06">
        <w:tc>
          <w:tcPr>
            <w:tcW w:w="5000" w:type="pct"/>
            <w:gridSpan w:val="4"/>
            <w:shd w:val="clear" w:color="auto" w:fill="E6E6E6"/>
          </w:tcPr>
          <w:p w:rsidR="00C85949" w:rsidRPr="00322B29" w:rsidRDefault="00322B29" w:rsidP="0048106A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b/>
                <w:lang w:val="fr-FR"/>
              </w:rPr>
              <w:t>Distribution directe d</w:t>
            </w:r>
            <w:r w:rsidR="007312E6">
              <w:rPr>
                <w:rFonts w:cs="Arial"/>
                <w:b/>
                <w:lang w:val="fr-FR"/>
              </w:rPr>
              <w:t xml:space="preserve">es </w:t>
            </w:r>
            <w:r>
              <w:rPr>
                <w:rFonts w:cs="Arial"/>
                <w:b/>
                <w:lang w:val="fr-FR"/>
              </w:rPr>
              <w:t xml:space="preserve">espèces par le Mouvement (ou </w:t>
            </w:r>
            <w:r w:rsidR="007312E6">
              <w:rPr>
                <w:rFonts w:cs="Arial"/>
                <w:b/>
                <w:lang w:val="fr-FR"/>
              </w:rPr>
              <w:t xml:space="preserve">par </w:t>
            </w:r>
            <w:r w:rsidR="0048106A">
              <w:rPr>
                <w:rFonts w:cs="Arial"/>
                <w:b/>
                <w:lang w:val="fr-FR"/>
              </w:rPr>
              <w:t xml:space="preserve">un </w:t>
            </w:r>
            <w:r w:rsidR="0048106A" w:rsidRPr="0048106A">
              <w:rPr>
                <w:rFonts w:cs="Arial"/>
                <w:b/>
                <w:lang w:val="fr-FR"/>
              </w:rPr>
              <w:t>organism</w:t>
            </w:r>
            <w:r w:rsidR="0048106A">
              <w:rPr>
                <w:rFonts w:cs="Arial"/>
                <w:b/>
                <w:lang w:val="fr-FR"/>
              </w:rPr>
              <w:t>e</w:t>
            </w:r>
            <w:r w:rsidR="0048106A" w:rsidRPr="0048106A">
              <w:rPr>
                <w:rFonts w:cs="Arial"/>
                <w:b/>
                <w:lang w:val="fr-FR"/>
              </w:rPr>
              <w:t xml:space="preserve"> tiers</w:t>
            </w:r>
            <w:r>
              <w:rPr>
                <w:rFonts w:cs="Arial"/>
                <w:b/>
                <w:lang w:val="fr-FR"/>
              </w:rPr>
              <w:t>) aux bénéficiaires</w:t>
            </w:r>
          </w:p>
        </w:tc>
      </w:tr>
      <w:tr w:rsidR="00C85949" w:rsidRPr="00AC4DB6" w:rsidTr="007368D3">
        <w:tc>
          <w:tcPr>
            <w:tcW w:w="745" w:type="pct"/>
            <w:vMerge w:val="restart"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 w:rsidRPr="00322B29">
              <w:rPr>
                <w:rFonts w:cs="Arial"/>
                <w:noProof/>
                <w:lang w:val="en-GB" w:eastAsia="en-GB"/>
              </w:rPr>
              <w:drawing>
                <wp:inline distT="0" distB="0" distL="0" distR="0">
                  <wp:extent cx="736423" cy="849630"/>
                  <wp:effectExtent l="0" t="0" r="635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2" cy="85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Contexte sécurisé requis pour le transport et la distribution des espèces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Aucune identification formelle requise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9553DA" w:rsidP="009553DA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Risque</w:t>
            </w:r>
            <w:r w:rsidR="007312E6">
              <w:rPr>
                <w:rFonts w:cs="Arial"/>
                <w:lang w:val="fr-FR"/>
              </w:rPr>
              <w:t>s</w:t>
            </w:r>
            <w:r>
              <w:rPr>
                <w:rFonts w:cs="Arial"/>
                <w:lang w:val="fr-FR"/>
              </w:rPr>
              <w:t xml:space="preserve"> lié</w:t>
            </w:r>
            <w:r w:rsidR="007312E6">
              <w:rPr>
                <w:rFonts w:cs="Arial"/>
                <w:lang w:val="fr-FR"/>
              </w:rPr>
              <w:t>s</w:t>
            </w:r>
            <w:r>
              <w:rPr>
                <w:rFonts w:cs="Arial"/>
                <w:lang w:val="fr-FR"/>
              </w:rPr>
              <w:t xml:space="preserve"> à la sécurité de l’organisation et des bénéficiaires</w:t>
            </w:r>
            <w:r w:rsidR="00C85949" w:rsidRPr="00322B29">
              <w:rPr>
                <w:rFonts w:cs="Arial"/>
                <w:lang w:val="fr-FR"/>
              </w:rPr>
              <w:t xml:space="preserve"> </w:t>
            </w:r>
          </w:p>
        </w:tc>
      </w:tr>
      <w:tr w:rsidR="00C85949" w:rsidRPr="00322B29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22B29" w:rsidRDefault="007312E6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Ressources financières</w:t>
            </w:r>
            <w:r w:rsidR="009553DA">
              <w:rPr>
                <w:rFonts w:cs="Arial"/>
                <w:lang w:val="fr-FR"/>
              </w:rPr>
              <w:t xml:space="preserve"> suffisant</w:t>
            </w:r>
            <w:r>
              <w:rPr>
                <w:rFonts w:cs="Arial"/>
                <w:lang w:val="fr-FR"/>
              </w:rPr>
              <w:t>es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48106A" w:rsidP="0048106A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Accessible aux</w:t>
            </w:r>
            <w:r w:rsidR="00665B8B">
              <w:rPr>
                <w:rFonts w:cs="Arial"/>
                <w:lang w:val="fr-FR"/>
              </w:rPr>
              <w:t xml:space="preserve"> individus </w:t>
            </w:r>
            <w:r>
              <w:rPr>
                <w:rFonts w:cs="Arial"/>
                <w:lang w:val="fr-FR"/>
              </w:rPr>
              <w:t xml:space="preserve">qui ne savent pas bien lire et </w:t>
            </w:r>
            <w:r w:rsidR="00DB49BD">
              <w:rPr>
                <w:rFonts w:cs="Arial"/>
                <w:lang w:val="fr-FR"/>
              </w:rPr>
              <w:t>compter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Risque</w:t>
            </w:r>
            <w:r w:rsidR="007312E6">
              <w:rPr>
                <w:rFonts w:cs="Arial"/>
                <w:lang w:val="fr-FR"/>
              </w:rPr>
              <w:t>s</w:t>
            </w:r>
            <w:r>
              <w:rPr>
                <w:rFonts w:cs="Arial"/>
                <w:lang w:val="fr-FR"/>
              </w:rPr>
              <w:t xml:space="preserve"> de corruption</w:t>
            </w:r>
          </w:p>
        </w:tc>
      </w:tr>
      <w:tr w:rsidR="00C85949" w:rsidRPr="00322B29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Ressources humaines, logistiques et autres suffisantes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Mise en place rapide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7312E6" w:rsidP="007312E6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Importante m</w:t>
            </w:r>
            <w:r w:rsidR="009553DA">
              <w:rPr>
                <w:rFonts w:cs="Arial"/>
                <w:lang w:val="fr-FR"/>
              </w:rPr>
              <w:t>ain-d’œuvre exigée</w:t>
            </w:r>
          </w:p>
        </w:tc>
      </w:tr>
      <w:tr w:rsidR="00C85949" w:rsidRPr="00AC4DB6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Acceptation politique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Grande échelle</w:t>
            </w:r>
            <w:r w:rsidR="00C85949" w:rsidRPr="00322B29">
              <w:rPr>
                <w:rFonts w:cs="Arial"/>
                <w:lang w:val="fr-FR"/>
              </w:rPr>
              <w:t xml:space="preserve"> 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DB49BD" w:rsidP="00DB49BD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Importantes procédures de contrôle requises lors des paiements</w:t>
            </w:r>
          </w:p>
        </w:tc>
      </w:tr>
      <w:tr w:rsidR="00C85949" w:rsidRPr="00AC4DB6" w:rsidTr="00D34754">
        <w:tc>
          <w:tcPr>
            <w:tcW w:w="745" w:type="pct"/>
            <w:vMerge/>
            <w:tcBorders>
              <w:bottom w:val="single" w:sz="4" w:space="0" w:color="auto"/>
            </w:tcBorders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A6A6A6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Acceptation de la communauté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E6E6E6"/>
          </w:tcPr>
          <w:p w:rsidR="00C85949" w:rsidRPr="00322B29" w:rsidRDefault="009553DA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Souvent peu coûteux</w:t>
            </w:r>
          </w:p>
        </w:tc>
        <w:tc>
          <w:tcPr>
            <w:tcW w:w="1431" w:type="pct"/>
            <w:tcBorders>
              <w:bottom w:val="single" w:sz="4" w:space="0" w:color="auto"/>
            </w:tcBorders>
            <w:shd w:val="clear" w:color="auto" w:fill="F3F3F3"/>
          </w:tcPr>
          <w:p w:rsidR="00C85949" w:rsidRPr="00322B29" w:rsidRDefault="00DB49BD" w:rsidP="00DB49BD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Possibilité limitée de restreindre</w:t>
            </w:r>
            <w:r w:rsidR="009553DA">
              <w:rPr>
                <w:rFonts w:cs="Arial"/>
                <w:lang w:val="fr-FR"/>
              </w:rPr>
              <w:t xml:space="preserve"> les achats d’articles alimentaires</w:t>
            </w:r>
          </w:p>
        </w:tc>
      </w:tr>
      <w:tr w:rsidR="00C85949" w:rsidRPr="00AC4DB6" w:rsidTr="00245B06">
        <w:tc>
          <w:tcPr>
            <w:tcW w:w="5000" w:type="pct"/>
            <w:gridSpan w:val="4"/>
            <w:shd w:val="clear" w:color="auto" w:fill="E6E6E6"/>
          </w:tcPr>
          <w:p w:rsidR="00C85949" w:rsidRPr="00322B29" w:rsidRDefault="00322B29" w:rsidP="000E6BC3">
            <w:pPr>
              <w:spacing w:before="40" w:after="40"/>
              <w:jc w:val="left"/>
              <w:rPr>
                <w:rFonts w:cs="Arial"/>
                <w:b/>
                <w:lang w:val="fr-FR"/>
              </w:rPr>
            </w:pPr>
            <w:r>
              <w:rPr>
                <w:rFonts w:cs="Arial"/>
                <w:b/>
                <w:lang w:val="fr-FR"/>
              </w:rPr>
              <w:t xml:space="preserve">Transferts par l’intermédiaire de commerçants </w:t>
            </w:r>
            <w:r w:rsidR="006E0533" w:rsidRPr="00322B29">
              <w:rPr>
                <w:rFonts w:cs="Arial"/>
                <w:b/>
                <w:lang w:val="fr-FR"/>
              </w:rPr>
              <w:t>(</w:t>
            </w:r>
            <w:r w:rsidR="00EC228F">
              <w:rPr>
                <w:rFonts w:cs="Arial"/>
                <w:b/>
                <w:lang w:val="fr-FR"/>
              </w:rPr>
              <w:t>bons électroniques et bons</w:t>
            </w:r>
            <w:r w:rsidR="000E6BC3">
              <w:rPr>
                <w:rFonts w:cs="Arial"/>
                <w:b/>
                <w:lang w:val="fr-FR"/>
              </w:rPr>
              <w:t xml:space="preserve"> sous forme </w:t>
            </w:r>
            <w:r w:rsidR="00EC228F">
              <w:rPr>
                <w:rFonts w:cs="Arial"/>
                <w:b/>
                <w:lang w:val="fr-FR"/>
              </w:rPr>
              <w:t>papier)</w:t>
            </w:r>
          </w:p>
        </w:tc>
      </w:tr>
      <w:tr w:rsidR="00C85949" w:rsidRPr="00AC4DB6" w:rsidTr="007368D3">
        <w:tc>
          <w:tcPr>
            <w:tcW w:w="745" w:type="pct"/>
            <w:vMerge w:val="restart"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 w:rsidRPr="00322B29">
              <w:rPr>
                <w:rFonts w:cs="Arial"/>
                <w:noProof/>
                <w:lang w:val="en-GB" w:eastAsia="en-GB"/>
              </w:rPr>
              <w:drawing>
                <wp:inline distT="0" distB="0" distL="0" distR="0">
                  <wp:extent cx="730980" cy="755999"/>
                  <wp:effectExtent l="0" t="0" r="5715" b="635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80" cy="75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shd w:val="clear" w:color="auto" w:fill="A6A6A6"/>
          </w:tcPr>
          <w:p w:rsidR="00C85949" w:rsidRPr="00322B29" w:rsidRDefault="00DB49BD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Acceptation et capacités des commerçants</w:t>
            </w:r>
            <w:r w:rsidR="00C85949" w:rsidRPr="00322B29">
              <w:rPr>
                <w:rFonts w:cs="Arial"/>
                <w:lang w:val="fr-FR"/>
              </w:rPr>
              <w:t xml:space="preserve"> 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DB49BD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Peu coûteux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381FA0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La mise en place prend du temps</w:t>
            </w:r>
            <w:r w:rsidR="00C85949" w:rsidRPr="00322B29">
              <w:rPr>
                <w:rFonts w:cs="Arial"/>
                <w:lang w:val="fr-FR"/>
              </w:rPr>
              <w:t xml:space="preserve"> </w:t>
            </w:r>
          </w:p>
        </w:tc>
      </w:tr>
      <w:tr w:rsidR="00C85949" w:rsidRPr="00AC4DB6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22B29" w:rsidRDefault="007312E6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N</w:t>
            </w:r>
            <w:r w:rsidR="00DB49BD">
              <w:rPr>
                <w:rFonts w:cs="Arial"/>
                <w:lang w:val="fr-FR"/>
              </w:rPr>
              <w:t>ombre</w:t>
            </w:r>
            <w:r>
              <w:rPr>
                <w:rFonts w:cs="Arial"/>
                <w:lang w:val="fr-FR"/>
              </w:rPr>
              <w:t xml:space="preserve"> important</w:t>
            </w:r>
            <w:r w:rsidR="00DB49BD">
              <w:rPr>
                <w:rFonts w:cs="Arial"/>
                <w:lang w:val="fr-FR"/>
              </w:rPr>
              <w:t xml:space="preserve"> de commerçants requis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7C1257" w:rsidP="0048106A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 xml:space="preserve">N’exigent pas </w:t>
            </w:r>
            <w:r w:rsidR="0048106A">
              <w:rPr>
                <w:rFonts w:cs="Arial"/>
                <w:lang w:val="fr-FR"/>
              </w:rPr>
              <w:t xml:space="preserve">de savoir bien lire et </w:t>
            </w:r>
            <w:r>
              <w:rPr>
                <w:rFonts w:cs="Arial"/>
                <w:lang w:val="fr-FR"/>
              </w:rPr>
              <w:t>compter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381FA0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lastRenderedPageBreak/>
              <w:t>Sensibilisation et acceptation des commerçants</w:t>
            </w:r>
            <w:r w:rsidR="00C85949" w:rsidRPr="00322B29">
              <w:rPr>
                <w:rFonts w:cs="Arial"/>
                <w:lang w:val="fr-FR"/>
              </w:rPr>
              <w:t xml:space="preserve"> </w:t>
            </w:r>
          </w:p>
        </w:tc>
      </w:tr>
      <w:tr w:rsidR="00C85949" w:rsidRPr="00AC4DB6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22B29" w:rsidRDefault="00DB49BD" w:rsidP="0048106A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Acc</w:t>
            </w:r>
            <w:r w:rsidR="0048106A">
              <w:rPr>
                <w:rFonts w:cs="Arial"/>
                <w:lang w:val="fr-FR"/>
              </w:rPr>
              <w:t xml:space="preserve">essible et commode </w:t>
            </w:r>
            <w:r>
              <w:rPr>
                <w:rFonts w:cs="Arial"/>
                <w:lang w:val="fr-FR"/>
              </w:rPr>
              <w:t>pour les bénéficiaires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D5731E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Opérations à grande échelle possibles</w:t>
            </w:r>
            <w:r w:rsidR="00C85949" w:rsidRPr="00322B29">
              <w:rPr>
                <w:rFonts w:cs="Arial"/>
                <w:lang w:val="fr-FR"/>
              </w:rPr>
              <w:t xml:space="preserve"> 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D5731E" w:rsidP="007312E6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 xml:space="preserve">L’échelle des opérations </w:t>
            </w:r>
            <w:r w:rsidR="007312E6">
              <w:rPr>
                <w:rFonts w:cs="Arial"/>
                <w:lang w:val="fr-FR"/>
              </w:rPr>
              <w:t>dépend des</w:t>
            </w:r>
            <w:r>
              <w:rPr>
                <w:rFonts w:cs="Arial"/>
                <w:lang w:val="fr-FR"/>
              </w:rPr>
              <w:t xml:space="preserve"> capacités des commerçants</w:t>
            </w:r>
          </w:p>
        </w:tc>
      </w:tr>
      <w:tr w:rsidR="00C85949" w:rsidRPr="00AC4DB6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22B29" w:rsidRDefault="00DB49BD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Diversité des stocks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D5731E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Les montants des transferts peuvent être ajustés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D5731E" w:rsidP="00D5731E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Les coûts liés à la distribution peuvent être élevés</w:t>
            </w:r>
          </w:p>
        </w:tc>
      </w:tr>
      <w:tr w:rsidR="00C85949" w:rsidRPr="00AC4DB6" w:rsidTr="007368D3">
        <w:tc>
          <w:tcPr>
            <w:tcW w:w="745" w:type="pct"/>
            <w:vMerge/>
          </w:tcPr>
          <w:p w:rsidR="00C85949" w:rsidRPr="00322B29" w:rsidRDefault="00C85949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</w:p>
        </w:tc>
        <w:tc>
          <w:tcPr>
            <w:tcW w:w="1450" w:type="pct"/>
            <w:shd w:val="clear" w:color="auto" w:fill="A6A6A6"/>
          </w:tcPr>
          <w:p w:rsidR="00C85949" w:rsidRPr="00322B29" w:rsidRDefault="00D5731E" w:rsidP="00D5731E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Paiement sécurisé des commerçants</w:t>
            </w:r>
          </w:p>
        </w:tc>
        <w:tc>
          <w:tcPr>
            <w:tcW w:w="1374" w:type="pct"/>
            <w:shd w:val="clear" w:color="auto" w:fill="E6E6E6"/>
          </w:tcPr>
          <w:p w:rsidR="00C85949" w:rsidRPr="00322B29" w:rsidRDefault="00D5731E" w:rsidP="007368D3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Idéal pour les transferts monétaires con</w:t>
            </w:r>
            <w:r w:rsidR="00381FA0">
              <w:rPr>
                <w:rFonts w:cs="Arial"/>
                <w:lang w:val="fr-FR"/>
              </w:rPr>
              <w:t>di</w:t>
            </w:r>
            <w:r>
              <w:rPr>
                <w:rFonts w:cs="Arial"/>
                <w:lang w:val="fr-FR"/>
              </w:rPr>
              <w:t>tionnels</w:t>
            </w:r>
          </w:p>
        </w:tc>
        <w:tc>
          <w:tcPr>
            <w:tcW w:w="1431" w:type="pct"/>
            <w:shd w:val="clear" w:color="auto" w:fill="F3F3F3"/>
          </w:tcPr>
          <w:p w:rsidR="00C85949" w:rsidRPr="00322B29" w:rsidRDefault="00381FA0" w:rsidP="00381FA0">
            <w:pPr>
              <w:spacing w:before="40" w:after="40"/>
              <w:jc w:val="left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 xml:space="preserve">Contrefaçons et </w:t>
            </w:r>
            <w:r w:rsidR="007312E6">
              <w:rPr>
                <w:rFonts w:cs="Arial"/>
                <w:lang w:val="fr-FR"/>
              </w:rPr>
              <w:t>détournements de</w:t>
            </w:r>
            <w:r>
              <w:rPr>
                <w:rFonts w:cs="Arial"/>
                <w:lang w:val="fr-FR"/>
              </w:rPr>
              <w:t xml:space="preserve"> fonds</w:t>
            </w:r>
          </w:p>
        </w:tc>
      </w:tr>
    </w:tbl>
    <w:p w:rsidR="00C37981" w:rsidRPr="00322B29" w:rsidRDefault="00C37981" w:rsidP="007368D3">
      <w:pPr>
        <w:jc w:val="left"/>
        <w:rPr>
          <w:rFonts w:cs="Arial"/>
          <w:lang w:val="fr-FR"/>
        </w:rPr>
      </w:pPr>
    </w:p>
    <w:sectPr w:rsidR="00C37981" w:rsidRPr="00322B29" w:rsidSect="004D7318">
      <w:headerReference w:type="default" r:id="rId13"/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F0F" w:rsidRDefault="00F82F0F" w:rsidP="00C37981">
      <w:pPr>
        <w:spacing w:after="0"/>
      </w:pPr>
      <w:r>
        <w:separator/>
      </w:r>
    </w:p>
  </w:endnote>
  <w:endnote w:type="continuationSeparator" w:id="0">
    <w:p w:rsidR="00F82F0F" w:rsidRDefault="00F82F0F" w:rsidP="00C379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-Light">
    <w:altName w:val="Caecili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old">
    <w:altName w:val="Arial"/>
    <w:panose1 w:val="020B0704020202020204"/>
    <w:charset w:val="00"/>
    <w:family w:val="auto"/>
    <w:pitch w:val="variable"/>
    <w:sig w:usb0="00000000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318" w:rsidRPr="00B45C74" w:rsidRDefault="00952C41" w:rsidP="00B45C74">
    <w:pPr>
      <w:framePr w:wrap="around" w:vAnchor="text" w:hAnchor="margin" w:xAlign="right" w:y="1"/>
      <w:tabs>
        <w:tab w:val="center" w:pos="4320"/>
        <w:tab w:val="right" w:pos="8640"/>
      </w:tabs>
      <w:spacing w:after="0"/>
      <w:rPr>
        <w:b/>
        <w:color w:val="808080" w:themeColor="background1" w:themeShade="80"/>
        <w:sz w:val="18"/>
        <w:szCs w:val="18"/>
      </w:rPr>
    </w:pPr>
    <w:r w:rsidRPr="00B45C74">
      <w:rPr>
        <w:b/>
        <w:color w:val="808080" w:themeColor="background1" w:themeShade="80"/>
        <w:sz w:val="18"/>
        <w:szCs w:val="18"/>
      </w:rPr>
      <w:fldChar w:fldCharType="begin"/>
    </w:r>
    <w:r w:rsidR="004D7318" w:rsidRPr="00B45C74">
      <w:rPr>
        <w:b/>
        <w:color w:val="808080" w:themeColor="background1" w:themeShade="80"/>
        <w:sz w:val="18"/>
        <w:szCs w:val="18"/>
      </w:rPr>
      <w:instrText xml:space="preserve">PAGE  </w:instrText>
    </w:r>
    <w:r w:rsidRPr="00B45C74">
      <w:rPr>
        <w:b/>
        <w:color w:val="808080" w:themeColor="background1" w:themeShade="80"/>
        <w:sz w:val="18"/>
        <w:szCs w:val="18"/>
      </w:rPr>
      <w:fldChar w:fldCharType="separate"/>
    </w:r>
    <w:r w:rsidR="0031579C">
      <w:rPr>
        <w:b/>
        <w:noProof/>
        <w:color w:val="808080" w:themeColor="background1" w:themeShade="80"/>
        <w:sz w:val="18"/>
        <w:szCs w:val="18"/>
      </w:rPr>
      <w:t>2</w:t>
    </w:r>
    <w:r w:rsidRPr="00B45C74">
      <w:rPr>
        <w:b/>
        <w:color w:val="808080" w:themeColor="background1" w:themeShade="80"/>
        <w:sz w:val="18"/>
        <w:szCs w:val="18"/>
      </w:rPr>
      <w:fldChar w:fldCharType="end"/>
    </w:r>
  </w:p>
  <w:p w:rsidR="004D7318" w:rsidRPr="00322B29" w:rsidRDefault="004D7318" w:rsidP="00ED1B2B">
    <w:pPr>
      <w:pStyle w:val="Footer"/>
      <w:rPr>
        <w:lang w:val="fr-FR"/>
      </w:rPr>
    </w:pPr>
    <w:r w:rsidRPr="00322B29">
      <w:rPr>
        <w:b/>
        <w:lang w:val="fr-FR"/>
      </w:rPr>
      <w:t>Module 3.</w:t>
    </w:r>
    <w:r w:rsidR="00322B29" w:rsidRPr="00322B29">
      <w:rPr>
        <w:lang w:val="fr-FR"/>
      </w:rPr>
      <w:t xml:space="preserve"> Étape</w:t>
    </w:r>
    <w:r w:rsidRPr="00322B29">
      <w:rPr>
        <w:lang w:val="fr-FR"/>
      </w:rPr>
      <w:t xml:space="preserve"> 1. </w:t>
    </w:r>
    <w:r w:rsidR="00322B29">
      <w:rPr>
        <w:lang w:val="fr-FR"/>
      </w:rPr>
      <w:t>Étape subsidiaire</w:t>
    </w:r>
    <w:r w:rsidRPr="00322B29">
      <w:rPr>
        <w:lang w:val="fr-FR"/>
      </w:rPr>
      <w:t xml:space="preserve"> 3. </w:t>
    </w:r>
    <w:r w:rsidR="0031579C">
      <w:fldChar w:fldCharType="begin"/>
    </w:r>
    <w:r w:rsidR="0031579C">
      <w:instrText xml:space="preserve"> STYLEREF  H1 \t  \* MERGEFORMAT </w:instrText>
    </w:r>
    <w:r w:rsidR="0031579C">
      <w:fldChar w:fldCharType="separate"/>
    </w:r>
    <w:r w:rsidR="0031579C" w:rsidRPr="0031579C">
      <w:rPr>
        <w:bCs/>
        <w:noProof/>
        <w:lang w:val="fr-FR"/>
      </w:rPr>
      <w:t>Avantages et inconvénients des mécanismes de</w:t>
    </w:r>
    <w:r w:rsidR="0031579C" w:rsidRPr="0031579C">
      <w:rPr>
        <w:noProof/>
        <w:lang w:val="fr-FR"/>
      </w:rPr>
      <w:t xml:space="preserve"> distribution</w:t>
    </w:r>
    <w:r w:rsidR="0031579C">
      <w:rPr>
        <w:noProof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F0F" w:rsidRDefault="00F82F0F" w:rsidP="00C37981">
      <w:pPr>
        <w:spacing w:after="0"/>
      </w:pPr>
      <w:r>
        <w:separator/>
      </w:r>
    </w:p>
  </w:footnote>
  <w:footnote w:type="continuationSeparator" w:id="0">
    <w:p w:rsidR="00F82F0F" w:rsidRDefault="00F82F0F" w:rsidP="00C379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318" w:rsidRPr="0025469E" w:rsidRDefault="0025469E" w:rsidP="00CA4FD4">
    <w:pPr>
      <w:pStyle w:val="Header"/>
      <w:rPr>
        <w:sz w:val="14"/>
        <w:szCs w:val="14"/>
        <w:lang w:val="fr-FR"/>
      </w:rPr>
    </w:pPr>
    <w:r>
      <w:rPr>
        <w:rStyle w:val="Pantone485"/>
        <w:sz w:val="14"/>
        <w:szCs w:val="14"/>
        <w:lang w:val="fr-FR"/>
      </w:rPr>
      <w:t>Mouvement international de la Croix-Rouge et du Croissant-Rouge</w:t>
    </w:r>
    <w:r w:rsidR="004D7318" w:rsidRPr="0025469E">
      <w:rPr>
        <w:rFonts w:cs="Caecilia-Light"/>
        <w:color w:val="FF0000"/>
        <w:sz w:val="14"/>
        <w:szCs w:val="14"/>
        <w:lang w:val="fr-FR"/>
      </w:rPr>
      <w:t xml:space="preserve"> </w:t>
    </w:r>
    <w:r w:rsidR="004D7318" w:rsidRPr="0025469E">
      <w:rPr>
        <w:rStyle w:val="PageNumber"/>
        <w:bCs/>
        <w:sz w:val="14"/>
        <w:szCs w:val="14"/>
        <w:lang w:val="fr-FR"/>
      </w:rPr>
      <w:t>I</w:t>
    </w:r>
    <w:r w:rsidR="004D7318" w:rsidRPr="0025469E">
      <w:rPr>
        <w:rStyle w:val="PageNumber"/>
        <w:color w:val="FF0000"/>
        <w:sz w:val="14"/>
        <w:szCs w:val="14"/>
        <w:lang w:val="fr-FR"/>
      </w:rPr>
      <w:t xml:space="preserve"> </w:t>
    </w:r>
    <w:r>
      <w:rPr>
        <w:b/>
        <w:sz w:val="14"/>
        <w:szCs w:val="14"/>
        <w:lang w:val="fr-FR"/>
      </w:rPr>
      <w:t xml:space="preserve">Boîte à outils pour </w:t>
    </w:r>
    <w:r w:rsidR="00CA4FD4">
      <w:rPr>
        <w:b/>
        <w:sz w:val="14"/>
        <w:szCs w:val="14"/>
        <w:lang w:val="fr-FR"/>
      </w:rPr>
      <w:t>les transferts monétaires</w:t>
    </w:r>
    <w:r>
      <w:rPr>
        <w:b/>
        <w:sz w:val="14"/>
        <w:szCs w:val="14"/>
        <w:lang w:val="fr-FR"/>
      </w:rPr>
      <w:t xml:space="preserve"> dans les situations d’urgence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F7D25"/>
    <w:multiLevelType w:val="hybridMultilevel"/>
    <w:tmpl w:val="1D20BF0E"/>
    <w:lvl w:ilvl="0" w:tplc="18D88CC4">
      <w:start w:val="1"/>
      <w:numFmt w:val="decimal"/>
      <w:pStyle w:val="ListNumber1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pStyle w:val="ListNumber1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E508B"/>
    <w:multiLevelType w:val="hybridMultilevel"/>
    <w:tmpl w:val="B41416A2"/>
    <w:lvl w:ilvl="0" w:tplc="AE128682">
      <w:start w:val="1"/>
      <w:numFmt w:val="bullet"/>
      <w:pStyle w:val="Bullet1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ED5E1B"/>
    <w:multiLevelType w:val="hybridMultilevel"/>
    <w:tmpl w:val="A4E2E4E4"/>
    <w:lvl w:ilvl="0" w:tplc="2B7CC386">
      <w:start w:val="1"/>
      <w:numFmt w:val="decimal"/>
      <w:pStyle w:val="NormalNo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CC139D"/>
    <w:multiLevelType w:val="hybridMultilevel"/>
    <w:tmpl w:val="FF4A637C"/>
    <w:lvl w:ilvl="0" w:tplc="08FABD8E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b/>
        <w:color w:val="DC281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F3BBB"/>
    <w:multiLevelType w:val="hybridMultilevel"/>
    <w:tmpl w:val="4BE0429A"/>
    <w:lvl w:ilvl="0" w:tplc="A9DE4814">
      <w:start w:val="1"/>
      <w:numFmt w:val="bullet"/>
      <w:pStyle w:val="BulletTableau"/>
      <w:lvlText w:val=""/>
      <w:lvlJc w:val="left"/>
      <w:pPr>
        <w:ind w:left="108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5C7E23"/>
    <w:multiLevelType w:val="hybridMultilevel"/>
    <w:tmpl w:val="92706D8A"/>
    <w:lvl w:ilvl="0" w:tplc="CAD4AE2E">
      <w:start w:val="1"/>
      <w:numFmt w:val="bullet"/>
      <w:pStyle w:val="Bullet3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attachedTemplate r:id="rId1"/>
  <w:linkStyl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7420"/>
    <w:rsid w:val="0000109C"/>
    <w:rsid w:val="00053AF4"/>
    <w:rsid w:val="00053AFC"/>
    <w:rsid w:val="000E6BC3"/>
    <w:rsid w:val="0010048D"/>
    <w:rsid w:val="00143D46"/>
    <w:rsid w:val="00176D8A"/>
    <w:rsid w:val="00176E30"/>
    <w:rsid w:val="00194628"/>
    <w:rsid w:val="001E4C56"/>
    <w:rsid w:val="001E56DE"/>
    <w:rsid w:val="0020448E"/>
    <w:rsid w:val="00210C91"/>
    <w:rsid w:val="00245B06"/>
    <w:rsid w:val="00247668"/>
    <w:rsid w:val="0025469E"/>
    <w:rsid w:val="002A3CC6"/>
    <w:rsid w:val="002A52B2"/>
    <w:rsid w:val="002E5CF3"/>
    <w:rsid w:val="002E7859"/>
    <w:rsid w:val="002F3F86"/>
    <w:rsid w:val="00310902"/>
    <w:rsid w:val="0031579C"/>
    <w:rsid w:val="00322235"/>
    <w:rsid w:val="00322B29"/>
    <w:rsid w:val="003300CA"/>
    <w:rsid w:val="00345A85"/>
    <w:rsid w:val="00357420"/>
    <w:rsid w:val="003805F3"/>
    <w:rsid w:val="00381FA0"/>
    <w:rsid w:val="0039004B"/>
    <w:rsid w:val="00451AED"/>
    <w:rsid w:val="00471D1E"/>
    <w:rsid w:val="0048106A"/>
    <w:rsid w:val="004C7DFD"/>
    <w:rsid w:val="004D7318"/>
    <w:rsid w:val="004E1622"/>
    <w:rsid w:val="004F0B6E"/>
    <w:rsid w:val="00512E42"/>
    <w:rsid w:val="00585FDD"/>
    <w:rsid w:val="00593EF1"/>
    <w:rsid w:val="005B1A40"/>
    <w:rsid w:val="005B321F"/>
    <w:rsid w:val="005B3D83"/>
    <w:rsid w:val="00653619"/>
    <w:rsid w:val="00665B8B"/>
    <w:rsid w:val="00687B1A"/>
    <w:rsid w:val="006E0533"/>
    <w:rsid w:val="006E2C71"/>
    <w:rsid w:val="007312E6"/>
    <w:rsid w:val="007368D3"/>
    <w:rsid w:val="00785CF2"/>
    <w:rsid w:val="007C1257"/>
    <w:rsid w:val="007F0642"/>
    <w:rsid w:val="007F2F56"/>
    <w:rsid w:val="0080453C"/>
    <w:rsid w:val="008453E3"/>
    <w:rsid w:val="00860582"/>
    <w:rsid w:val="00877DB3"/>
    <w:rsid w:val="008A533E"/>
    <w:rsid w:val="008B0E1C"/>
    <w:rsid w:val="008B588C"/>
    <w:rsid w:val="008C6676"/>
    <w:rsid w:val="0090350E"/>
    <w:rsid w:val="00931648"/>
    <w:rsid w:val="0093412A"/>
    <w:rsid w:val="00952C41"/>
    <w:rsid w:val="009553DA"/>
    <w:rsid w:val="00972113"/>
    <w:rsid w:val="00981FB0"/>
    <w:rsid w:val="00984364"/>
    <w:rsid w:val="009A0E65"/>
    <w:rsid w:val="009A49D7"/>
    <w:rsid w:val="009B097D"/>
    <w:rsid w:val="00A37D81"/>
    <w:rsid w:val="00A40E49"/>
    <w:rsid w:val="00A616D2"/>
    <w:rsid w:val="00AC4DB6"/>
    <w:rsid w:val="00B12CBD"/>
    <w:rsid w:val="00B201F0"/>
    <w:rsid w:val="00B427BD"/>
    <w:rsid w:val="00BC28E4"/>
    <w:rsid w:val="00C05402"/>
    <w:rsid w:val="00C12EEA"/>
    <w:rsid w:val="00C37981"/>
    <w:rsid w:val="00C420DB"/>
    <w:rsid w:val="00C85949"/>
    <w:rsid w:val="00CA2F16"/>
    <w:rsid w:val="00CA4078"/>
    <w:rsid w:val="00CA4FD4"/>
    <w:rsid w:val="00CC39E1"/>
    <w:rsid w:val="00CE4292"/>
    <w:rsid w:val="00D2137C"/>
    <w:rsid w:val="00D34754"/>
    <w:rsid w:val="00D5731E"/>
    <w:rsid w:val="00D768E7"/>
    <w:rsid w:val="00DB49BD"/>
    <w:rsid w:val="00DD0BEE"/>
    <w:rsid w:val="00DE0821"/>
    <w:rsid w:val="00E00501"/>
    <w:rsid w:val="00E01D25"/>
    <w:rsid w:val="00E17DE5"/>
    <w:rsid w:val="00E60233"/>
    <w:rsid w:val="00E6270C"/>
    <w:rsid w:val="00E76C53"/>
    <w:rsid w:val="00E82A2C"/>
    <w:rsid w:val="00EA76CE"/>
    <w:rsid w:val="00EB4156"/>
    <w:rsid w:val="00EC228F"/>
    <w:rsid w:val="00EC3998"/>
    <w:rsid w:val="00ED2759"/>
    <w:rsid w:val="00EE3C96"/>
    <w:rsid w:val="00F76F09"/>
    <w:rsid w:val="00F82F0F"/>
    <w:rsid w:val="00FB0E19"/>
    <w:rsid w:val="00FB5699"/>
    <w:rsid w:val="00FD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78"/>
    <w:pPr>
      <w:spacing w:after="120" w:line="240" w:lineRule="auto"/>
      <w:jc w:val="both"/>
    </w:pPr>
    <w:rPr>
      <w:rFonts w:ascii="Arial" w:eastAsiaTheme="minorEastAsia" w:hAnsi="Arial" w:cs="Times New Roman"/>
      <w:sz w:val="20"/>
      <w:szCs w:val="20"/>
      <w:lang w:val="en-US"/>
    </w:rPr>
  </w:style>
  <w:style w:type="paragraph" w:styleId="Heading1">
    <w:name w:val="heading 1"/>
    <w:basedOn w:val="H1"/>
    <w:next w:val="Normal"/>
    <w:link w:val="Heading1Char"/>
    <w:uiPriority w:val="9"/>
    <w:rsid w:val="00CA407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4078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078"/>
    <w:pPr>
      <w:keepNext/>
      <w:spacing w:before="240"/>
      <w:jc w:val="left"/>
      <w:outlineLvl w:val="2"/>
    </w:pPr>
    <w:rPr>
      <w:b/>
      <w:sz w:val="2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4078"/>
    <w:pPr>
      <w:spacing w:after="0" w:line="240" w:lineRule="auto"/>
    </w:pPr>
    <w:rPr>
      <w:rFonts w:ascii="Cambria" w:eastAsiaTheme="minorEastAsia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407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078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4078"/>
    <w:pPr>
      <w:spacing w:after="0" w:line="288" w:lineRule="auto"/>
      <w:jc w:val="lef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A4078"/>
    <w:rPr>
      <w:rFonts w:ascii="Arial" w:eastAsiaTheme="minorEastAsia" w:hAnsi="Arial" w:cs="Times New Roman"/>
      <w:sz w:val="16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A4078"/>
    <w:pPr>
      <w:spacing w:after="0"/>
      <w:jc w:val="left"/>
    </w:pPr>
    <w:rPr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A4078"/>
    <w:rPr>
      <w:rFonts w:ascii="Arial" w:eastAsiaTheme="minorEastAsia" w:hAnsi="Arial" w:cs="Times New Roman"/>
      <w:sz w:val="16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A4078"/>
    <w:rPr>
      <w:rFonts w:ascii="Arial" w:eastAsiaTheme="minorEastAsia" w:hAnsi="Arial" w:cs="Times New Roman"/>
      <w:b/>
      <w:cap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A4078"/>
    <w:rPr>
      <w:rFonts w:ascii="Arial" w:eastAsiaTheme="minorEastAsia" w:hAnsi="Arial" w:cs="Times New Roman"/>
      <w:b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A4078"/>
    <w:pPr>
      <w:spacing w:after="240"/>
      <w:ind w:left="720"/>
      <w:contextualSpacing/>
    </w:pPr>
    <w:rPr>
      <w:rFonts w:eastAsiaTheme="minorHAnsi" w:cstheme="minorBidi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A4078"/>
    <w:rPr>
      <w:rFonts w:ascii="Arial" w:hAnsi="Arial"/>
      <w:sz w:val="20"/>
      <w:lang w:val="en-US"/>
    </w:rPr>
  </w:style>
  <w:style w:type="paragraph" w:customStyle="1" w:styleId="Default">
    <w:name w:val="Default"/>
    <w:rsid w:val="00CA4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40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31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318"/>
    <w:rPr>
      <w:rFonts w:ascii="Arial" w:eastAsiaTheme="minorEastAsia" w:hAnsi="Arial" w:cs="Times New Roman"/>
      <w:sz w:val="20"/>
      <w:szCs w:val="20"/>
      <w:lang w:val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A4078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CA4078"/>
    <w:rPr>
      <w:rFonts w:ascii="Arial" w:eastAsiaTheme="minorEastAsia" w:hAnsi="Arial" w:cs="Times New Roman"/>
      <w:b/>
      <w:bCs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unhideWhenUsed/>
    <w:rsid w:val="00CA4078"/>
    <w:rPr>
      <w:b/>
    </w:rPr>
  </w:style>
  <w:style w:type="character" w:styleId="Hyperlink">
    <w:name w:val="Hyperlink"/>
    <w:basedOn w:val="DefaultParagraphFont"/>
    <w:uiPriority w:val="99"/>
    <w:unhideWhenUsed/>
    <w:rsid w:val="00CA40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407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A4078"/>
    <w:pPr>
      <w:spacing w:after="0"/>
    </w:pPr>
    <w:rPr>
      <w:sz w:val="16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4078"/>
    <w:rPr>
      <w:rFonts w:ascii="Arial" w:eastAsiaTheme="minorEastAsia" w:hAnsi="Arial" w:cs="Times New Roman"/>
      <w:sz w:val="16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A4078"/>
    <w:rPr>
      <w:vertAlign w:val="superscript"/>
    </w:rPr>
  </w:style>
  <w:style w:type="paragraph" w:styleId="Revision">
    <w:name w:val="Revision"/>
    <w:hidden/>
    <w:uiPriority w:val="99"/>
    <w:semiHidden/>
    <w:rsid w:val="00CA4078"/>
    <w:pPr>
      <w:spacing w:after="0" w:line="240" w:lineRule="auto"/>
    </w:pPr>
    <w:rPr>
      <w:rFonts w:ascii="Arial" w:eastAsiaTheme="minorEastAsia" w:hAnsi="Arial" w:cs="Arial"/>
      <w:sz w:val="21"/>
      <w:szCs w:val="21"/>
      <w:lang w:val="en-US"/>
    </w:rPr>
  </w:style>
  <w:style w:type="paragraph" w:customStyle="1" w:styleId="BasicParagraph">
    <w:name w:val="[Basic Paragraph]"/>
    <w:basedOn w:val="Normal"/>
    <w:uiPriority w:val="99"/>
    <w:rsid w:val="00CA4078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Normal"/>
    <w:link w:val="H1Char"/>
    <w:qFormat/>
    <w:rsid w:val="00CA4078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Normal"/>
    <w:rsid w:val="00CA4078"/>
    <w:pPr>
      <w:numPr>
        <w:numId w:val="3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Normal"/>
    <w:rsid w:val="00CA4078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Normal"/>
    <w:rsid w:val="00CA4078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Header"/>
    <w:rsid w:val="00CA4078"/>
    <w:rPr>
      <w:b/>
      <w:sz w:val="24"/>
      <w:szCs w:val="24"/>
    </w:rPr>
  </w:style>
  <w:style w:type="character" w:customStyle="1" w:styleId="Pantone485">
    <w:name w:val="Pantone 485"/>
    <w:basedOn w:val="DefaultParagraphFont"/>
    <w:uiPriority w:val="1"/>
    <w:qFormat/>
    <w:rsid w:val="00CA4078"/>
    <w:rPr>
      <w:rFonts w:cs="Caecilia-Light"/>
      <w:color w:val="DC281E"/>
      <w:szCs w:val="16"/>
    </w:rPr>
  </w:style>
  <w:style w:type="character" w:customStyle="1" w:styleId="H1Char">
    <w:name w:val="H1 Char"/>
    <w:basedOn w:val="DefaultParagraphFont"/>
    <w:link w:val="H1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table" w:customStyle="1" w:styleId="TableGray">
    <w:name w:val="Table Gray"/>
    <w:basedOn w:val="TableNormal"/>
    <w:uiPriority w:val="99"/>
    <w:rsid w:val="00CA4078"/>
    <w:pPr>
      <w:spacing w:after="0" w:line="240" w:lineRule="auto"/>
    </w:pPr>
    <w:rPr>
      <w:rFonts w:eastAsiaTheme="minorEastAsia" w:cs="Times New Roman"/>
      <w:sz w:val="20"/>
      <w:szCs w:val="20"/>
      <w:lang w:val="en-US"/>
    </w:rPr>
    <w:tblPr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ListParagraph"/>
    <w:rsid w:val="00CA4078"/>
    <w:pPr>
      <w:numPr>
        <w:numId w:val="4"/>
      </w:numPr>
      <w:tabs>
        <w:tab w:val="left" w:pos="7230"/>
      </w:tabs>
      <w:spacing w:before="120" w:after="120"/>
      <w:contextualSpacing w:val="0"/>
    </w:pPr>
    <w:rPr>
      <w:rFonts w:cs="Arial"/>
    </w:rPr>
  </w:style>
  <w:style w:type="paragraph" w:customStyle="1" w:styleId="ListNumber1">
    <w:name w:val="List Number 1"/>
    <w:basedOn w:val="Normal"/>
    <w:rsid w:val="00CA4078"/>
    <w:pPr>
      <w:numPr>
        <w:ilvl w:val="1"/>
        <w:numId w:val="1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Normal"/>
    <w:qFormat/>
    <w:rsid w:val="00CA4078"/>
    <w:pPr>
      <w:numPr>
        <w:numId w:val="2"/>
      </w:numPr>
    </w:pPr>
    <w:rPr>
      <w:rFonts w:eastAsia="MS Mincho"/>
      <w:b/>
      <w:sz w:val="22"/>
    </w:rPr>
  </w:style>
  <w:style w:type="paragraph" w:customStyle="1" w:styleId="Bullet3">
    <w:name w:val="Bullet 3"/>
    <w:basedOn w:val="ListParagraph"/>
    <w:qFormat/>
    <w:rsid w:val="00CA4078"/>
    <w:pPr>
      <w:numPr>
        <w:numId w:val="5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Normal"/>
    <w:qFormat/>
    <w:rsid w:val="00CA4078"/>
    <w:pPr>
      <w:ind w:left="567"/>
    </w:pPr>
    <w:rPr>
      <w:rFonts w:cs="Arial"/>
      <w:b/>
    </w:rPr>
  </w:style>
  <w:style w:type="paragraph" w:customStyle="1" w:styleId="TitreTableau">
    <w:name w:val="Titre Tableau"/>
    <w:basedOn w:val="Normal"/>
    <w:qFormat/>
    <w:rsid w:val="00CA4078"/>
    <w:pPr>
      <w:spacing w:before="120"/>
      <w:jc w:val="center"/>
    </w:pPr>
    <w:rPr>
      <w:rFonts w:cs="Arial"/>
      <w:b/>
      <w:bCs/>
      <w:color w:val="FFFFFF" w:themeColor="background1"/>
      <w:lang w:val="en-CA"/>
    </w:rPr>
  </w:style>
  <w:style w:type="paragraph" w:customStyle="1" w:styleId="BulletTableau">
    <w:name w:val="Bullet Tableau"/>
    <w:basedOn w:val="Bullet2"/>
    <w:qFormat/>
    <w:rsid w:val="00CA4078"/>
    <w:pPr>
      <w:keepNext/>
      <w:keepLines/>
      <w:framePr w:hSpace="141" w:wrap="around" w:vAnchor="text" w:hAnchor="margin" w:y="402"/>
      <w:numPr>
        <w:numId w:val="6"/>
      </w:numPr>
      <w:spacing w:beforeLines="60" w:afterLines="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78"/>
    <w:pPr>
      <w:spacing w:after="120" w:line="240" w:lineRule="auto"/>
      <w:jc w:val="both"/>
    </w:pPr>
    <w:rPr>
      <w:rFonts w:ascii="Arial" w:eastAsiaTheme="minorEastAsia" w:hAnsi="Arial" w:cs="Times New Roman"/>
      <w:sz w:val="20"/>
      <w:szCs w:val="20"/>
      <w:lang w:val="en-US"/>
    </w:rPr>
  </w:style>
  <w:style w:type="paragraph" w:styleId="Heading1">
    <w:name w:val="heading 1"/>
    <w:basedOn w:val="H1"/>
    <w:next w:val="Normal"/>
    <w:link w:val="Heading1Char"/>
    <w:uiPriority w:val="9"/>
    <w:rsid w:val="00CA407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4078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078"/>
    <w:pPr>
      <w:keepNext/>
      <w:spacing w:before="240"/>
      <w:jc w:val="left"/>
      <w:outlineLvl w:val="2"/>
    </w:pPr>
    <w:rPr>
      <w:b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4078"/>
    <w:pPr>
      <w:spacing w:after="0" w:line="240" w:lineRule="auto"/>
    </w:pPr>
    <w:rPr>
      <w:rFonts w:ascii="Cambria" w:eastAsiaTheme="minorEastAsia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407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078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4078"/>
    <w:pPr>
      <w:spacing w:after="0" w:line="288" w:lineRule="auto"/>
      <w:jc w:val="lef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A4078"/>
    <w:rPr>
      <w:rFonts w:ascii="Arial" w:eastAsiaTheme="minorEastAsia" w:hAnsi="Arial" w:cs="Times New Roman"/>
      <w:sz w:val="16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A4078"/>
    <w:pPr>
      <w:spacing w:after="0"/>
      <w:jc w:val="left"/>
    </w:pPr>
    <w:rPr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A4078"/>
    <w:rPr>
      <w:rFonts w:ascii="Arial" w:eastAsiaTheme="minorEastAsia" w:hAnsi="Arial" w:cs="Times New Roman"/>
      <w:sz w:val="16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A4078"/>
    <w:rPr>
      <w:rFonts w:ascii="Arial" w:eastAsiaTheme="minorEastAsia" w:hAnsi="Arial" w:cs="Times New Roman"/>
      <w:b/>
      <w:cap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A4078"/>
    <w:rPr>
      <w:rFonts w:ascii="Arial" w:eastAsiaTheme="minorEastAsia" w:hAnsi="Arial" w:cs="Times New Roman"/>
      <w:b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A4078"/>
    <w:pPr>
      <w:spacing w:after="240"/>
      <w:ind w:left="720"/>
      <w:contextualSpacing/>
    </w:pPr>
    <w:rPr>
      <w:rFonts w:eastAsiaTheme="minorHAnsi" w:cstheme="minorBidi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A4078"/>
    <w:rPr>
      <w:rFonts w:ascii="Arial" w:hAnsi="Arial"/>
      <w:sz w:val="20"/>
      <w:lang w:val="en-US"/>
    </w:rPr>
  </w:style>
  <w:style w:type="paragraph" w:customStyle="1" w:styleId="Default">
    <w:name w:val="Default"/>
    <w:rsid w:val="00CA4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40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31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318"/>
    <w:rPr>
      <w:rFonts w:ascii="Arial" w:eastAsiaTheme="minorEastAsia" w:hAnsi="Arial" w:cs="Times New Roman"/>
      <w:sz w:val="20"/>
      <w:szCs w:val="20"/>
      <w:lang w:val="en-US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A4078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CA4078"/>
    <w:rPr>
      <w:rFonts w:ascii="Arial" w:eastAsiaTheme="minorEastAsia" w:hAnsi="Arial" w:cs="Times New Roman"/>
      <w:b/>
      <w:bCs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unhideWhenUsed/>
    <w:rsid w:val="00CA4078"/>
    <w:rPr>
      <w:b/>
    </w:rPr>
  </w:style>
  <w:style w:type="character" w:styleId="Hyperlink">
    <w:name w:val="Hyperlink"/>
    <w:basedOn w:val="DefaultParagraphFont"/>
    <w:uiPriority w:val="99"/>
    <w:unhideWhenUsed/>
    <w:rsid w:val="00CA40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4078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A4078"/>
    <w:pPr>
      <w:spacing w:after="0"/>
    </w:pPr>
    <w:rPr>
      <w:sz w:val="16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4078"/>
    <w:rPr>
      <w:rFonts w:ascii="Arial" w:eastAsiaTheme="minorEastAsia" w:hAnsi="Arial" w:cs="Times New Roman"/>
      <w:sz w:val="16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A4078"/>
    <w:rPr>
      <w:vertAlign w:val="superscript"/>
    </w:rPr>
  </w:style>
  <w:style w:type="paragraph" w:styleId="Revision">
    <w:name w:val="Revision"/>
    <w:hidden/>
    <w:uiPriority w:val="99"/>
    <w:semiHidden/>
    <w:rsid w:val="00CA4078"/>
    <w:pPr>
      <w:spacing w:after="0" w:line="240" w:lineRule="auto"/>
    </w:pPr>
    <w:rPr>
      <w:rFonts w:ascii="Arial" w:eastAsiaTheme="minorEastAsia" w:hAnsi="Arial" w:cs="Arial"/>
      <w:sz w:val="21"/>
      <w:szCs w:val="21"/>
      <w:lang w:val="en-US"/>
    </w:rPr>
  </w:style>
  <w:style w:type="paragraph" w:customStyle="1" w:styleId="BasicParagraph">
    <w:name w:val="[Basic Paragraph]"/>
    <w:basedOn w:val="Normal"/>
    <w:uiPriority w:val="99"/>
    <w:rsid w:val="00CA4078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Normal"/>
    <w:link w:val="H1Char"/>
    <w:qFormat/>
    <w:rsid w:val="00CA4078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Normal"/>
    <w:rsid w:val="00CA4078"/>
    <w:pPr>
      <w:numPr>
        <w:numId w:val="3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Normal"/>
    <w:rsid w:val="00CA4078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Normal"/>
    <w:rsid w:val="00CA4078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Header"/>
    <w:rsid w:val="00CA4078"/>
    <w:rPr>
      <w:b/>
      <w:sz w:val="24"/>
      <w:szCs w:val="24"/>
    </w:rPr>
  </w:style>
  <w:style w:type="character" w:customStyle="1" w:styleId="Pantone485">
    <w:name w:val="Pantone 485"/>
    <w:basedOn w:val="DefaultParagraphFont"/>
    <w:uiPriority w:val="1"/>
    <w:qFormat/>
    <w:rsid w:val="00CA4078"/>
    <w:rPr>
      <w:rFonts w:cs="Caecilia-Light"/>
      <w:color w:val="DC281E"/>
      <w:szCs w:val="16"/>
    </w:rPr>
  </w:style>
  <w:style w:type="character" w:customStyle="1" w:styleId="H1Char">
    <w:name w:val="H1 Char"/>
    <w:basedOn w:val="DefaultParagraphFont"/>
    <w:link w:val="H1"/>
    <w:rsid w:val="00CA4078"/>
    <w:rPr>
      <w:rFonts w:ascii="Arial" w:eastAsiaTheme="minorEastAsia" w:hAnsi="Arial" w:cs="Times New Roman"/>
      <w:b/>
      <w:sz w:val="40"/>
      <w:szCs w:val="52"/>
      <w:lang w:val="en-US"/>
    </w:rPr>
  </w:style>
  <w:style w:type="table" w:customStyle="1" w:styleId="TableGray">
    <w:name w:val="Table Gray"/>
    <w:basedOn w:val="TableNormal"/>
    <w:uiPriority w:val="99"/>
    <w:rsid w:val="00CA4078"/>
    <w:pPr>
      <w:spacing w:after="0" w:line="240" w:lineRule="auto"/>
    </w:pPr>
    <w:rPr>
      <w:rFonts w:eastAsiaTheme="minorEastAsia" w:cs="Times New Roman"/>
      <w:sz w:val="20"/>
      <w:szCs w:val="20"/>
      <w:lang w:val="en-US"/>
    </w:rPr>
    <w:tblPr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ListParagraph"/>
    <w:rsid w:val="00CA4078"/>
    <w:pPr>
      <w:numPr>
        <w:numId w:val="4"/>
      </w:numPr>
      <w:tabs>
        <w:tab w:val="left" w:pos="7230"/>
      </w:tabs>
      <w:spacing w:before="120" w:after="120"/>
      <w:contextualSpacing w:val="0"/>
    </w:pPr>
    <w:rPr>
      <w:rFonts w:cs="Arial"/>
    </w:rPr>
  </w:style>
  <w:style w:type="paragraph" w:customStyle="1" w:styleId="ListNumber1">
    <w:name w:val="List Number 1"/>
    <w:basedOn w:val="Normal"/>
    <w:rsid w:val="00CA4078"/>
    <w:pPr>
      <w:numPr>
        <w:ilvl w:val="1"/>
        <w:numId w:val="1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Normal"/>
    <w:qFormat/>
    <w:rsid w:val="00CA4078"/>
    <w:pPr>
      <w:numPr>
        <w:numId w:val="2"/>
      </w:numPr>
    </w:pPr>
    <w:rPr>
      <w:rFonts w:eastAsia="MS Mincho"/>
      <w:b/>
      <w:sz w:val="22"/>
    </w:rPr>
  </w:style>
  <w:style w:type="paragraph" w:customStyle="1" w:styleId="Bullet3">
    <w:name w:val="Bullet 3"/>
    <w:basedOn w:val="ListParagraph"/>
    <w:qFormat/>
    <w:rsid w:val="00CA4078"/>
    <w:pPr>
      <w:numPr>
        <w:numId w:val="5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Normal"/>
    <w:qFormat/>
    <w:rsid w:val="00CA4078"/>
    <w:pPr>
      <w:ind w:left="567"/>
    </w:pPr>
    <w:rPr>
      <w:rFonts w:cs="Arial"/>
      <w:b/>
    </w:rPr>
  </w:style>
  <w:style w:type="paragraph" w:customStyle="1" w:styleId="TitreTableau">
    <w:name w:val="Titre Tableau"/>
    <w:basedOn w:val="Normal"/>
    <w:qFormat/>
    <w:rsid w:val="00CA4078"/>
    <w:pPr>
      <w:spacing w:before="120"/>
      <w:jc w:val="center"/>
    </w:pPr>
    <w:rPr>
      <w:rFonts w:cs="Arial"/>
      <w:b/>
      <w:bCs/>
      <w:color w:val="FFFFFF" w:themeColor="background1"/>
      <w:lang w:val="en-CA"/>
    </w:rPr>
  </w:style>
  <w:style w:type="paragraph" w:customStyle="1" w:styleId="BulletTableau">
    <w:name w:val="Bullet Tableau"/>
    <w:basedOn w:val="Bullet2"/>
    <w:qFormat/>
    <w:rsid w:val="00CA4078"/>
    <w:pPr>
      <w:keepNext/>
      <w:keepLines/>
      <w:framePr w:hSpace="141" w:wrap="around" w:vAnchor="text" w:hAnchor="margin" w:y="402"/>
      <w:numPr>
        <w:numId w:val="6"/>
      </w:numPr>
      <w:spacing w:beforeLines="60" w:before="60" w:afterLines="20" w:after="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lients\Croix%20Rouge\IC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76D06-FAB4-49C8-95D2-CB70F86F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ICRC_Template.dotx</Template>
  <TotalTime>181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World Food Programme</Company>
  <LinksUpToDate>false</LinksUpToDate>
  <CharactersWithSpaces>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PENNISI Emma</dc:creator>
  <cp:lastModifiedBy>Florence MAROT</cp:lastModifiedBy>
  <cp:revision>29</cp:revision>
  <cp:lastPrinted>2015-12-08T10:09:00Z</cp:lastPrinted>
  <dcterms:created xsi:type="dcterms:W3CDTF">2015-05-27T09:09:00Z</dcterms:created>
  <dcterms:modified xsi:type="dcterms:W3CDTF">2016-04-06T08:47:00Z</dcterms:modified>
</cp:coreProperties>
</file>