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A7" w:rsidRPr="00F342AE" w:rsidRDefault="00F342AE" w:rsidP="00B7131C">
      <w:pPr>
        <w:pStyle w:val="H1"/>
        <w:rPr>
          <w:lang w:val="fr-FR"/>
        </w:rPr>
      </w:pPr>
      <w:bookmarkStart w:id="0" w:name="_Toc322088167"/>
      <w:r w:rsidRPr="00F342AE">
        <w:rPr>
          <w:lang w:val="fr-FR"/>
        </w:rPr>
        <w:t>Sélection des scénarios</w:t>
      </w:r>
    </w:p>
    <w:bookmarkEnd w:id="0"/>
    <w:p w:rsidR="004D4D5D" w:rsidRDefault="00843246" w:rsidP="00843246">
      <w:pPr>
        <w:rPr>
          <w:lang w:val="fr-FR"/>
        </w:rPr>
      </w:pPr>
      <w:r>
        <w:rPr>
          <w:lang w:val="fr-FR"/>
        </w:rPr>
        <w:t>Au moment d’élaborer les</w:t>
      </w:r>
      <w:r w:rsidR="00D424CA">
        <w:rPr>
          <w:lang w:val="fr-FR"/>
        </w:rPr>
        <w:t xml:space="preserve"> scénarios, il peut être judicieux de commencer par </w:t>
      </w:r>
      <w:r>
        <w:rPr>
          <w:lang w:val="fr-FR"/>
        </w:rPr>
        <w:t xml:space="preserve">déterminer quelles situations </w:t>
      </w:r>
      <w:r w:rsidR="00EA31E9">
        <w:rPr>
          <w:lang w:val="fr-FR"/>
        </w:rPr>
        <w:t xml:space="preserve">d’urgence pourraient exiger </w:t>
      </w:r>
      <w:r w:rsidR="00DC1670">
        <w:rPr>
          <w:lang w:val="fr-FR"/>
        </w:rPr>
        <w:t>l’apport</w:t>
      </w:r>
      <w:r w:rsidR="00EA31E9">
        <w:rPr>
          <w:lang w:val="fr-FR"/>
        </w:rPr>
        <w:t xml:space="preserve"> d’une aide humanitaire. Le processus de réflexion doit favoriser la participation de chacun</w:t>
      </w:r>
      <w:r w:rsidR="00466263">
        <w:rPr>
          <w:lang w:val="fr-FR"/>
        </w:rPr>
        <w:t xml:space="preserve"> des membres du groupe</w:t>
      </w:r>
      <w:r w:rsidR="00EA31E9">
        <w:rPr>
          <w:lang w:val="fr-FR"/>
        </w:rPr>
        <w:t>. Le facilitateur de la</w:t>
      </w:r>
      <w:r w:rsidR="00DC1670">
        <w:rPr>
          <w:lang w:val="fr-FR"/>
        </w:rPr>
        <w:t xml:space="preserve"> séance de</w:t>
      </w:r>
      <w:r w:rsidR="00EA31E9">
        <w:rPr>
          <w:lang w:val="fr-FR"/>
        </w:rPr>
        <w:t xml:space="preserve"> réflexion doit poser des questions telles que « Où ? », « Quoi exactement ? », « Quelle serait </w:t>
      </w:r>
      <w:r>
        <w:rPr>
          <w:lang w:val="fr-FR"/>
        </w:rPr>
        <w:t>l’impact</w:t>
      </w:r>
      <w:r w:rsidR="00EA31E9">
        <w:rPr>
          <w:lang w:val="fr-FR"/>
        </w:rPr>
        <w:t xml:space="preserve"> de la situation ? », « Quand </w:t>
      </w:r>
      <w:r>
        <w:rPr>
          <w:lang w:val="fr-FR"/>
        </w:rPr>
        <w:t xml:space="preserve">pourrait-elle survenir </w:t>
      </w:r>
      <w:r w:rsidR="00EA31E9">
        <w:rPr>
          <w:lang w:val="fr-FR"/>
        </w:rPr>
        <w:t xml:space="preserve">et quel est </w:t>
      </w:r>
      <w:r>
        <w:rPr>
          <w:lang w:val="fr-FR"/>
        </w:rPr>
        <w:t>son</w:t>
      </w:r>
      <w:r w:rsidR="00EA31E9">
        <w:rPr>
          <w:lang w:val="fr-FR"/>
        </w:rPr>
        <w:t xml:space="preserve"> degré de probabilité ? », afin d’aider les participants à préciser leurs idées de scénarios.</w:t>
      </w:r>
    </w:p>
    <w:p w:rsidR="00EA31E9" w:rsidRDefault="00EA31E9" w:rsidP="00843246">
      <w:pPr>
        <w:rPr>
          <w:lang w:val="fr-FR"/>
        </w:rPr>
      </w:pPr>
      <w:r>
        <w:rPr>
          <w:lang w:val="fr-FR"/>
        </w:rPr>
        <w:t xml:space="preserve">Après avoir dressé une liste des scénarios d’urgence possibles, le groupe devra sélectionner </w:t>
      </w:r>
      <w:r w:rsidR="00843246">
        <w:rPr>
          <w:lang w:val="fr-FR"/>
        </w:rPr>
        <w:t>ceux</w:t>
      </w:r>
      <w:r>
        <w:rPr>
          <w:lang w:val="fr-FR"/>
        </w:rPr>
        <w:t xml:space="preserve"> qui méritent d’être approfondis. Cette sélection doit se fonder sur </w:t>
      </w:r>
      <w:r w:rsidR="00DC1670">
        <w:rPr>
          <w:lang w:val="fr-FR"/>
        </w:rPr>
        <w:t>la</w:t>
      </w:r>
      <w:r>
        <w:rPr>
          <w:lang w:val="fr-FR"/>
        </w:rPr>
        <w:t xml:space="preserve"> probabilité</w:t>
      </w:r>
      <w:r w:rsidR="00413F6D">
        <w:rPr>
          <w:lang w:val="fr-FR"/>
        </w:rPr>
        <w:t xml:space="preserve"> </w:t>
      </w:r>
      <w:r w:rsidR="00843246">
        <w:rPr>
          <w:lang w:val="fr-FR"/>
        </w:rPr>
        <w:t>que</w:t>
      </w:r>
      <w:r w:rsidR="00DC1670">
        <w:rPr>
          <w:lang w:val="fr-FR"/>
        </w:rPr>
        <w:t xml:space="preserve"> le</w:t>
      </w:r>
      <w:r w:rsidR="00413F6D">
        <w:rPr>
          <w:lang w:val="fr-FR"/>
        </w:rPr>
        <w:t xml:space="preserve"> scénario</w:t>
      </w:r>
      <w:r w:rsidR="00DC1670">
        <w:rPr>
          <w:lang w:val="fr-FR"/>
        </w:rPr>
        <w:t xml:space="preserve"> </w:t>
      </w:r>
      <w:r w:rsidR="00843246">
        <w:rPr>
          <w:lang w:val="fr-FR"/>
        </w:rPr>
        <w:t>se produise</w:t>
      </w:r>
      <w:r w:rsidR="00413F6D">
        <w:rPr>
          <w:lang w:val="fr-FR"/>
        </w:rPr>
        <w:t xml:space="preserve"> et </w:t>
      </w:r>
      <w:r w:rsidR="00843246">
        <w:rPr>
          <w:lang w:val="fr-FR"/>
        </w:rPr>
        <w:t>l’</w:t>
      </w:r>
      <w:r w:rsidR="00413F6D">
        <w:rPr>
          <w:lang w:val="fr-FR"/>
        </w:rPr>
        <w:t xml:space="preserve">impact </w:t>
      </w:r>
      <w:r w:rsidR="00843246">
        <w:rPr>
          <w:lang w:val="fr-FR"/>
        </w:rPr>
        <w:t>qu’il pourrait avoir</w:t>
      </w:r>
      <w:r w:rsidR="00413F6D">
        <w:rPr>
          <w:lang w:val="fr-FR"/>
        </w:rPr>
        <w:t>.</w:t>
      </w:r>
      <w:r w:rsidR="00AB550A">
        <w:rPr>
          <w:lang w:val="fr-FR"/>
        </w:rPr>
        <w:t xml:space="preserve"> </w:t>
      </w:r>
    </w:p>
    <w:p w:rsidR="00413F6D" w:rsidRDefault="00897F68" w:rsidP="00B7131C">
      <w:pPr>
        <w:rPr>
          <w:lang w:val="fr-FR"/>
        </w:rPr>
      </w:pPr>
      <w:r>
        <w:rPr>
          <w:b/>
          <w:lang w:val="fr-FR"/>
        </w:rPr>
        <w:t>Degré de probabilité </w:t>
      </w:r>
      <w:r w:rsidR="00C905A2" w:rsidRPr="00F342AE">
        <w:rPr>
          <w:b/>
          <w:lang w:val="fr-FR"/>
        </w:rPr>
        <w:t>:</w:t>
      </w:r>
      <w:r w:rsidR="00C905A2" w:rsidRPr="00F342AE">
        <w:rPr>
          <w:lang w:val="fr-FR"/>
        </w:rPr>
        <w:t xml:space="preserve"> </w:t>
      </w:r>
      <w:r w:rsidR="00413F6D">
        <w:rPr>
          <w:lang w:val="fr-FR"/>
        </w:rPr>
        <w:t>les situations d’urgence dont la survenue devient plus probable ou dont les planificateurs estiment que la survenue est probable doivent faire l’objet d’une planification.</w:t>
      </w:r>
    </w:p>
    <w:p w:rsidR="006B6CBE" w:rsidRPr="00F342AE" w:rsidRDefault="00F342AE" w:rsidP="00272433">
      <w:pPr>
        <w:spacing w:before="240"/>
        <w:rPr>
          <w:b/>
          <w:lang w:val="fr-FR"/>
        </w:rPr>
      </w:pPr>
      <w:r>
        <w:rPr>
          <w:b/>
          <w:lang w:val="fr-FR"/>
        </w:rPr>
        <w:t>Classement selon le degré de probabilité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60"/>
        <w:gridCol w:w="1826"/>
        <w:gridCol w:w="1826"/>
        <w:gridCol w:w="1993"/>
        <w:gridCol w:w="2543"/>
      </w:tblGrid>
      <w:tr w:rsidR="004C6090" w:rsidRPr="00F342AE" w:rsidTr="004F4460">
        <w:tc>
          <w:tcPr>
            <w:tcW w:w="843" w:type="pct"/>
            <w:tcBorders>
              <w:bottom w:val="single" w:sz="6" w:space="0" w:color="auto"/>
            </w:tcBorders>
            <w:shd w:val="clear" w:color="auto" w:fill="DC281E"/>
          </w:tcPr>
          <w:p w:rsidR="006B6CBE" w:rsidRPr="00F342AE" w:rsidRDefault="00F342AE" w:rsidP="00272433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  <w:t>Très peu probable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DC281E"/>
          </w:tcPr>
          <w:p w:rsidR="006B6CBE" w:rsidRPr="00F342AE" w:rsidRDefault="00F342AE" w:rsidP="00272433">
            <w:pPr>
              <w:spacing w:before="120"/>
              <w:ind w:right="-108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  <w:t>Peu probable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DC281E"/>
          </w:tcPr>
          <w:p w:rsidR="006B6CBE" w:rsidRPr="00F342AE" w:rsidRDefault="00272433" w:rsidP="00272433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</w:pPr>
            <w:r w:rsidRPr="00F342AE"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  <w:t>Possible</w:t>
            </w:r>
          </w:p>
        </w:tc>
        <w:tc>
          <w:tcPr>
            <w:tcW w:w="1012" w:type="pct"/>
            <w:tcBorders>
              <w:bottom w:val="single" w:sz="6" w:space="0" w:color="auto"/>
            </w:tcBorders>
            <w:shd w:val="clear" w:color="auto" w:fill="DC281E"/>
          </w:tcPr>
          <w:p w:rsidR="006B6CBE" w:rsidRPr="00F342AE" w:rsidRDefault="00F342AE" w:rsidP="00272433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  <w:t>Probable</w:t>
            </w:r>
          </w:p>
        </w:tc>
        <w:tc>
          <w:tcPr>
            <w:tcW w:w="1291" w:type="pct"/>
            <w:tcBorders>
              <w:bottom w:val="single" w:sz="6" w:space="0" w:color="auto"/>
            </w:tcBorders>
            <w:shd w:val="clear" w:color="auto" w:fill="DC281E"/>
          </w:tcPr>
          <w:p w:rsidR="006B6CBE" w:rsidRPr="00F342AE" w:rsidRDefault="00272433" w:rsidP="00272433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</w:pPr>
            <w:r w:rsidRPr="00F342AE"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  <w:t>Imminent</w:t>
            </w:r>
          </w:p>
        </w:tc>
      </w:tr>
      <w:tr w:rsidR="006B6CBE" w:rsidRPr="001145EA" w:rsidTr="004F4460">
        <w:tc>
          <w:tcPr>
            <w:tcW w:w="843" w:type="pct"/>
            <w:shd w:val="clear" w:color="auto" w:fill="A6A6A6"/>
          </w:tcPr>
          <w:p w:rsidR="006B6CBE" w:rsidRPr="00F342AE" w:rsidRDefault="003008B1" w:rsidP="009E76F7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Événement très rare qui n’est pas susceptible de se produire plus d’une fois </w:t>
            </w:r>
            <w:r w:rsidR="009E76F7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tous les </w:t>
            </w:r>
            <w:r w:rsidR="00897F68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500 ans (par 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ex.</w:t>
            </w:r>
            <w:r w:rsidR="009E76F7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une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pluie de météorites ou</w:t>
            </w:r>
            <w:r w:rsidR="009E76F7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un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tsunami </w:t>
            </w:r>
            <w:r w:rsidR="009E76F7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dévastateur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dans certaines régions)</w:t>
            </w:r>
          </w:p>
        </w:tc>
        <w:tc>
          <w:tcPr>
            <w:tcW w:w="927" w:type="pct"/>
            <w:shd w:val="clear" w:color="auto" w:fill="E6E6E6"/>
          </w:tcPr>
          <w:p w:rsidR="006B6CBE" w:rsidRPr="00F342AE" w:rsidRDefault="009E76F7" w:rsidP="009E76F7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Événement rare qui n’est pas susceptible de se produire plus d’une fois tous les </w:t>
            </w:r>
            <w:r w:rsidR="00897F68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100 ans (par 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ex. un séisme dévastateur dans certaines régions)</w:t>
            </w:r>
          </w:p>
        </w:tc>
        <w:tc>
          <w:tcPr>
            <w:tcW w:w="927" w:type="pct"/>
            <w:shd w:val="clear" w:color="auto" w:fill="F3F3F3"/>
          </w:tcPr>
          <w:p w:rsidR="006B6CBE" w:rsidRPr="00F342AE" w:rsidRDefault="009E76F7" w:rsidP="009E76F7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Événement occasionnel susceptible de se produire</w:t>
            </w:r>
            <w:r w:rsidR="00897F68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une fois tous les vingt ans (par 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ex. un cyclone dévastateur)</w:t>
            </w:r>
          </w:p>
        </w:tc>
        <w:tc>
          <w:tcPr>
            <w:tcW w:w="1012" w:type="pct"/>
            <w:shd w:val="clear" w:color="auto" w:fill="F3F3F3"/>
          </w:tcPr>
          <w:p w:rsidR="006B6CBE" w:rsidRPr="00F342AE" w:rsidRDefault="009E76F7" w:rsidP="00897F68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Événement fréquent susceptible de se produire au moi</w:t>
            </w:r>
            <w:r w:rsidR="00897F68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ns une fois tous les dix ans (par 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ex. un cyclone, des inondations)</w:t>
            </w:r>
          </w:p>
        </w:tc>
        <w:tc>
          <w:tcPr>
            <w:tcW w:w="1291" w:type="pct"/>
            <w:shd w:val="clear" w:color="auto" w:fill="F3F3F3"/>
          </w:tcPr>
          <w:p w:rsidR="006B6CBE" w:rsidRPr="00F342AE" w:rsidRDefault="00BF2A8A" w:rsidP="00897F68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Événement</w:t>
            </w:r>
            <w:r w:rsidR="00D53C9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annoncé ou susceptible de se produire </w:t>
            </w:r>
            <w:r w:rsidR="006E7E9F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sur</w:t>
            </w:r>
            <w:r w:rsidR="00D53C9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une période</w:t>
            </w:r>
            <w:r w:rsidR="00466263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allant</w:t>
            </w:r>
            <w:r w:rsidR="00897F68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de un à cinq ans (par </w:t>
            </w:r>
            <w:r w:rsidR="00D53C9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ex. la rupture de digues), dans les mois à venir (</w:t>
            </w:r>
            <w:r w:rsidR="00466263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un</w:t>
            </w:r>
            <w:r w:rsidR="00D53C9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</w:t>
            </w:r>
            <w:r w:rsidR="00466263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glissement</w:t>
            </w:r>
            <w:r w:rsidR="00D53C9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de terrain, une éruption volcanique</w:t>
            </w:r>
            <w:r w:rsidR="006E7E9F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)</w:t>
            </w:r>
            <w:r w:rsidR="00D53C9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, voire dans les jours à venir (un cyclone </w:t>
            </w:r>
            <w:r w:rsidR="006E7E9F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faisant l’objet d’un système de suivi et d’alerte)</w:t>
            </w:r>
          </w:p>
        </w:tc>
      </w:tr>
    </w:tbl>
    <w:p w:rsidR="002838BF" w:rsidRDefault="008D73AB" w:rsidP="00112CA1">
      <w:pPr>
        <w:spacing w:before="240"/>
        <w:rPr>
          <w:lang w:val="fr-FR"/>
        </w:rPr>
      </w:pPr>
      <w:r w:rsidRPr="00F342AE">
        <w:rPr>
          <w:b/>
          <w:lang w:val="fr-FR"/>
        </w:rPr>
        <w:t>Impact</w:t>
      </w:r>
      <w:r w:rsidR="00897F68">
        <w:rPr>
          <w:b/>
          <w:lang w:val="fr-FR"/>
        </w:rPr>
        <w:t> </w:t>
      </w:r>
      <w:r w:rsidRPr="00F342AE">
        <w:rPr>
          <w:b/>
          <w:lang w:val="fr-FR"/>
        </w:rPr>
        <w:t>:</w:t>
      </w:r>
      <w:r w:rsidRPr="00F342AE">
        <w:rPr>
          <w:lang w:val="fr-FR"/>
        </w:rPr>
        <w:t xml:space="preserve"> </w:t>
      </w:r>
      <w:r w:rsidR="002838BF">
        <w:rPr>
          <w:lang w:val="fr-FR"/>
        </w:rPr>
        <w:t xml:space="preserve">les situations d’urgence qui pourraient avoir des conséquences humanitaires importantes et </w:t>
      </w:r>
      <w:r w:rsidR="008A48CD">
        <w:rPr>
          <w:lang w:val="fr-FR"/>
        </w:rPr>
        <w:t>qui sont considérées comme suffisamment probables doivent faire l’objet d’une planification.</w:t>
      </w:r>
    </w:p>
    <w:p w:rsidR="006B6CBE" w:rsidRPr="00F342AE" w:rsidRDefault="00F342AE" w:rsidP="00272433">
      <w:pPr>
        <w:spacing w:before="240"/>
        <w:rPr>
          <w:b/>
          <w:lang w:val="fr-FR"/>
        </w:rPr>
      </w:pPr>
      <w:r>
        <w:rPr>
          <w:b/>
          <w:lang w:val="fr-FR"/>
        </w:rPr>
        <w:t>Classement selon l’impact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60"/>
        <w:gridCol w:w="1826"/>
        <w:gridCol w:w="1826"/>
        <w:gridCol w:w="2167"/>
        <w:gridCol w:w="2369"/>
      </w:tblGrid>
      <w:tr w:rsidR="009A0AE8" w:rsidRPr="00F342AE" w:rsidTr="00815083">
        <w:trPr>
          <w:tblHeader/>
        </w:trPr>
        <w:tc>
          <w:tcPr>
            <w:tcW w:w="843" w:type="pct"/>
            <w:tcBorders>
              <w:bottom w:val="single" w:sz="6" w:space="0" w:color="auto"/>
            </w:tcBorders>
            <w:shd w:val="clear" w:color="auto" w:fill="DC281E"/>
          </w:tcPr>
          <w:p w:rsidR="006B6CBE" w:rsidRPr="00F342AE" w:rsidRDefault="00272433" w:rsidP="00272433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</w:pPr>
            <w:r w:rsidRPr="00F342AE"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  <w:t>Min</w:t>
            </w:r>
            <w:r w:rsidR="00F342AE"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  <w:t>eur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DC281E"/>
          </w:tcPr>
          <w:p w:rsidR="006B6CBE" w:rsidRPr="00F342AE" w:rsidRDefault="00272433" w:rsidP="00272433">
            <w:pPr>
              <w:spacing w:before="120"/>
              <w:ind w:right="-108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</w:pPr>
            <w:r w:rsidRPr="00F342AE"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  <w:t>Mod</w:t>
            </w:r>
            <w:r w:rsidR="00F342AE"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  <w:t>éré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DC281E"/>
          </w:tcPr>
          <w:p w:rsidR="006B6CBE" w:rsidRPr="00F342AE" w:rsidRDefault="00F342AE" w:rsidP="00272433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  <w:t>Grave</w:t>
            </w:r>
          </w:p>
        </w:tc>
        <w:tc>
          <w:tcPr>
            <w:tcW w:w="1100" w:type="pct"/>
            <w:tcBorders>
              <w:bottom w:val="single" w:sz="6" w:space="0" w:color="auto"/>
            </w:tcBorders>
            <w:shd w:val="clear" w:color="auto" w:fill="DC281E"/>
          </w:tcPr>
          <w:p w:rsidR="006B6CBE" w:rsidRPr="00F342AE" w:rsidRDefault="00897F68" w:rsidP="00272433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  <w:t>Majeur</w:t>
            </w:r>
          </w:p>
        </w:tc>
        <w:tc>
          <w:tcPr>
            <w:tcW w:w="1203" w:type="pct"/>
            <w:tcBorders>
              <w:bottom w:val="single" w:sz="6" w:space="0" w:color="auto"/>
            </w:tcBorders>
            <w:shd w:val="clear" w:color="auto" w:fill="DC281E"/>
          </w:tcPr>
          <w:p w:rsidR="006B6CBE" w:rsidRPr="00F342AE" w:rsidRDefault="00897F68" w:rsidP="00272433">
            <w:pPr>
              <w:spacing w:before="120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fr-FR"/>
              </w:rPr>
              <w:t>Dévastateur</w:t>
            </w:r>
          </w:p>
        </w:tc>
      </w:tr>
      <w:tr w:rsidR="009A0AE8" w:rsidRPr="001145EA" w:rsidTr="00815083">
        <w:tc>
          <w:tcPr>
            <w:tcW w:w="843" w:type="pct"/>
            <w:shd w:val="clear" w:color="auto" w:fill="A6A6A6"/>
          </w:tcPr>
          <w:p w:rsidR="006E7E9F" w:rsidRDefault="006E7E9F" w:rsidP="00272433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Aucun mort</w:t>
            </w:r>
            <w:r w:rsidR="009A0AE8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.</w:t>
            </w:r>
          </w:p>
          <w:p w:rsidR="009A0AE8" w:rsidRDefault="001145EA" w:rsidP="001145EA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I</w:t>
            </w:r>
            <w:r w:rsidR="006E7E9F">
              <w:rPr>
                <w:i/>
                <w:lang w:val="fr-FR"/>
              </w:rPr>
              <w:t xml:space="preserve">nfrastructures </w:t>
            </w:r>
            <w:r>
              <w:rPr>
                <w:i/>
                <w:lang w:val="fr-FR"/>
              </w:rPr>
              <w:t>peu</w:t>
            </w:r>
            <w:r w:rsidR="009A0AE8">
              <w:rPr>
                <w:i/>
                <w:lang w:val="fr-FR"/>
              </w:rPr>
              <w:t xml:space="preserve"> en</w:t>
            </w:r>
            <w:bookmarkStart w:id="1" w:name="_GoBack"/>
            <w:bookmarkEnd w:id="1"/>
            <w:r w:rsidR="009A0AE8">
              <w:rPr>
                <w:i/>
                <w:lang w:val="fr-FR"/>
              </w:rPr>
              <w:t>dommagées.</w:t>
            </w:r>
          </w:p>
          <w:p w:rsidR="006B6CBE" w:rsidRPr="009A0AE8" w:rsidRDefault="009A0AE8" w:rsidP="009A0AE8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Le commerce et les activités normales sont seulement légèrement perturbés.</w:t>
            </w:r>
          </w:p>
        </w:tc>
        <w:tc>
          <w:tcPr>
            <w:tcW w:w="927" w:type="pct"/>
            <w:shd w:val="clear" w:color="auto" w:fill="E6E6E6"/>
          </w:tcPr>
          <w:p w:rsidR="009A0AE8" w:rsidRDefault="009A0AE8" w:rsidP="00897F68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Quelques morts.</w:t>
            </w:r>
            <w:r w:rsidR="004146D3" w:rsidRPr="00F342AE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br/>
            </w:r>
            <w:r w:rsidR="006B6CBE" w:rsidRPr="00F342AE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Infrastructure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s légèrement endommagées, ce qui se traduit par </w:t>
            </w:r>
            <w:r w:rsidR="00897F68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un blocage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</w:t>
            </w:r>
            <w:r w:rsidR="00897F68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des 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services de base pendant moins d’une semaine.</w:t>
            </w:r>
          </w:p>
          <w:p w:rsidR="006B6CBE" w:rsidRPr="009A0AE8" w:rsidRDefault="009A0AE8" w:rsidP="009A0AE8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Les activités normales sont perturbées pendant moins d’une semaine.</w:t>
            </w:r>
          </w:p>
        </w:tc>
        <w:tc>
          <w:tcPr>
            <w:tcW w:w="927" w:type="pct"/>
            <w:shd w:val="clear" w:color="auto" w:fill="F3F3F3"/>
          </w:tcPr>
          <w:p w:rsidR="009A0AE8" w:rsidRDefault="009A0AE8" w:rsidP="00B46A56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Plusieurs morts.</w:t>
            </w:r>
            <w:r w:rsidR="004146D3" w:rsidRPr="00F342AE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br/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Infrastructures endommagées </w:t>
            </w:r>
            <w:r w:rsidR="00B46A56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dont la réparation 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nécess</w:t>
            </w:r>
            <w:r w:rsidR="00B46A56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ite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une aide importante.</w:t>
            </w:r>
          </w:p>
          <w:p w:rsidR="006B6CBE" w:rsidRPr="009A0AE8" w:rsidRDefault="00B46A56" w:rsidP="00DC1670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Blocage</w:t>
            </w:r>
            <w:r w:rsidR="00DC1670">
              <w:rPr>
                <w:i/>
                <w:lang w:val="fr-FR"/>
              </w:rPr>
              <w:t xml:space="preserve"> de certain</w:t>
            </w:r>
            <w:r w:rsidR="009A0AE8">
              <w:rPr>
                <w:i/>
                <w:lang w:val="fr-FR"/>
              </w:rPr>
              <w:t>s services pouvant durer jusqu’à un mois.</w:t>
            </w:r>
          </w:p>
        </w:tc>
        <w:tc>
          <w:tcPr>
            <w:tcW w:w="1100" w:type="pct"/>
            <w:shd w:val="clear" w:color="auto" w:fill="F3F3F3"/>
          </w:tcPr>
          <w:p w:rsidR="009A0AE8" w:rsidRDefault="009A0AE8" w:rsidP="00272433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Centaines de morts.</w:t>
            </w:r>
          </w:p>
          <w:p w:rsidR="009A0AE8" w:rsidRDefault="009A0AE8" w:rsidP="009A0AE8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Infrastructures et logements gravement endommagés.</w:t>
            </w:r>
          </w:p>
          <w:p w:rsidR="009A0AE8" w:rsidRDefault="009A0AE8" w:rsidP="00B46A56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Perturbation majeur</w:t>
            </w:r>
            <w:r w:rsidR="00DC1670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e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des services de base pouvant durer jusqu’à six mois. </w:t>
            </w:r>
          </w:p>
          <w:p w:rsidR="006B6CBE" w:rsidRPr="00F342AE" w:rsidRDefault="00DC1670" w:rsidP="00DC1670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Activité</w:t>
            </w:r>
            <w:r w:rsidR="00466263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s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des e</w:t>
            </w:r>
            <w:r w:rsidR="005C5BC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ntreprises, 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du </w:t>
            </w:r>
            <w:r w:rsidR="005C5BC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gouvernement et 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de la communauté</w:t>
            </w:r>
            <w:r w:rsidR="005C5BC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gravement perturbé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e</w:t>
            </w:r>
            <w:r w:rsidR="005C5BC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s et provoquant d’importants mouvements de population.</w:t>
            </w:r>
          </w:p>
        </w:tc>
        <w:tc>
          <w:tcPr>
            <w:tcW w:w="1203" w:type="pct"/>
            <w:shd w:val="clear" w:color="auto" w:fill="F3F3F3"/>
          </w:tcPr>
          <w:p w:rsidR="005C5BCD" w:rsidRDefault="009A0AE8" w:rsidP="00272433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Milliers de morts</w:t>
            </w:r>
            <w:r w:rsidR="005C5BC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.</w:t>
            </w:r>
          </w:p>
          <w:p w:rsidR="006B6CBE" w:rsidRPr="00F342AE" w:rsidRDefault="00815083" w:rsidP="00815083">
            <w:pPr>
              <w:pStyle w:val="Heading7"/>
              <w:keepNext w:val="0"/>
              <w:spacing w:before="60" w:after="2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L</w:t>
            </w:r>
            <w:r w:rsidR="00DC1670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ogements et infrastructures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largement détruits</w:t>
            </w:r>
            <w:r w:rsidR="00DC1670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, et impact considérable sur l</w:t>
            </w:r>
            <w:r w:rsidR="005C5BC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es </w:t>
            </w:r>
            <w:r w:rsidR="00DC1670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services et l</w:t>
            </w:r>
            <w:r w:rsidR="005C5BC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es systèmes publics et privés.</w:t>
            </w:r>
            <w:r w:rsidR="0019704E" w:rsidRPr="00F342AE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br/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Blocage</w:t>
            </w:r>
            <w:r w:rsidR="005C5BC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ou perturbation des services de base pouvant durer plus d’une année, entraînant des mouvements massifs de population, voire l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>a désertion</w:t>
            </w:r>
            <w:r w:rsidR="005C5BCD"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lang w:val="fr-FR"/>
              </w:rPr>
              <w:t xml:space="preserve"> des régions touchées. </w:t>
            </w:r>
          </w:p>
        </w:tc>
      </w:tr>
    </w:tbl>
    <w:p w:rsidR="006C35A5" w:rsidRPr="00F342AE" w:rsidRDefault="006C35A5" w:rsidP="00112CA1">
      <w:pPr>
        <w:rPr>
          <w:lang w:val="fr-FR"/>
        </w:rPr>
      </w:pPr>
    </w:p>
    <w:p w:rsidR="008A48CD" w:rsidRDefault="008A48CD" w:rsidP="004D623A">
      <w:pPr>
        <w:rPr>
          <w:lang w:val="fr-FR"/>
        </w:rPr>
      </w:pPr>
      <w:r>
        <w:rPr>
          <w:lang w:val="fr-FR"/>
        </w:rPr>
        <w:t xml:space="preserve">La matrice d’analyse des scénarios ci-dessous peut vous aider à sélectionner les scénarios devant être </w:t>
      </w:r>
      <w:r w:rsidR="004D623A">
        <w:rPr>
          <w:lang w:val="fr-FR"/>
        </w:rPr>
        <w:t>approfondis</w:t>
      </w:r>
      <w:r>
        <w:rPr>
          <w:lang w:val="fr-FR"/>
        </w:rPr>
        <w:t>, sur la base de leur probabilité et de leur impact. La matrice consiste en une simple grille per</w:t>
      </w:r>
      <w:r w:rsidR="00CA5260">
        <w:rPr>
          <w:lang w:val="fr-FR"/>
        </w:rPr>
        <w:t xml:space="preserve">mettant de </w:t>
      </w:r>
      <w:r w:rsidR="004D623A">
        <w:rPr>
          <w:lang w:val="fr-FR"/>
        </w:rPr>
        <w:t>classer les</w:t>
      </w:r>
      <w:r>
        <w:rPr>
          <w:lang w:val="fr-FR"/>
        </w:rPr>
        <w:t xml:space="preserve"> différents scénarios d’urgence possibles</w:t>
      </w:r>
      <w:r w:rsidR="004D623A">
        <w:rPr>
          <w:lang w:val="fr-FR"/>
        </w:rPr>
        <w:t xml:space="preserve"> selon leur probabilité (</w:t>
      </w:r>
      <w:r w:rsidR="00DC1670">
        <w:rPr>
          <w:lang w:val="fr-FR"/>
        </w:rPr>
        <w:t>axe horizontal</w:t>
      </w:r>
      <w:r w:rsidR="004D623A">
        <w:rPr>
          <w:lang w:val="fr-FR"/>
        </w:rPr>
        <w:t>)</w:t>
      </w:r>
      <w:r>
        <w:rPr>
          <w:lang w:val="fr-FR"/>
        </w:rPr>
        <w:t xml:space="preserve"> </w:t>
      </w:r>
      <w:r w:rsidR="004D623A">
        <w:rPr>
          <w:lang w:val="fr-FR"/>
        </w:rPr>
        <w:t>et leur impact potentiel (</w:t>
      </w:r>
      <w:r w:rsidR="00DC1670">
        <w:rPr>
          <w:lang w:val="fr-FR"/>
        </w:rPr>
        <w:t>axe vertical</w:t>
      </w:r>
      <w:r w:rsidR="004D623A">
        <w:rPr>
          <w:lang w:val="fr-FR"/>
        </w:rPr>
        <w:t>).</w:t>
      </w:r>
      <w:r>
        <w:rPr>
          <w:lang w:val="fr-FR"/>
        </w:rPr>
        <w:t xml:space="preserve"> </w:t>
      </w:r>
      <w:r w:rsidR="00CA5260">
        <w:rPr>
          <w:lang w:val="fr-FR"/>
        </w:rPr>
        <w:t xml:space="preserve">Les scénarios les plus probables et </w:t>
      </w:r>
      <w:r w:rsidR="004D623A">
        <w:rPr>
          <w:lang w:val="fr-FR"/>
        </w:rPr>
        <w:t>dont l</w:t>
      </w:r>
      <w:r w:rsidR="00CA5260">
        <w:rPr>
          <w:lang w:val="fr-FR"/>
        </w:rPr>
        <w:t>’impact</w:t>
      </w:r>
      <w:r w:rsidR="004D623A">
        <w:rPr>
          <w:lang w:val="fr-FR"/>
        </w:rPr>
        <w:t xml:space="preserve"> potentiel est le plus important sont</w:t>
      </w:r>
      <w:r w:rsidR="00CA5260">
        <w:rPr>
          <w:lang w:val="fr-FR"/>
        </w:rPr>
        <w:t>, par définition, ceux qui présentent les risques les plus élevés</w:t>
      </w:r>
      <w:r w:rsidR="004D623A">
        <w:rPr>
          <w:lang w:val="fr-FR"/>
        </w:rPr>
        <w:t xml:space="preserve"> et qui </w:t>
      </w:r>
      <w:r w:rsidR="00CA5260">
        <w:rPr>
          <w:lang w:val="fr-FR"/>
        </w:rPr>
        <w:t xml:space="preserve">doivent donc faire l’objet d’une planification. Après avoir </w:t>
      </w:r>
      <w:r w:rsidR="004D623A">
        <w:rPr>
          <w:lang w:val="fr-FR"/>
        </w:rPr>
        <w:t>envisagé</w:t>
      </w:r>
      <w:r w:rsidR="00CA5260">
        <w:rPr>
          <w:lang w:val="fr-FR"/>
        </w:rPr>
        <w:t xml:space="preserve"> tous les scénarios possibles, vous devez les classer et sélectionner ceux qui présentent les risques les plus élevés. </w:t>
      </w:r>
    </w:p>
    <w:p w:rsidR="00435EA7" w:rsidRDefault="00CA5260" w:rsidP="00435EA7">
      <w:pPr>
        <w:rPr>
          <w:lang w:val="fr-FR"/>
        </w:rPr>
      </w:pPr>
      <w:r>
        <w:rPr>
          <w:lang w:val="fr-FR"/>
        </w:rPr>
        <w:t xml:space="preserve">Les résultats de la matrice restent subjectifs ; il est donc préférable </w:t>
      </w:r>
      <w:r w:rsidR="00DC1670">
        <w:rPr>
          <w:lang w:val="fr-FR"/>
        </w:rPr>
        <w:t>d’effectuer cet exercice en</w:t>
      </w:r>
      <w:r>
        <w:rPr>
          <w:lang w:val="fr-FR"/>
        </w:rPr>
        <w:t xml:space="preserve"> groupe, afin de réunir différents points de vue et de parvenir à un consensus.</w:t>
      </w:r>
    </w:p>
    <w:p w:rsidR="00CA5260" w:rsidRPr="00CA5260" w:rsidRDefault="00CA5260" w:rsidP="00435EA7">
      <w:pPr>
        <w:rPr>
          <w:lang w:val="fr-FR"/>
        </w:rPr>
      </w:pPr>
    </w:p>
    <w:p w:rsidR="00435EA7" w:rsidRPr="00F342AE" w:rsidRDefault="00F342AE" w:rsidP="00435EA7">
      <w:pPr>
        <w:jc w:val="center"/>
        <w:rPr>
          <w:rFonts w:asciiTheme="majorHAnsi" w:hAnsiTheme="majorHAnsi" w:cs="Calibri"/>
          <w:b/>
          <w:sz w:val="22"/>
          <w:szCs w:val="22"/>
          <w:lang w:val="fr-FR"/>
        </w:rPr>
      </w:pPr>
      <w:r>
        <w:rPr>
          <w:rFonts w:asciiTheme="majorHAnsi" w:hAnsiTheme="majorHAnsi" w:cs="Calibri"/>
          <w:b/>
          <w:sz w:val="22"/>
          <w:szCs w:val="22"/>
          <w:lang w:val="fr-FR"/>
        </w:rPr>
        <w:t>MATRICE D’ANALYSE DES SCÉNARIOS</w:t>
      </w:r>
    </w:p>
    <w:p w:rsidR="00302F80" w:rsidRPr="00F342AE" w:rsidRDefault="00302F80" w:rsidP="00435EA7">
      <w:pPr>
        <w:jc w:val="center"/>
        <w:rPr>
          <w:rFonts w:asciiTheme="majorHAnsi" w:hAnsiTheme="majorHAnsi" w:cs="Calibri"/>
          <w:b/>
          <w:sz w:val="22"/>
          <w:szCs w:val="22"/>
          <w:lang w:val="fr-FR"/>
        </w:rPr>
      </w:pPr>
    </w:p>
    <w:tbl>
      <w:tblPr>
        <w:tblW w:w="7401" w:type="dxa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586"/>
        <w:gridCol w:w="1276"/>
        <w:gridCol w:w="1276"/>
        <w:gridCol w:w="1275"/>
        <w:gridCol w:w="1276"/>
        <w:gridCol w:w="1276"/>
      </w:tblGrid>
      <w:tr w:rsidR="00A66461" w:rsidRPr="00F342AE" w:rsidTr="00D86761">
        <w:trPr>
          <w:cantSplit/>
          <w:trHeight w:val="1269"/>
          <w:jc w:val="center"/>
        </w:trPr>
        <w:tc>
          <w:tcPr>
            <w:tcW w:w="4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A66461" w:rsidRPr="00F342AE" w:rsidRDefault="00A66461" w:rsidP="004D623A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 w:rsidRPr="00F342AE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IMPACT</w:t>
            </w:r>
            <w:r w:rsidR="00CA5260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 xml:space="preserve"> P</w:t>
            </w:r>
            <w:r w:rsidR="004D623A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OTENTIEL</w:t>
            </w:r>
            <w:r w:rsidR="00DE22CA" w:rsidRPr="00F342AE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 xml:space="preserve"> (</w:t>
            </w:r>
            <w:r w:rsidR="00DC1670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DU SCÉ</w:t>
            </w:r>
            <w:r w:rsidR="00DE22CA" w:rsidRPr="00F342AE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NARIO)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textDirection w:val="btLr"/>
          </w:tcPr>
          <w:p w:rsidR="00A66461" w:rsidRPr="00F342AE" w:rsidRDefault="004D623A" w:rsidP="004D623A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DÉVASTA-TEUR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A66461" w:rsidRPr="00466263" w:rsidRDefault="00D86761" w:rsidP="00A66461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 w:rsidRPr="00466263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RISQUES TRÈS ÉLEVÉS</w:t>
            </w:r>
          </w:p>
        </w:tc>
      </w:tr>
      <w:tr w:rsidR="00A66461" w:rsidRPr="00F342AE" w:rsidTr="00D86761">
        <w:trPr>
          <w:cantSplit/>
          <w:trHeight w:val="1134"/>
          <w:jc w:val="center"/>
        </w:trPr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A66461" w:rsidRPr="00F342AE" w:rsidRDefault="00A66461" w:rsidP="00FA32BB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textDirection w:val="btLr"/>
          </w:tcPr>
          <w:p w:rsidR="00A66461" w:rsidRPr="00F342AE" w:rsidRDefault="00A66461" w:rsidP="004D623A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 w:rsidRPr="00F342AE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C</w:t>
            </w:r>
            <w:r w:rsidR="004D623A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AJEUR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66461" w:rsidRPr="00F342AE" w:rsidRDefault="00D86761" w:rsidP="00A66461">
            <w:pPr>
              <w:jc w:val="center"/>
              <w:rPr>
                <w:rFonts w:asciiTheme="majorHAnsi" w:hAnsiTheme="majorHAnsi" w:cs="Calibri"/>
                <w:b/>
                <w:color w:val="FFFFFF" w:themeColor="background1"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Calibri"/>
                <w:b/>
                <w:color w:val="FFFFFF" w:themeColor="background1"/>
                <w:sz w:val="18"/>
                <w:szCs w:val="18"/>
                <w:lang w:val="fr-FR"/>
              </w:rPr>
              <w:t>RISQUES ÉLEVÉS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</w:tr>
      <w:tr w:rsidR="00A66461" w:rsidRPr="00F342AE" w:rsidTr="00D86761">
        <w:trPr>
          <w:cantSplit/>
          <w:trHeight w:val="1134"/>
          <w:jc w:val="center"/>
        </w:trPr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A66461" w:rsidRPr="00F342AE" w:rsidRDefault="00A66461" w:rsidP="00FA32BB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textDirection w:val="btLr"/>
          </w:tcPr>
          <w:p w:rsidR="00A66461" w:rsidRPr="00F342AE" w:rsidRDefault="00CA5260" w:rsidP="00FA32BB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GRAVE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6461" w:rsidRPr="00F342AE" w:rsidRDefault="00D86761" w:rsidP="00A66461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 xml:space="preserve">RISQUES MODÉRÉS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</w:tr>
      <w:tr w:rsidR="00A66461" w:rsidRPr="00F342AE" w:rsidTr="00D86761">
        <w:trPr>
          <w:cantSplit/>
          <w:trHeight w:val="1134"/>
          <w:jc w:val="center"/>
        </w:trPr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A66461" w:rsidRPr="00F342AE" w:rsidRDefault="00A66461" w:rsidP="00FA32BB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textDirection w:val="btLr"/>
          </w:tcPr>
          <w:p w:rsidR="00A66461" w:rsidRPr="00F342AE" w:rsidRDefault="00A66461" w:rsidP="00FA32BB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 w:rsidRPr="00F342AE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MOD</w:t>
            </w:r>
            <w:r w:rsidR="00CA5260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ÉRÉ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461" w:rsidRPr="00F342AE" w:rsidRDefault="00DC1670" w:rsidP="00DC1670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 xml:space="preserve">FAIBLES </w:t>
            </w:r>
            <w:r w:rsidR="00D86761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RISQUES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</w:tr>
      <w:tr w:rsidR="00A66461" w:rsidRPr="00F342AE" w:rsidTr="00D86761">
        <w:trPr>
          <w:cantSplit/>
          <w:trHeight w:val="1134"/>
          <w:jc w:val="center"/>
        </w:trPr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66461" w:rsidRPr="00F342AE" w:rsidRDefault="00A66461" w:rsidP="00FA32BB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  <w:textDirection w:val="btLr"/>
          </w:tcPr>
          <w:p w:rsidR="00A66461" w:rsidRPr="00F342AE" w:rsidRDefault="00A66461" w:rsidP="00CA5260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 w:rsidRPr="00F342AE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MIN</w:t>
            </w:r>
            <w:r w:rsidR="00CA5260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61" w:rsidRPr="00F342AE" w:rsidRDefault="00DC1670" w:rsidP="00DC1670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 xml:space="preserve">TRÈS FAIBLES </w:t>
            </w:r>
            <w:r w:rsidR="00D86761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RISQUES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</w:tr>
      <w:tr w:rsidR="00A66461" w:rsidRPr="00F342AE" w:rsidTr="00D86761">
        <w:trPr>
          <w:cantSplit/>
          <w:trHeight w:val="385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A66461" w:rsidRPr="00F342AE" w:rsidRDefault="00A66461" w:rsidP="00A66461">
            <w:pPr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A66461" w:rsidRPr="00F342AE" w:rsidRDefault="00D86761" w:rsidP="004C6090">
            <w:pPr>
              <w:spacing w:after="0"/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TRÈS PEU PROBABLE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A66461" w:rsidRPr="00F342AE" w:rsidRDefault="00D86761" w:rsidP="004C6090">
            <w:pPr>
              <w:spacing w:after="0"/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PEU PROBABLE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A66461" w:rsidRPr="00F342AE" w:rsidRDefault="00A66461" w:rsidP="004C6090">
            <w:pPr>
              <w:spacing w:after="0"/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 w:rsidRPr="00F342AE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POSSIBLE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A66461" w:rsidRPr="00F342AE" w:rsidRDefault="00D86761" w:rsidP="004C6090">
            <w:pPr>
              <w:spacing w:after="0"/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PROBABLE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A66461" w:rsidRPr="00F342AE" w:rsidRDefault="00A66461" w:rsidP="004C6090">
            <w:pPr>
              <w:spacing w:after="0"/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 w:rsidRPr="00F342AE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IMMINENT</w:t>
            </w:r>
          </w:p>
        </w:tc>
      </w:tr>
      <w:tr w:rsidR="00A66461" w:rsidRPr="001145EA" w:rsidTr="00D86761">
        <w:trPr>
          <w:cantSplit/>
          <w:trHeight w:val="385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66461" w:rsidRPr="00F342AE" w:rsidRDefault="00A66461" w:rsidP="004C6090">
            <w:pPr>
              <w:spacing w:before="40" w:after="40"/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66461" w:rsidRPr="00F342AE" w:rsidRDefault="00A66461" w:rsidP="004C6090">
            <w:pPr>
              <w:spacing w:before="40" w:after="40"/>
              <w:jc w:val="center"/>
              <w:rPr>
                <w:rFonts w:asciiTheme="majorHAnsi" w:hAnsiTheme="majorHAnsi" w:cs="Calibri"/>
                <w:sz w:val="18"/>
                <w:szCs w:val="18"/>
                <w:lang w:val="fr-FR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461" w:rsidRPr="00F342AE" w:rsidRDefault="00D86761" w:rsidP="00D86761">
            <w:pPr>
              <w:spacing w:before="40" w:after="40"/>
              <w:jc w:val="center"/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 xml:space="preserve">PROBABILITÉ </w:t>
            </w:r>
            <w:r w:rsidR="00DE22CA" w:rsidRPr="00F342AE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(</w:t>
            </w:r>
            <w:r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QUE LE SCÉNARIO SE PRODUISE</w:t>
            </w:r>
            <w:r w:rsidR="00DE22CA" w:rsidRPr="00F342AE">
              <w:rPr>
                <w:rFonts w:asciiTheme="majorHAnsi" w:hAnsiTheme="majorHAnsi" w:cs="Calibri"/>
                <w:b/>
                <w:sz w:val="18"/>
                <w:szCs w:val="18"/>
                <w:lang w:val="fr-FR"/>
              </w:rPr>
              <w:t>)</w:t>
            </w:r>
          </w:p>
        </w:tc>
      </w:tr>
    </w:tbl>
    <w:p w:rsidR="005A56D7" w:rsidRPr="00F342AE" w:rsidRDefault="005A56D7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5A56D7" w:rsidRPr="00F342AE" w:rsidSect="006B7372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0C" w:rsidRDefault="0087780C" w:rsidP="00275F15">
      <w:r>
        <w:separator/>
      </w:r>
    </w:p>
  </w:endnote>
  <w:endnote w:type="continuationSeparator" w:id="0">
    <w:p w:rsidR="0087780C" w:rsidRDefault="0087780C" w:rsidP="0027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64" w:rsidRPr="006B7372" w:rsidRDefault="00FF5D84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6"/>
        <w:szCs w:val="16"/>
      </w:rPr>
    </w:pPr>
    <w:r w:rsidRPr="006B7372">
      <w:rPr>
        <w:b/>
        <w:color w:val="808080" w:themeColor="background1" w:themeShade="80"/>
        <w:sz w:val="16"/>
        <w:szCs w:val="16"/>
      </w:rPr>
      <w:fldChar w:fldCharType="begin"/>
    </w:r>
    <w:r w:rsidR="00692464" w:rsidRPr="006B7372">
      <w:rPr>
        <w:b/>
        <w:color w:val="808080" w:themeColor="background1" w:themeShade="80"/>
        <w:sz w:val="16"/>
        <w:szCs w:val="16"/>
      </w:rPr>
      <w:instrText xml:space="preserve">PAGE  </w:instrText>
    </w:r>
    <w:r w:rsidRPr="006B7372">
      <w:rPr>
        <w:b/>
        <w:color w:val="808080" w:themeColor="background1" w:themeShade="80"/>
        <w:sz w:val="16"/>
        <w:szCs w:val="16"/>
      </w:rPr>
      <w:fldChar w:fldCharType="separate"/>
    </w:r>
    <w:r w:rsidR="001145EA">
      <w:rPr>
        <w:b/>
        <w:noProof/>
        <w:color w:val="808080" w:themeColor="background1" w:themeShade="80"/>
        <w:sz w:val="16"/>
        <w:szCs w:val="16"/>
      </w:rPr>
      <w:t>1</w:t>
    </w:r>
    <w:r w:rsidRPr="006B7372">
      <w:rPr>
        <w:b/>
        <w:color w:val="808080" w:themeColor="background1" w:themeShade="80"/>
        <w:sz w:val="16"/>
        <w:szCs w:val="16"/>
      </w:rPr>
      <w:fldChar w:fldCharType="end"/>
    </w:r>
  </w:p>
  <w:p w:rsidR="00692464" w:rsidRPr="00F342AE" w:rsidRDefault="00692464" w:rsidP="00ED1B2B">
    <w:pPr>
      <w:pStyle w:val="Footer"/>
      <w:rPr>
        <w:szCs w:val="16"/>
        <w:lang w:val="fr-FR"/>
      </w:rPr>
    </w:pPr>
    <w:r w:rsidRPr="00F342AE">
      <w:rPr>
        <w:b/>
        <w:szCs w:val="16"/>
        <w:lang w:val="fr-FR"/>
      </w:rPr>
      <w:t>Module 1.</w:t>
    </w:r>
    <w:r w:rsidRPr="00F342AE">
      <w:rPr>
        <w:szCs w:val="16"/>
        <w:lang w:val="fr-FR"/>
      </w:rPr>
      <w:t xml:space="preserve"> </w:t>
    </w:r>
    <w:r w:rsidR="00F342AE">
      <w:rPr>
        <w:szCs w:val="16"/>
        <w:lang w:val="fr-FR"/>
      </w:rPr>
      <w:t>Étape</w:t>
    </w:r>
    <w:r w:rsidRPr="00F342AE">
      <w:rPr>
        <w:szCs w:val="16"/>
        <w:lang w:val="fr-FR"/>
      </w:rPr>
      <w:t xml:space="preserve"> </w:t>
    </w:r>
    <w:r w:rsidR="007A21A9" w:rsidRPr="00F342AE">
      <w:rPr>
        <w:szCs w:val="16"/>
        <w:lang w:val="fr-FR"/>
      </w:rPr>
      <w:t>1</w:t>
    </w:r>
    <w:r w:rsidRPr="00F342AE">
      <w:rPr>
        <w:szCs w:val="16"/>
        <w:lang w:val="fr-FR"/>
      </w:rPr>
      <w:t xml:space="preserve">. </w:t>
    </w:r>
    <w:r w:rsidR="00F342AE">
      <w:rPr>
        <w:szCs w:val="16"/>
        <w:lang w:val="fr-FR"/>
      </w:rPr>
      <w:t>Étape subsidiaire</w:t>
    </w:r>
    <w:r w:rsidRPr="00F342AE">
      <w:rPr>
        <w:szCs w:val="16"/>
        <w:lang w:val="fr-FR"/>
      </w:rPr>
      <w:t xml:space="preserve"> </w:t>
    </w:r>
    <w:r w:rsidR="00F342AE">
      <w:rPr>
        <w:szCs w:val="16"/>
        <w:lang w:val="fr-FR"/>
      </w:rPr>
      <w:t>4. Sélection des scénarios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0C" w:rsidRDefault="0087780C" w:rsidP="00275F15">
      <w:r>
        <w:separator/>
      </w:r>
    </w:p>
  </w:footnote>
  <w:footnote w:type="continuationSeparator" w:id="0">
    <w:p w:rsidR="0087780C" w:rsidRDefault="0087780C" w:rsidP="0027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64" w:rsidRPr="00F342AE" w:rsidRDefault="00F342AE" w:rsidP="00EA15D9">
    <w:pPr>
      <w:pStyle w:val="Header"/>
      <w:rPr>
        <w:sz w:val="14"/>
        <w:szCs w:val="14"/>
        <w:lang w:val="fr-FR"/>
      </w:rPr>
    </w:pPr>
    <w:r>
      <w:rPr>
        <w:rStyle w:val="Pantone485"/>
        <w:sz w:val="14"/>
        <w:szCs w:val="14"/>
        <w:lang w:val="fr-FR"/>
      </w:rPr>
      <w:t>Mouvement international de la Croix-Rouge et du Croissant-Rouge</w:t>
    </w:r>
    <w:r w:rsidR="00692464" w:rsidRPr="00F342AE">
      <w:rPr>
        <w:rFonts w:cs="Caecilia-Light"/>
        <w:color w:val="FF0000"/>
        <w:sz w:val="14"/>
        <w:szCs w:val="14"/>
        <w:lang w:val="fr-FR"/>
      </w:rPr>
      <w:t xml:space="preserve"> </w:t>
    </w:r>
    <w:r w:rsidR="00692464" w:rsidRPr="00F342AE">
      <w:rPr>
        <w:rStyle w:val="PageNumber"/>
        <w:bCs/>
        <w:sz w:val="14"/>
        <w:szCs w:val="14"/>
        <w:lang w:val="fr-FR"/>
      </w:rPr>
      <w:t>I</w:t>
    </w:r>
    <w:r w:rsidR="00692464" w:rsidRPr="00F342AE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EA15D9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EA7"/>
    <w:rsid w:val="000548C4"/>
    <w:rsid w:val="00086B41"/>
    <w:rsid w:val="00112CA1"/>
    <w:rsid w:val="001145EA"/>
    <w:rsid w:val="00171F4E"/>
    <w:rsid w:val="0019704E"/>
    <w:rsid w:val="001C4D2D"/>
    <w:rsid w:val="002129C8"/>
    <w:rsid w:val="00272433"/>
    <w:rsid w:val="00275F15"/>
    <w:rsid w:val="002838BF"/>
    <w:rsid w:val="002866CF"/>
    <w:rsid w:val="002B16F8"/>
    <w:rsid w:val="003008B1"/>
    <w:rsid w:val="00302F80"/>
    <w:rsid w:val="003310E6"/>
    <w:rsid w:val="003B1BD7"/>
    <w:rsid w:val="00413F6D"/>
    <w:rsid w:val="004146D3"/>
    <w:rsid w:val="00435EA7"/>
    <w:rsid w:val="00466263"/>
    <w:rsid w:val="004747AB"/>
    <w:rsid w:val="00484BB9"/>
    <w:rsid w:val="004C6090"/>
    <w:rsid w:val="004D4D5D"/>
    <w:rsid w:val="004D623A"/>
    <w:rsid w:val="004F4460"/>
    <w:rsid w:val="005A56D7"/>
    <w:rsid w:val="005C5BCD"/>
    <w:rsid w:val="006273B0"/>
    <w:rsid w:val="0063468E"/>
    <w:rsid w:val="00643B93"/>
    <w:rsid w:val="00692464"/>
    <w:rsid w:val="006B6CBE"/>
    <w:rsid w:val="006B7372"/>
    <w:rsid w:val="006C111A"/>
    <w:rsid w:val="006C35A5"/>
    <w:rsid w:val="006E7E9F"/>
    <w:rsid w:val="0072656B"/>
    <w:rsid w:val="0075421D"/>
    <w:rsid w:val="00757633"/>
    <w:rsid w:val="0078039A"/>
    <w:rsid w:val="007A21A9"/>
    <w:rsid w:val="007A5742"/>
    <w:rsid w:val="007D7CFF"/>
    <w:rsid w:val="00814429"/>
    <w:rsid w:val="00815083"/>
    <w:rsid w:val="00843246"/>
    <w:rsid w:val="008613D0"/>
    <w:rsid w:val="0087780C"/>
    <w:rsid w:val="00897F68"/>
    <w:rsid w:val="008A48CD"/>
    <w:rsid w:val="008D73AB"/>
    <w:rsid w:val="00900B7B"/>
    <w:rsid w:val="009473CB"/>
    <w:rsid w:val="009A0AE8"/>
    <w:rsid w:val="009E76F7"/>
    <w:rsid w:val="00A66461"/>
    <w:rsid w:val="00AB550A"/>
    <w:rsid w:val="00B46A56"/>
    <w:rsid w:val="00B7131C"/>
    <w:rsid w:val="00B86B5F"/>
    <w:rsid w:val="00BF2A8A"/>
    <w:rsid w:val="00C035D4"/>
    <w:rsid w:val="00C055E4"/>
    <w:rsid w:val="00C11C49"/>
    <w:rsid w:val="00C86AEE"/>
    <w:rsid w:val="00C905A2"/>
    <w:rsid w:val="00CA5260"/>
    <w:rsid w:val="00CD1BCE"/>
    <w:rsid w:val="00D424CA"/>
    <w:rsid w:val="00D53C9D"/>
    <w:rsid w:val="00D77EE0"/>
    <w:rsid w:val="00D86761"/>
    <w:rsid w:val="00DC1670"/>
    <w:rsid w:val="00DD3E91"/>
    <w:rsid w:val="00DE22CA"/>
    <w:rsid w:val="00DE23F4"/>
    <w:rsid w:val="00E61D45"/>
    <w:rsid w:val="00EA15D9"/>
    <w:rsid w:val="00EA31E9"/>
    <w:rsid w:val="00ED4DF0"/>
    <w:rsid w:val="00F27558"/>
    <w:rsid w:val="00F342AE"/>
    <w:rsid w:val="00F53C42"/>
    <w:rsid w:val="00F57CE0"/>
    <w:rsid w:val="00FA32BB"/>
    <w:rsid w:val="00FB168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60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4F446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F446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460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4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7">
    <w:name w:val="heading 7"/>
    <w:basedOn w:val="Normal"/>
    <w:next w:val="Normal"/>
    <w:link w:val="Heading7Char"/>
    <w:qFormat/>
    <w:rsid w:val="00435EA7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4460"/>
    <w:rPr>
      <w:rFonts w:ascii="Arial" w:hAnsi="Arial"/>
      <w:b/>
      <w:color w:val="auto"/>
      <w:szCs w:val="24"/>
    </w:rPr>
  </w:style>
  <w:style w:type="character" w:customStyle="1" w:styleId="Heading7Char">
    <w:name w:val="Heading 7 Char"/>
    <w:basedOn w:val="DefaultParagraphFont"/>
    <w:link w:val="Heading7"/>
    <w:rsid w:val="00435EA7"/>
    <w:rPr>
      <w:rFonts w:ascii="Arial" w:eastAsia="Times New Roman" w:hAnsi="Arial"/>
      <w:b/>
      <w:color w:val="auto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460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F4460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4F4460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F4460"/>
    <w:rPr>
      <w:rFonts w:ascii="Arial" w:hAnsi="Arial"/>
      <w:color w:val="auto"/>
      <w:sz w:val="16"/>
      <w:szCs w:val="18"/>
    </w:rPr>
  </w:style>
  <w:style w:type="paragraph" w:customStyle="1" w:styleId="BasicParagraph">
    <w:name w:val="[Basic Paragraph]"/>
    <w:basedOn w:val="Normal"/>
    <w:uiPriority w:val="99"/>
    <w:rsid w:val="004F446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60"/>
    <w:rPr>
      <w:rFonts w:ascii="Lucida Grande" w:hAnsi="Lucida Grande" w:cs="Lucida Grande"/>
      <w:color w:val="auto"/>
      <w:sz w:val="18"/>
      <w:szCs w:val="18"/>
    </w:rPr>
  </w:style>
  <w:style w:type="paragraph" w:customStyle="1" w:styleId="Bullet1">
    <w:name w:val="Bullet 1"/>
    <w:basedOn w:val="Normal"/>
    <w:rsid w:val="004F4460"/>
    <w:pPr>
      <w:numPr>
        <w:numId w:val="1"/>
      </w:numPr>
      <w:spacing w:after="60"/>
      <w:jc w:val="left"/>
    </w:pPr>
    <w:rPr>
      <w:rFonts w:eastAsia="Times New Roman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4F4460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Bullet2">
    <w:name w:val="Bullet 2"/>
    <w:basedOn w:val="ListParagraph"/>
    <w:rsid w:val="004F4460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F44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46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464"/>
    <w:rPr>
      <w:rFonts w:ascii="Arial" w:hAnsi="Arial" w:cs="Arial"/>
      <w:color w:val="auto"/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4F446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F4460"/>
    <w:rPr>
      <w:rFonts w:ascii="Arial" w:hAnsi="Arial"/>
      <w:b/>
      <w:bCs/>
      <w:color w:val="auto"/>
      <w:sz w:val="20"/>
      <w:szCs w:val="20"/>
    </w:rPr>
  </w:style>
  <w:style w:type="paragraph" w:customStyle="1" w:styleId="Default">
    <w:name w:val="Default"/>
    <w:rsid w:val="004F44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4460"/>
    <w:rPr>
      <w:color w:val="800080" w:themeColor="followedHyperlink"/>
      <w:u w:val="single"/>
    </w:rPr>
  </w:style>
  <w:style w:type="paragraph" w:customStyle="1" w:styleId="H1">
    <w:name w:val="H1"/>
    <w:basedOn w:val="Normal"/>
    <w:link w:val="H1Char"/>
    <w:qFormat/>
    <w:rsid w:val="004F4460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4F4460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Header"/>
    <w:rsid w:val="004F4460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4460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F4460"/>
    <w:rPr>
      <w:rFonts w:ascii="Arial" w:hAnsi="Arial"/>
      <w:b/>
      <w:caps/>
      <w:color w:val="auto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92464"/>
    <w:rPr>
      <w:rFonts w:eastAsiaTheme="majorEastAsia" w:cstheme="majorBidi"/>
      <w:bCs/>
      <w:i/>
      <w:iCs/>
      <w:color w:val="auto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4F4460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460"/>
    <w:rPr>
      <w:rFonts w:ascii="Arial" w:eastAsiaTheme="minorHAnsi" w:hAnsi="Arial" w:cstheme="minorBidi"/>
      <w:color w:val="auto"/>
      <w:sz w:val="20"/>
    </w:rPr>
  </w:style>
  <w:style w:type="character" w:styleId="PageNumber">
    <w:name w:val="page number"/>
    <w:basedOn w:val="DefaultParagraphFont"/>
    <w:uiPriority w:val="99"/>
    <w:unhideWhenUsed/>
    <w:rsid w:val="004F4460"/>
    <w:rPr>
      <w:b/>
    </w:rPr>
  </w:style>
  <w:style w:type="character" w:customStyle="1" w:styleId="Pantone485">
    <w:name w:val="Pantone 485"/>
    <w:basedOn w:val="DefaultParagraphFont"/>
    <w:uiPriority w:val="1"/>
    <w:qFormat/>
    <w:rsid w:val="004F4460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4F446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4F4460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4F4460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TableGrid">
    <w:name w:val="Table Grid"/>
    <w:basedOn w:val="TableNormal"/>
    <w:uiPriority w:val="59"/>
    <w:rsid w:val="004F4460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F4460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460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4F4460"/>
    <w:rPr>
      <w:vertAlign w:val="superscript"/>
    </w:rPr>
  </w:style>
  <w:style w:type="paragraph" w:styleId="Revision">
    <w:name w:val="Revision"/>
    <w:hidden/>
    <w:uiPriority w:val="99"/>
    <w:semiHidden/>
    <w:rsid w:val="004F4460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Normal"/>
    <w:rsid w:val="004F4460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4F4460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4F4460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4F4460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4F446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4F4460"/>
    <w:pPr>
      <w:keepNext/>
      <w:keepLines/>
      <w:framePr w:hSpace="141" w:wrap="around" w:vAnchor="text" w:hAnchor="margin" w:y="402"/>
      <w:numPr>
        <w:numId w:val="6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60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4F446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F446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460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4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7">
    <w:name w:val="heading 7"/>
    <w:basedOn w:val="Normal"/>
    <w:next w:val="Normal"/>
    <w:link w:val="Heading7Char"/>
    <w:qFormat/>
    <w:rsid w:val="00435EA7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4460"/>
    <w:rPr>
      <w:rFonts w:ascii="Arial" w:hAnsi="Arial"/>
      <w:b/>
      <w:color w:val="auto"/>
      <w:szCs w:val="24"/>
    </w:rPr>
  </w:style>
  <w:style w:type="character" w:customStyle="1" w:styleId="Heading7Char">
    <w:name w:val="Heading 7 Char"/>
    <w:basedOn w:val="DefaultParagraphFont"/>
    <w:link w:val="Heading7"/>
    <w:rsid w:val="00435EA7"/>
    <w:rPr>
      <w:rFonts w:ascii="Arial" w:eastAsia="Times New Roman" w:hAnsi="Arial"/>
      <w:b/>
      <w:color w:val="auto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460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F4460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4F4460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F4460"/>
    <w:rPr>
      <w:rFonts w:ascii="Arial" w:hAnsi="Arial"/>
      <w:color w:val="auto"/>
      <w:sz w:val="16"/>
      <w:szCs w:val="18"/>
    </w:rPr>
  </w:style>
  <w:style w:type="paragraph" w:customStyle="1" w:styleId="BasicParagraph">
    <w:name w:val="[Basic Paragraph]"/>
    <w:basedOn w:val="Normal"/>
    <w:uiPriority w:val="99"/>
    <w:rsid w:val="004F446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60"/>
    <w:rPr>
      <w:rFonts w:ascii="Lucida Grande" w:hAnsi="Lucida Grande" w:cs="Lucida Grande"/>
      <w:color w:val="auto"/>
      <w:sz w:val="18"/>
      <w:szCs w:val="18"/>
    </w:rPr>
  </w:style>
  <w:style w:type="paragraph" w:customStyle="1" w:styleId="Bullet1">
    <w:name w:val="Bullet 1"/>
    <w:basedOn w:val="Normal"/>
    <w:rsid w:val="004F4460"/>
    <w:pPr>
      <w:numPr>
        <w:numId w:val="1"/>
      </w:numPr>
      <w:spacing w:after="60"/>
      <w:jc w:val="left"/>
    </w:pPr>
    <w:rPr>
      <w:rFonts w:eastAsia="Times New Roman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4F4460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Bullet2">
    <w:name w:val="Bullet 2"/>
    <w:basedOn w:val="ListParagraph"/>
    <w:rsid w:val="004F4460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F44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46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464"/>
    <w:rPr>
      <w:rFonts w:ascii="Arial" w:hAnsi="Arial" w:cs="Arial"/>
      <w:color w:val="auto"/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4F446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F4460"/>
    <w:rPr>
      <w:rFonts w:ascii="Arial" w:hAnsi="Arial"/>
      <w:b/>
      <w:bCs/>
      <w:color w:val="auto"/>
      <w:sz w:val="20"/>
      <w:szCs w:val="20"/>
    </w:rPr>
  </w:style>
  <w:style w:type="paragraph" w:customStyle="1" w:styleId="Default">
    <w:name w:val="Default"/>
    <w:rsid w:val="004F44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4460"/>
    <w:rPr>
      <w:color w:val="800080" w:themeColor="followedHyperlink"/>
      <w:u w:val="single"/>
    </w:rPr>
  </w:style>
  <w:style w:type="paragraph" w:customStyle="1" w:styleId="H1">
    <w:name w:val="H1"/>
    <w:basedOn w:val="Normal"/>
    <w:link w:val="H1Char"/>
    <w:qFormat/>
    <w:rsid w:val="004F4460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4F4460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Header"/>
    <w:rsid w:val="004F4460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4460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F4460"/>
    <w:rPr>
      <w:rFonts w:ascii="Arial" w:hAnsi="Arial"/>
      <w:b/>
      <w:caps/>
      <w:color w:val="auto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92464"/>
    <w:rPr>
      <w:rFonts w:eastAsiaTheme="majorEastAsia" w:cstheme="majorBidi"/>
      <w:bCs/>
      <w:i/>
      <w:iCs/>
      <w:color w:val="auto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4F4460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460"/>
    <w:rPr>
      <w:rFonts w:ascii="Arial" w:eastAsiaTheme="minorHAnsi" w:hAnsi="Arial" w:cstheme="minorBidi"/>
      <w:color w:val="auto"/>
      <w:sz w:val="20"/>
    </w:rPr>
  </w:style>
  <w:style w:type="character" w:styleId="PageNumber">
    <w:name w:val="page number"/>
    <w:basedOn w:val="DefaultParagraphFont"/>
    <w:uiPriority w:val="99"/>
    <w:unhideWhenUsed/>
    <w:rsid w:val="004F4460"/>
    <w:rPr>
      <w:b/>
    </w:rPr>
  </w:style>
  <w:style w:type="character" w:customStyle="1" w:styleId="Pantone485">
    <w:name w:val="Pantone 485"/>
    <w:basedOn w:val="DefaultParagraphFont"/>
    <w:uiPriority w:val="1"/>
    <w:qFormat/>
    <w:rsid w:val="004F4460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4F446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4F4460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4F4460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TableGrid">
    <w:name w:val="Table Grid"/>
    <w:basedOn w:val="TableNormal"/>
    <w:uiPriority w:val="59"/>
    <w:rsid w:val="004F4460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F4460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460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4F4460"/>
    <w:rPr>
      <w:vertAlign w:val="superscript"/>
    </w:rPr>
  </w:style>
  <w:style w:type="paragraph" w:styleId="Revision">
    <w:name w:val="Revision"/>
    <w:hidden/>
    <w:uiPriority w:val="99"/>
    <w:semiHidden/>
    <w:rsid w:val="004F4460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Normal"/>
    <w:rsid w:val="004F4460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4F4460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4F4460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4F4460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4F446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4F4460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414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Florence MAROT</cp:lastModifiedBy>
  <cp:revision>31</cp:revision>
  <cp:lastPrinted>2015-11-02T09:50:00Z</cp:lastPrinted>
  <dcterms:created xsi:type="dcterms:W3CDTF">2015-09-04T13:00:00Z</dcterms:created>
  <dcterms:modified xsi:type="dcterms:W3CDTF">2016-03-23T10:06:00Z</dcterms:modified>
</cp:coreProperties>
</file>