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029" w:rsidRPr="00C70C35" w:rsidRDefault="00035641" w:rsidP="00C70C35">
      <w:pPr>
        <w:pStyle w:val="H1"/>
        <w:rPr>
          <w:rFonts w:cs="Arial"/>
        </w:rPr>
      </w:pPr>
      <w:r w:rsidRPr="00C70C35">
        <w:rPr>
          <w:rFonts w:cs="Arial"/>
        </w:rPr>
        <w:t xml:space="preserve">CTP </w:t>
      </w:r>
      <w:r w:rsidR="00B927B3" w:rsidRPr="00C70C35">
        <w:rPr>
          <w:rFonts w:cs="Arial"/>
        </w:rPr>
        <w:t>Risk m</w:t>
      </w:r>
      <w:r w:rsidR="00E62917" w:rsidRPr="00C70C35">
        <w:rPr>
          <w:rFonts w:cs="Arial"/>
        </w:rPr>
        <w:t>atrix t</w:t>
      </w:r>
      <w:r w:rsidR="003F4D8A">
        <w:rPr>
          <w:rFonts w:cs="Arial"/>
        </w:rPr>
        <w:t>emplate</w:t>
      </w:r>
      <w:bookmarkStart w:id="0" w:name="_GoBack"/>
      <w:bookmarkEnd w:id="0"/>
    </w:p>
    <w:p w:rsidR="00176459" w:rsidRPr="00C70C35" w:rsidRDefault="00FF6D96" w:rsidP="00C70C35">
      <w:r w:rsidRPr="00C70C35">
        <w:rPr>
          <w:b/>
        </w:rPr>
        <w:t>Purpose:</w:t>
      </w:r>
      <w:r w:rsidRPr="00C70C35">
        <w:t xml:space="preserve"> </w:t>
      </w:r>
      <w:r w:rsidR="00886161" w:rsidRPr="00C70C35">
        <w:t>Risk analysis represents</w:t>
      </w:r>
      <w:r w:rsidR="003B7F40" w:rsidRPr="00C70C35">
        <w:t xml:space="preserve"> a</w:t>
      </w:r>
      <w:r w:rsidR="00B51F34" w:rsidRPr="00C70C35">
        <w:t xml:space="preserve">n integral part of </w:t>
      </w:r>
      <w:r w:rsidR="00E96BD6" w:rsidRPr="00C70C35">
        <w:t>any</w:t>
      </w:r>
      <w:r w:rsidR="005D6A87" w:rsidRPr="00C70C35">
        <w:t xml:space="preserve"> emergency response</w:t>
      </w:r>
      <w:r w:rsidR="003B7F40" w:rsidRPr="00C70C35">
        <w:t xml:space="preserve"> design and implementation, especially in </w:t>
      </w:r>
      <w:r w:rsidR="00B51F34" w:rsidRPr="00C70C35">
        <w:t>complex environment</w:t>
      </w:r>
      <w:r w:rsidR="003B7F40" w:rsidRPr="00C70C35">
        <w:t>s</w:t>
      </w:r>
      <w:r w:rsidR="00B51F34" w:rsidRPr="00C70C35">
        <w:t>.</w:t>
      </w:r>
      <w:r w:rsidR="003B7F40" w:rsidRPr="00C70C35">
        <w:t xml:space="preserve"> R</w:t>
      </w:r>
      <w:r w:rsidR="00B51F34" w:rsidRPr="00C70C35">
        <w:t>isk analysis and mitigation</w:t>
      </w:r>
      <w:r w:rsidR="003B7F40" w:rsidRPr="00C70C35">
        <w:t xml:space="preserve"> measures</w:t>
      </w:r>
      <w:r w:rsidR="00B51F34" w:rsidRPr="00C70C35">
        <w:t xml:space="preserve"> should be </w:t>
      </w:r>
      <w:r w:rsidR="003B7F40" w:rsidRPr="00C70C35">
        <w:t>planned well ahead by program</w:t>
      </w:r>
      <w:r w:rsidR="004F7EB3" w:rsidRPr="00C70C35">
        <w:t>me</w:t>
      </w:r>
      <w:r w:rsidR="003B7F40" w:rsidRPr="00C70C35">
        <w:t xml:space="preserve"> team and be </w:t>
      </w:r>
      <w:r w:rsidR="00B51F34" w:rsidRPr="00C70C35">
        <w:t xml:space="preserve">considered throughout the </w:t>
      </w:r>
      <w:r w:rsidR="003B7F40" w:rsidRPr="00C70C35">
        <w:t xml:space="preserve">whole </w:t>
      </w:r>
      <w:r w:rsidR="00B51F34" w:rsidRPr="00C70C35">
        <w:t xml:space="preserve">project cycle. </w:t>
      </w:r>
    </w:p>
    <w:p w:rsidR="00BE51ED" w:rsidRPr="00C70C35" w:rsidRDefault="00BE51ED" w:rsidP="00C70C35">
      <w:r w:rsidRPr="00C70C35">
        <w:rPr>
          <w:b/>
        </w:rPr>
        <w:t xml:space="preserve">How to complete the tool: </w:t>
      </w:r>
      <w:r w:rsidR="00EF26AA" w:rsidRPr="00C70C35">
        <w:t>Identify</w:t>
      </w:r>
      <w:r w:rsidR="00C76A3D" w:rsidRPr="00C70C35">
        <w:t xml:space="preserve"> all possible risks after consulting with local authorities, representatives from Red Cross</w:t>
      </w:r>
      <w:r w:rsidR="004026F7" w:rsidRPr="00C70C35">
        <w:t>/Red Crescent</w:t>
      </w:r>
      <w:r w:rsidR="00C76A3D" w:rsidRPr="00C70C35">
        <w:t xml:space="preserve"> branches, community leaders and beneficiaries, local staff and volunteers</w:t>
      </w:r>
      <w:r w:rsidR="00E47E08">
        <w:t>.</w:t>
      </w:r>
    </w:p>
    <w:p w:rsidR="004F2F08" w:rsidRPr="00C70C35" w:rsidRDefault="00367029" w:rsidP="00C70C35">
      <w:r w:rsidRPr="00C70C35">
        <w:t>Risks are classified under 3</w:t>
      </w:r>
      <w:r w:rsidR="00402C6F" w:rsidRPr="00C70C35">
        <w:t xml:space="preserve"> broad categories: c</w:t>
      </w:r>
      <w:r w:rsidR="00F42B9B" w:rsidRPr="00C70C35">
        <w:t>ontextual, programmatic and i</w:t>
      </w:r>
      <w:r w:rsidRPr="00C70C35">
        <w:t xml:space="preserve">nstitutional. </w:t>
      </w:r>
    </w:p>
    <w:p w:rsidR="00367029" w:rsidRPr="00C70C35" w:rsidRDefault="00367029" w:rsidP="00C70C35">
      <w:r w:rsidRPr="00C70C35">
        <w:t xml:space="preserve">List as many as are relevant to your context. Rank their likelihood form 1 low to 5 high and then identify the likely impact of each risk. </w:t>
      </w:r>
      <w:r w:rsidR="004F2F08" w:rsidRPr="00C70C35">
        <w:t>Again rank the likelihood 1-5. U</w:t>
      </w:r>
      <w:r w:rsidRPr="00C70C35">
        <w:t>se this information to feed into TOOL 3.1.</w:t>
      </w:r>
      <w:r w:rsidR="004F2F08" w:rsidRPr="00C70C35">
        <w:t>4.2</w:t>
      </w:r>
      <w:r w:rsidRPr="00C70C35">
        <w:t xml:space="preserve"> Risk Register Template which will ask you to identify your planned actions to take control and mitigate against each risk.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663"/>
        <w:gridCol w:w="1276"/>
        <w:gridCol w:w="2966"/>
        <w:gridCol w:w="6061"/>
      </w:tblGrid>
      <w:tr w:rsidR="00C70C35" w:rsidRPr="00C70C35" w:rsidTr="00382808">
        <w:trPr>
          <w:trHeight w:val="426"/>
        </w:trPr>
        <w:tc>
          <w:tcPr>
            <w:tcW w:w="1311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:rsidR="00CF2E6D" w:rsidRPr="00C70C35" w:rsidRDefault="00CF2E6D" w:rsidP="00C70C35">
            <w:pPr>
              <w:spacing w:before="120"/>
              <w:jc w:val="center"/>
              <w:rPr>
                <w:rFonts w:cs="Arial"/>
                <w:i/>
                <w:color w:val="FFFFFF" w:themeColor="background1"/>
                <w:lang w:val="en-GB"/>
              </w:rPr>
            </w:pPr>
            <w:r w:rsidRPr="00C70C35">
              <w:rPr>
                <w:rFonts w:cs="Arial"/>
                <w:b/>
                <w:color w:val="FFFFFF" w:themeColor="background1"/>
                <w:lang w:val="en-GB"/>
              </w:rPr>
              <w:t xml:space="preserve">Risk </w:t>
            </w:r>
            <w:r w:rsidR="00C70C35" w:rsidRPr="00C70C35">
              <w:rPr>
                <w:rFonts w:cs="Arial"/>
                <w:b/>
                <w:color w:val="FFFFFF" w:themeColor="background1"/>
                <w:lang w:val="en-GB"/>
              </w:rPr>
              <w:br/>
            </w:r>
            <w:r w:rsidR="00CF3D12" w:rsidRPr="00C70C35">
              <w:rPr>
                <w:rFonts w:cs="Arial"/>
                <w:i/>
                <w:color w:val="FFFFFF" w:themeColor="background1"/>
                <w:lang w:val="en-GB"/>
              </w:rPr>
              <w:t>(</w:t>
            </w:r>
            <w:r w:rsidR="002232FD" w:rsidRPr="00C70C35">
              <w:rPr>
                <w:rFonts w:cs="Arial"/>
                <w:i/>
                <w:color w:val="FFFFFF" w:themeColor="background1"/>
                <w:lang w:val="en-GB"/>
              </w:rPr>
              <w:t>a</w:t>
            </w:r>
            <w:r w:rsidR="00E06D6E" w:rsidRPr="00C70C35">
              <w:rPr>
                <w:rFonts w:cs="Arial"/>
                <w:i/>
                <w:color w:val="FFFFFF" w:themeColor="background1"/>
                <w:lang w:val="en-GB"/>
              </w:rPr>
              <w:t>nd</w:t>
            </w:r>
            <w:r w:rsidR="002946C0" w:rsidRPr="00C70C35">
              <w:rPr>
                <w:rFonts w:cs="Arial"/>
                <w:i/>
                <w:color w:val="FFFFFF" w:themeColor="background1"/>
                <w:lang w:val="en-GB"/>
              </w:rPr>
              <w:t xml:space="preserve"> source of i</w:t>
            </w:r>
            <w:r w:rsidR="00CF3D12" w:rsidRPr="00C70C35">
              <w:rPr>
                <w:rFonts w:cs="Arial"/>
                <w:i/>
                <w:color w:val="FFFFFF" w:themeColor="background1"/>
                <w:lang w:val="en-GB"/>
              </w:rPr>
              <w:t>nformation)</w:t>
            </w:r>
          </w:p>
        </w:tc>
        <w:tc>
          <w:tcPr>
            <w:tcW w:w="457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:rsidR="00CF2E6D" w:rsidRPr="00C70C35" w:rsidRDefault="00A578A6" w:rsidP="00C70C35">
            <w:pPr>
              <w:spacing w:before="120"/>
              <w:jc w:val="center"/>
              <w:rPr>
                <w:rFonts w:cs="Arial"/>
                <w:b/>
                <w:color w:val="FFFFFF" w:themeColor="background1"/>
                <w:lang w:val="en-GB"/>
              </w:rPr>
            </w:pPr>
            <w:r w:rsidRPr="00C70C35">
              <w:rPr>
                <w:rFonts w:cs="Arial"/>
                <w:b/>
                <w:color w:val="FFFFFF" w:themeColor="background1"/>
                <w:lang w:val="en-GB"/>
              </w:rPr>
              <w:t xml:space="preserve">Likelihood </w:t>
            </w:r>
            <w:r w:rsidR="00C70C35" w:rsidRPr="00C70C35">
              <w:rPr>
                <w:rFonts w:cs="Arial"/>
                <w:b/>
                <w:color w:val="FFFFFF" w:themeColor="background1"/>
                <w:lang w:val="en-GB"/>
              </w:rPr>
              <w:br/>
            </w:r>
            <w:r w:rsidRPr="00C70C35">
              <w:rPr>
                <w:rFonts w:cs="Arial"/>
                <w:b/>
                <w:color w:val="FFFFFF" w:themeColor="background1"/>
                <w:lang w:val="en-GB"/>
              </w:rPr>
              <w:t xml:space="preserve">(1 Low- </w:t>
            </w:r>
            <w:r w:rsidR="00382808">
              <w:rPr>
                <w:rFonts w:cs="Arial"/>
                <w:b/>
                <w:color w:val="FFFFFF" w:themeColor="background1"/>
                <w:lang w:val="en-GB"/>
              </w:rPr>
              <w:br/>
            </w:r>
            <w:r w:rsidRPr="00C70C35">
              <w:rPr>
                <w:rFonts w:cs="Arial"/>
                <w:b/>
                <w:color w:val="FFFFFF" w:themeColor="background1"/>
                <w:lang w:val="en-GB"/>
              </w:rPr>
              <w:t>5 High)</w:t>
            </w:r>
          </w:p>
        </w:tc>
        <w:tc>
          <w:tcPr>
            <w:tcW w:w="1062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:rsidR="00A578A6" w:rsidRPr="00C70C35" w:rsidRDefault="00A578A6" w:rsidP="00C70C35">
            <w:pPr>
              <w:spacing w:before="120"/>
              <w:jc w:val="center"/>
              <w:rPr>
                <w:rFonts w:cs="Arial"/>
                <w:b/>
                <w:color w:val="FFFFFF" w:themeColor="background1"/>
                <w:lang w:val="en-GB"/>
              </w:rPr>
            </w:pPr>
            <w:r w:rsidRPr="00C70C35">
              <w:rPr>
                <w:rFonts w:cs="Arial"/>
                <w:b/>
                <w:color w:val="FFFFFF" w:themeColor="background1"/>
                <w:lang w:val="en-GB"/>
              </w:rPr>
              <w:t>De</w:t>
            </w:r>
            <w:r w:rsidR="00F14204" w:rsidRPr="00C70C35">
              <w:rPr>
                <w:rFonts w:cs="Arial"/>
                <w:b/>
                <w:color w:val="FFFFFF" w:themeColor="background1"/>
                <w:lang w:val="en-GB"/>
              </w:rPr>
              <w:t>s</w:t>
            </w:r>
            <w:r w:rsidR="00402C6F" w:rsidRPr="00C70C35">
              <w:rPr>
                <w:rFonts w:cs="Arial"/>
                <w:b/>
                <w:color w:val="FFFFFF" w:themeColor="background1"/>
                <w:lang w:val="en-GB"/>
              </w:rPr>
              <w:t>cription of i</w:t>
            </w:r>
            <w:r w:rsidRPr="00C70C35">
              <w:rPr>
                <w:rFonts w:cs="Arial"/>
                <w:b/>
                <w:color w:val="FFFFFF" w:themeColor="background1"/>
                <w:lang w:val="en-GB"/>
              </w:rPr>
              <w:t xml:space="preserve">mpact </w:t>
            </w:r>
            <w:r w:rsidR="00402C6F" w:rsidRPr="00C70C35">
              <w:rPr>
                <w:rFonts w:cs="Arial"/>
                <w:b/>
                <w:color w:val="FFFFFF" w:themeColor="background1"/>
                <w:lang w:val="en-GB"/>
              </w:rPr>
              <w:t>on p</w:t>
            </w:r>
            <w:r w:rsidR="00E175AC" w:rsidRPr="00C70C35">
              <w:rPr>
                <w:rFonts w:cs="Arial"/>
                <w:b/>
                <w:color w:val="FFFFFF" w:themeColor="background1"/>
                <w:lang w:val="en-GB"/>
              </w:rPr>
              <w:t>rogram</w:t>
            </w:r>
            <w:r w:rsidR="004F7EB3" w:rsidRPr="00C70C35">
              <w:rPr>
                <w:rFonts w:cs="Arial"/>
                <w:b/>
                <w:color w:val="FFFFFF" w:themeColor="background1"/>
                <w:lang w:val="en-GB"/>
              </w:rPr>
              <w:t>me</w:t>
            </w:r>
            <w:r w:rsidRPr="00C70C35">
              <w:rPr>
                <w:rFonts w:cs="Arial"/>
                <w:b/>
                <w:color w:val="FFFFFF" w:themeColor="background1"/>
                <w:lang w:val="en-GB"/>
              </w:rPr>
              <w:t xml:space="preserve"> and </w:t>
            </w:r>
            <w:r w:rsidR="00C70C35" w:rsidRPr="00C70C35">
              <w:rPr>
                <w:rFonts w:cs="Arial"/>
                <w:b/>
                <w:color w:val="FFFFFF" w:themeColor="background1"/>
                <w:lang w:val="en-GB"/>
              </w:rPr>
              <w:br/>
            </w:r>
            <w:r w:rsidRPr="00C70C35">
              <w:rPr>
                <w:rFonts w:cs="Arial"/>
                <w:b/>
                <w:color w:val="FFFFFF" w:themeColor="background1"/>
                <w:lang w:val="en-GB"/>
              </w:rPr>
              <w:t>(1 Low – 5 High)</w:t>
            </w:r>
          </w:p>
        </w:tc>
        <w:tc>
          <w:tcPr>
            <w:tcW w:w="2170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:rsidR="00CF2E6D" w:rsidRPr="00C70C35" w:rsidRDefault="00CD7389" w:rsidP="00C70C35">
            <w:pPr>
              <w:spacing w:before="120"/>
              <w:jc w:val="center"/>
              <w:rPr>
                <w:rFonts w:cs="Arial"/>
                <w:b/>
                <w:color w:val="FFFFFF" w:themeColor="background1"/>
                <w:lang w:val="en-GB"/>
              </w:rPr>
            </w:pPr>
            <w:r w:rsidRPr="00C70C35">
              <w:rPr>
                <w:rFonts w:cs="Arial"/>
                <w:b/>
                <w:color w:val="FFFFFF" w:themeColor="background1"/>
                <w:lang w:val="en-GB"/>
              </w:rPr>
              <w:t xml:space="preserve">Potential </w:t>
            </w:r>
            <w:r w:rsidR="00402C6F" w:rsidRPr="00C70C35">
              <w:rPr>
                <w:rFonts w:cs="Arial"/>
                <w:b/>
                <w:color w:val="FFFFFF" w:themeColor="background1"/>
                <w:lang w:val="en-GB"/>
              </w:rPr>
              <w:t>m</w:t>
            </w:r>
            <w:r w:rsidR="00CF2E6D" w:rsidRPr="00C70C35">
              <w:rPr>
                <w:rFonts w:cs="Arial"/>
                <w:b/>
                <w:color w:val="FFFFFF" w:themeColor="background1"/>
                <w:lang w:val="en-GB"/>
              </w:rPr>
              <w:t>itigation measures</w:t>
            </w:r>
          </w:p>
        </w:tc>
      </w:tr>
      <w:tr w:rsidR="00A578A6" w:rsidRPr="00C70C35" w:rsidTr="00214372">
        <w:tc>
          <w:tcPr>
            <w:tcW w:w="5000" w:type="pct"/>
            <w:gridSpan w:val="4"/>
            <w:shd w:val="clear" w:color="auto" w:fill="E6E6E6"/>
            <w:vAlign w:val="center"/>
          </w:tcPr>
          <w:p w:rsidR="00A578A6" w:rsidRPr="00C70C35" w:rsidRDefault="00F42B9B" w:rsidP="00261765">
            <w:pPr>
              <w:spacing w:before="60" w:after="60"/>
              <w:rPr>
                <w:rFonts w:cs="Arial"/>
                <w:lang w:val="en-GB"/>
              </w:rPr>
            </w:pPr>
            <w:r w:rsidRPr="00C70C35">
              <w:rPr>
                <w:rFonts w:cs="Arial"/>
                <w:b/>
                <w:lang w:val="en-GB"/>
              </w:rPr>
              <w:t>Contextual r</w:t>
            </w:r>
            <w:r w:rsidR="00A578A6" w:rsidRPr="00C70C35">
              <w:rPr>
                <w:rFonts w:cs="Arial"/>
                <w:b/>
                <w:lang w:val="en-GB"/>
              </w:rPr>
              <w:t>isk</w:t>
            </w:r>
          </w:p>
        </w:tc>
      </w:tr>
      <w:tr w:rsidR="00382808" w:rsidRPr="00C70C35" w:rsidTr="00382808">
        <w:trPr>
          <w:trHeight w:val="545"/>
        </w:trPr>
        <w:tc>
          <w:tcPr>
            <w:tcW w:w="1311" w:type="pct"/>
            <w:shd w:val="clear" w:color="auto" w:fill="A6A6A6"/>
            <w:vAlign w:val="center"/>
          </w:tcPr>
          <w:p w:rsidR="00E26136" w:rsidRPr="00C70C35" w:rsidRDefault="00E26136" w:rsidP="00775D77">
            <w:pPr>
              <w:spacing w:before="20" w:after="20"/>
              <w:jc w:val="left"/>
              <w:rPr>
                <w:rFonts w:cs="Arial"/>
                <w:b/>
                <w:lang w:val="en-GB"/>
              </w:rPr>
            </w:pPr>
            <w:r w:rsidRPr="00C70C35">
              <w:rPr>
                <w:rFonts w:cs="Arial"/>
                <w:b/>
                <w:bCs/>
                <w:iCs/>
                <w:color w:val="000000"/>
                <w:lang w:val="en-GB" w:eastAsia="en-GB"/>
              </w:rPr>
              <w:t>Governmental regulations/laws</w:t>
            </w:r>
          </w:p>
        </w:tc>
        <w:tc>
          <w:tcPr>
            <w:tcW w:w="457" w:type="pct"/>
            <w:shd w:val="clear" w:color="auto" w:fill="F3F3F3"/>
          </w:tcPr>
          <w:p w:rsidR="00E26136" w:rsidRPr="00C70C35" w:rsidRDefault="00E26136" w:rsidP="00775D77">
            <w:pPr>
              <w:pStyle w:val="ListParagraph"/>
              <w:spacing w:before="20" w:after="20"/>
              <w:ind w:left="317"/>
              <w:jc w:val="left"/>
              <w:rPr>
                <w:rFonts w:cs="Arial"/>
                <w:bCs/>
                <w:iCs/>
                <w:color w:val="000000"/>
                <w:szCs w:val="20"/>
                <w:lang w:eastAsia="en-GB"/>
              </w:rPr>
            </w:pPr>
          </w:p>
        </w:tc>
        <w:tc>
          <w:tcPr>
            <w:tcW w:w="1062" w:type="pct"/>
            <w:shd w:val="clear" w:color="auto" w:fill="F3F3F3"/>
            <w:vAlign w:val="center"/>
          </w:tcPr>
          <w:p w:rsidR="00E26136" w:rsidRPr="00C70C35" w:rsidRDefault="00E26136" w:rsidP="00775D77">
            <w:pPr>
              <w:spacing w:before="20" w:after="20"/>
              <w:jc w:val="left"/>
              <w:rPr>
                <w:rFonts w:cs="Arial"/>
                <w:lang w:val="en-GB"/>
              </w:rPr>
            </w:pPr>
          </w:p>
        </w:tc>
        <w:tc>
          <w:tcPr>
            <w:tcW w:w="2170" w:type="pct"/>
            <w:shd w:val="clear" w:color="auto" w:fill="E6E6E6"/>
            <w:vAlign w:val="center"/>
          </w:tcPr>
          <w:p w:rsidR="00E26136" w:rsidRPr="00C70C35" w:rsidRDefault="00E26136" w:rsidP="00775D77">
            <w:pPr>
              <w:pStyle w:val="BulletTableau"/>
              <w:framePr w:wrap="around"/>
              <w:spacing w:beforeLines="0" w:before="20" w:afterLines="0"/>
              <w:jc w:val="left"/>
            </w:pPr>
            <w:r w:rsidRPr="00C70C35">
              <w:rPr>
                <w:lang w:eastAsia="en-GB"/>
              </w:rPr>
              <w:t>Chose a delivery mechanism (agent or method) in line with national regulations and laws</w:t>
            </w:r>
          </w:p>
        </w:tc>
      </w:tr>
      <w:tr w:rsidR="00382808" w:rsidRPr="00C70C35" w:rsidTr="00382808">
        <w:trPr>
          <w:trHeight w:val="545"/>
        </w:trPr>
        <w:tc>
          <w:tcPr>
            <w:tcW w:w="1311" w:type="pct"/>
            <w:shd w:val="clear" w:color="auto" w:fill="A6A6A6"/>
            <w:vAlign w:val="center"/>
          </w:tcPr>
          <w:p w:rsidR="00E26136" w:rsidRPr="00C70C35" w:rsidRDefault="00E26136" w:rsidP="00775D77">
            <w:pPr>
              <w:spacing w:before="20" w:after="20"/>
              <w:jc w:val="left"/>
              <w:rPr>
                <w:rFonts w:cs="Arial"/>
                <w:b/>
                <w:lang w:val="en-GB"/>
              </w:rPr>
            </w:pPr>
            <w:r w:rsidRPr="00C70C35">
              <w:rPr>
                <w:rFonts w:cs="Arial"/>
                <w:b/>
                <w:lang w:val="en-GB"/>
              </w:rPr>
              <w:t>Security / access</w:t>
            </w:r>
          </w:p>
        </w:tc>
        <w:tc>
          <w:tcPr>
            <w:tcW w:w="457" w:type="pct"/>
            <w:shd w:val="clear" w:color="auto" w:fill="F3F3F3"/>
            <w:vAlign w:val="center"/>
          </w:tcPr>
          <w:p w:rsidR="00E26136" w:rsidRPr="00C70C35" w:rsidRDefault="00E26136" w:rsidP="00775D77">
            <w:pPr>
              <w:spacing w:before="20" w:after="20"/>
              <w:jc w:val="left"/>
              <w:rPr>
                <w:rFonts w:cs="Arial"/>
                <w:lang w:val="en-GB"/>
              </w:rPr>
            </w:pPr>
          </w:p>
        </w:tc>
        <w:tc>
          <w:tcPr>
            <w:tcW w:w="1062" w:type="pct"/>
            <w:shd w:val="clear" w:color="auto" w:fill="F3F3F3"/>
            <w:vAlign w:val="center"/>
          </w:tcPr>
          <w:p w:rsidR="00E26136" w:rsidRPr="00C70C35" w:rsidRDefault="00E26136" w:rsidP="00775D77">
            <w:pPr>
              <w:spacing w:before="20" w:after="20"/>
              <w:jc w:val="left"/>
              <w:rPr>
                <w:rFonts w:cs="Arial"/>
                <w:lang w:val="en-GB"/>
              </w:rPr>
            </w:pPr>
          </w:p>
        </w:tc>
        <w:tc>
          <w:tcPr>
            <w:tcW w:w="2170" w:type="pct"/>
            <w:shd w:val="clear" w:color="auto" w:fill="E6E6E6"/>
            <w:vAlign w:val="center"/>
          </w:tcPr>
          <w:p w:rsidR="00E26136" w:rsidRPr="00C70C35" w:rsidRDefault="00E26136" w:rsidP="00775D77">
            <w:pPr>
              <w:pStyle w:val="BulletTableau"/>
              <w:framePr w:wrap="around"/>
              <w:spacing w:beforeLines="0" w:before="20" w:afterLines="0"/>
              <w:jc w:val="left"/>
            </w:pPr>
            <w:r w:rsidRPr="00C70C35">
              <w:t>Ensure the operational context secure enough to ensure access to beneficiaries</w:t>
            </w:r>
          </w:p>
        </w:tc>
      </w:tr>
      <w:tr w:rsidR="00382808" w:rsidRPr="00C70C35" w:rsidTr="00382808">
        <w:trPr>
          <w:trHeight w:val="545"/>
        </w:trPr>
        <w:tc>
          <w:tcPr>
            <w:tcW w:w="1311" w:type="pct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E26136" w:rsidRPr="00C70C35" w:rsidRDefault="00E26136" w:rsidP="00775D77">
            <w:pPr>
              <w:spacing w:before="20" w:after="20"/>
              <w:jc w:val="left"/>
              <w:rPr>
                <w:rFonts w:cs="Arial"/>
                <w:b/>
                <w:lang w:val="en-GB"/>
              </w:rPr>
            </w:pPr>
            <w:r w:rsidRPr="00C70C35">
              <w:rPr>
                <w:rFonts w:cs="Arial"/>
                <w:b/>
                <w:lang w:val="en-GB"/>
              </w:rPr>
              <w:t xml:space="preserve">Inflation risk caused by external factors </w:t>
            </w:r>
            <w:r w:rsidR="004F7EB3" w:rsidRPr="00C70C35">
              <w:rPr>
                <w:rFonts w:cs="Arial"/>
                <w:b/>
                <w:lang w:val="en-GB"/>
              </w:rPr>
              <w:t>e.g.</w:t>
            </w:r>
            <w:r w:rsidRPr="00C70C35">
              <w:rPr>
                <w:rFonts w:cs="Arial"/>
                <w:b/>
                <w:lang w:val="en-GB"/>
              </w:rPr>
              <w:t xml:space="preserve"> currency devaluation,</w:t>
            </w:r>
          </w:p>
        </w:tc>
        <w:tc>
          <w:tcPr>
            <w:tcW w:w="457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E26136" w:rsidRPr="00C70C35" w:rsidRDefault="00E26136" w:rsidP="00775D77">
            <w:pPr>
              <w:spacing w:before="20" w:after="20"/>
              <w:jc w:val="left"/>
              <w:rPr>
                <w:rFonts w:cs="Arial"/>
                <w:lang w:val="en-GB"/>
              </w:rPr>
            </w:pPr>
          </w:p>
        </w:tc>
        <w:tc>
          <w:tcPr>
            <w:tcW w:w="1062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E26136" w:rsidRPr="00C70C35" w:rsidRDefault="00E26136" w:rsidP="00775D77">
            <w:pPr>
              <w:spacing w:before="20" w:after="20"/>
              <w:jc w:val="left"/>
              <w:rPr>
                <w:rFonts w:cs="Arial"/>
                <w:lang w:val="en-GB"/>
              </w:rPr>
            </w:pPr>
          </w:p>
        </w:tc>
        <w:tc>
          <w:tcPr>
            <w:tcW w:w="217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26136" w:rsidRPr="00C70C35" w:rsidRDefault="00E26136" w:rsidP="00775D77">
            <w:pPr>
              <w:pStyle w:val="BulletTableau"/>
              <w:framePr w:wrap="around"/>
              <w:spacing w:beforeLines="0" w:before="20" w:afterLines="0"/>
              <w:jc w:val="left"/>
            </w:pPr>
            <w:r w:rsidRPr="00C70C35">
              <w:t>Devise a conti</w:t>
            </w:r>
            <w:r w:rsidR="00BD6F9B" w:rsidRPr="00C70C35">
              <w:t>n</w:t>
            </w:r>
            <w:r w:rsidRPr="00C70C35">
              <w:t>gency plan for what to do when price monitoring indicates inflation and loss of purchasing power? (</w:t>
            </w:r>
            <w:r w:rsidR="004F7EB3" w:rsidRPr="00C70C35">
              <w:t>Adjust</w:t>
            </w:r>
            <w:r w:rsidRPr="00C70C35">
              <w:t xml:space="preserve"> transfers value, shift modality, etc.)</w:t>
            </w:r>
          </w:p>
        </w:tc>
      </w:tr>
      <w:tr w:rsidR="00E26136" w:rsidRPr="00C70C35" w:rsidTr="00214372">
        <w:tc>
          <w:tcPr>
            <w:tcW w:w="0" w:type="auto"/>
            <w:gridSpan w:val="4"/>
            <w:shd w:val="clear" w:color="auto" w:fill="E6E6E6"/>
            <w:vAlign w:val="center"/>
          </w:tcPr>
          <w:p w:rsidR="00E26136" w:rsidRPr="00C70C35" w:rsidRDefault="00F42B9B" w:rsidP="00261765">
            <w:pPr>
              <w:spacing w:before="60" w:after="60"/>
              <w:rPr>
                <w:rFonts w:cs="Arial"/>
                <w:lang w:val="en-GB"/>
              </w:rPr>
            </w:pPr>
            <w:r w:rsidRPr="00C70C35">
              <w:rPr>
                <w:rFonts w:cs="Arial"/>
                <w:b/>
                <w:lang w:val="en-GB"/>
              </w:rPr>
              <w:t>Programmatic r</w:t>
            </w:r>
            <w:r w:rsidR="00E26136" w:rsidRPr="00C70C35">
              <w:rPr>
                <w:rFonts w:cs="Arial"/>
                <w:b/>
                <w:lang w:val="en-GB"/>
              </w:rPr>
              <w:t>isk</w:t>
            </w:r>
          </w:p>
        </w:tc>
      </w:tr>
      <w:tr w:rsidR="00382808" w:rsidRPr="00C70C35" w:rsidTr="00382808">
        <w:trPr>
          <w:trHeight w:val="545"/>
        </w:trPr>
        <w:tc>
          <w:tcPr>
            <w:tcW w:w="1311" w:type="pct"/>
            <w:shd w:val="clear" w:color="auto" w:fill="A6A6A6"/>
            <w:vAlign w:val="center"/>
          </w:tcPr>
          <w:p w:rsidR="00BD6F9B" w:rsidRPr="00C70C35" w:rsidRDefault="00BD6F9B" w:rsidP="00775D77">
            <w:pPr>
              <w:spacing w:before="20" w:after="20"/>
              <w:jc w:val="left"/>
              <w:rPr>
                <w:rFonts w:cs="Arial"/>
                <w:b/>
                <w:lang w:val="en-GB"/>
              </w:rPr>
            </w:pPr>
            <w:r w:rsidRPr="00C70C35">
              <w:rPr>
                <w:rFonts w:cs="Arial"/>
                <w:b/>
                <w:bCs/>
                <w:color w:val="000000"/>
                <w:lang w:val="en-GB" w:eastAsia="en-GB"/>
              </w:rPr>
              <w:t>Capacity related risks related to funding</w:t>
            </w:r>
          </w:p>
        </w:tc>
        <w:tc>
          <w:tcPr>
            <w:tcW w:w="457" w:type="pct"/>
            <w:shd w:val="clear" w:color="auto" w:fill="F3F3F3"/>
            <w:vAlign w:val="center"/>
          </w:tcPr>
          <w:p w:rsidR="00BD6F9B" w:rsidRPr="00C70C35" w:rsidRDefault="00BD6F9B" w:rsidP="00775D77">
            <w:pPr>
              <w:spacing w:before="20" w:after="20"/>
              <w:jc w:val="left"/>
              <w:rPr>
                <w:rFonts w:cs="Arial"/>
                <w:lang w:val="en-GB"/>
              </w:rPr>
            </w:pPr>
          </w:p>
        </w:tc>
        <w:tc>
          <w:tcPr>
            <w:tcW w:w="1062" w:type="pct"/>
            <w:shd w:val="clear" w:color="auto" w:fill="F3F3F3"/>
          </w:tcPr>
          <w:p w:rsidR="00BD6F9B" w:rsidRPr="00C70C35" w:rsidRDefault="00BD6F9B" w:rsidP="00775D77">
            <w:pPr>
              <w:spacing w:before="20" w:after="20"/>
              <w:jc w:val="left"/>
              <w:rPr>
                <w:rFonts w:cs="Arial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2170" w:type="pct"/>
            <w:shd w:val="clear" w:color="auto" w:fill="E6E6E6"/>
          </w:tcPr>
          <w:p w:rsidR="00BD6F9B" w:rsidRPr="00C70C35" w:rsidRDefault="00BD6F9B" w:rsidP="00775D77">
            <w:pPr>
              <w:pStyle w:val="BulletTableau"/>
              <w:framePr w:wrap="around"/>
              <w:spacing w:beforeLines="0" w:before="20" w:afterLines="0"/>
              <w:jc w:val="left"/>
            </w:pPr>
            <w:r w:rsidRPr="00C70C35">
              <w:t xml:space="preserve">Check </w:t>
            </w:r>
            <w:r w:rsidR="00367029" w:rsidRPr="00C70C35">
              <w:t>likely d</w:t>
            </w:r>
            <w:r w:rsidRPr="00C70C35">
              <w:t>onor strategies consider CTP in this context</w:t>
            </w:r>
          </w:p>
          <w:p w:rsidR="00BD6F9B" w:rsidRPr="00C70C35" w:rsidRDefault="00BD6F9B" w:rsidP="00775D77">
            <w:pPr>
              <w:pStyle w:val="BulletTableau"/>
              <w:framePr w:wrap="around"/>
              <w:spacing w:beforeLines="0" w:before="20" w:afterLines="0"/>
              <w:jc w:val="left"/>
            </w:pPr>
            <w:r w:rsidRPr="00C70C35">
              <w:t>Learn from past responses in similar contexts</w:t>
            </w:r>
          </w:p>
        </w:tc>
      </w:tr>
      <w:tr w:rsidR="00382808" w:rsidRPr="00C70C35" w:rsidTr="00382808">
        <w:tc>
          <w:tcPr>
            <w:tcW w:w="1311" w:type="pct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367029" w:rsidRPr="00C70C35" w:rsidRDefault="00367029" w:rsidP="00775D77">
            <w:pPr>
              <w:spacing w:before="20" w:after="20"/>
              <w:jc w:val="left"/>
              <w:rPr>
                <w:rFonts w:cs="Arial"/>
                <w:b/>
                <w:lang w:val="en-GB"/>
              </w:rPr>
            </w:pPr>
            <w:r w:rsidRPr="00C70C35">
              <w:rPr>
                <w:rFonts w:cs="Arial"/>
                <w:b/>
                <w:bCs/>
                <w:color w:val="000000"/>
                <w:lang w:val="en-GB" w:eastAsia="en-GB"/>
              </w:rPr>
              <w:t>Risks related to using third parties</w:t>
            </w:r>
          </w:p>
        </w:tc>
        <w:tc>
          <w:tcPr>
            <w:tcW w:w="457" w:type="pct"/>
            <w:shd w:val="clear" w:color="auto" w:fill="F3F3F3"/>
            <w:vAlign w:val="center"/>
          </w:tcPr>
          <w:p w:rsidR="00367029" w:rsidRPr="00C70C35" w:rsidRDefault="00367029" w:rsidP="00775D77">
            <w:pPr>
              <w:spacing w:before="20" w:after="20"/>
              <w:jc w:val="left"/>
              <w:rPr>
                <w:rFonts w:cs="Arial"/>
                <w:lang w:val="en-GB"/>
              </w:rPr>
            </w:pPr>
          </w:p>
        </w:tc>
        <w:tc>
          <w:tcPr>
            <w:tcW w:w="1062" w:type="pct"/>
            <w:shd w:val="clear" w:color="auto" w:fill="F3F3F3"/>
          </w:tcPr>
          <w:p w:rsidR="00367029" w:rsidRPr="00C70C35" w:rsidRDefault="00367029" w:rsidP="00775D77">
            <w:pPr>
              <w:spacing w:before="20" w:after="20"/>
              <w:jc w:val="left"/>
              <w:rPr>
                <w:rFonts w:cs="Arial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6E6E6"/>
          </w:tcPr>
          <w:p w:rsidR="00367029" w:rsidRPr="00C70C35" w:rsidRDefault="00367029" w:rsidP="00775D77">
            <w:pPr>
              <w:pStyle w:val="BulletTableau"/>
              <w:framePr w:wrap="around"/>
              <w:spacing w:beforeLines="0" w:before="20" w:afterLines="0"/>
              <w:jc w:val="left"/>
            </w:pPr>
            <w:r w:rsidRPr="00C70C35">
              <w:t>Use small, frequent cash distributions rather than one large installment</w:t>
            </w:r>
          </w:p>
          <w:p w:rsidR="00367029" w:rsidRPr="00C70C35" w:rsidRDefault="00367029" w:rsidP="00775D77">
            <w:pPr>
              <w:pStyle w:val="BulletTableau"/>
              <w:framePr w:wrap="around"/>
              <w:spacing w:beforeLines="0" w:before="20" w:afterLines="0"/>
              <w:jc w:val="left"/>
            </w:pPr>
            <w:r w:rsidRPr="00C70C35">
              <w:t>Inform public of the consequences of any security incidents (i.e. the program</w:t>
            </w:r>
            <w:r w:rsidR="004F7EB3" w:rsidRPr="00C70C35">
              <w:t>me</w:t>
            </w:r>
            <w:r w:rsidRPr="00C70C35">
              <w:t xml:space="preserve"> will be stopped, etc.)</w:t>
            </w:r>
          </w:p>
          <w:p w:rsidR="00367029" w:rsidRPr="00C70C35" w:rsidRDefault="00367029" w:rsidP="00775D77">
            <w:pPr>
              <w:pStyle w:val="BulletTableau"/>
              <w:framePr w:wrap="around"/>
              <w:spacing w:beforeLines="0" w:before="20" w:afterLines="0"/>
              <w:jc w:val="left"/>
            </w:pPr>
            <w:r w:rsidRPr="00C70C35">
              <w:t>Involve community when deciding where the safest distribution venue is</w:t>
            </w:r>
          </w:p>
          <w:p w:rsidR="00367029" w:rsidRPr="00C70C35" w:rsidRDefault="00367029" w:rsidP="00775D77">
            <w:pPr>
              <w:pStyle w:val="BulletTableau"/>
              <w:framePr w:wrap="around"/>
              <w:spacing w:beforeLines="0" w:before="20" w:afterLines="0"/>
              <w:jc w:val="left"/>
            </w:pPr>
            <w:r w:rsidRPr="00C70C35">
              <w:t>Monitor encashment process to see if agents are adhering to agreed upon process/standards</w:t>
            </w:r>
          </w:p>
          <w:p w:rsidR="00367029" w:rsidRPr="00C70C35" w:rsidRDefault="00367029" w:rsidP="00775D77">
            <w:pPr>
              <w:pStyle w:val="BulletTableau"/>
              <w:framePr w:wrap="around"/>
              <w:spacing w:beforeLines="0" w:before="20" w:afterLines="0"/>
              <w:jc w:val="left"/>
            </w:pPr>
            <w:r w:rsidRPr="00C70C35">
              <w:t xml:space="preserve">Post-encashment monitoring of beneficiaries to check </w:t>
            </w:r>
            <w:r w:rsidRPr="00C70C35">
              <w:lastRenderedPageBreak/>
              <w:t>if they were charged, harassed, etc.</w:t>
            </w:r>
          </w:p>
          <w:p w:rsidR="00367029" w:rsidRPr="00C70C35" w:rsidRDefault="00367029" w:rsidP="00775D77">
            <w:pPr>
              <w:pStyle w:val="BulletTableau"/>
              <w:framePr w:wrap="around"/>
              <w:spacing w:beforeLines="0" w:before="20" w:afterLines="0"/>
              <w:jc w:val="left"/>
            </w:pPr>
            <w:r w:rsidRPr="00C70C35">
              <w:t>Is there a hotline or complaint mechanism in place that beneficiaries can easily access?</w:t>
            </w:r>
          </w:p>
        </w:tc>
      </w:tr>
      <w:tr w:rsidR="00382808" w:rsidRPr="00C70C35" w:rsidTr="00382808">
        <w:trPr>
          <w:trHeight w:val="545"/>
        </w:trPr>
        <w:tc>
          <w:tcPr>
            <w:tcW w:w="1311" w:type="pct"/>
            <w:shd w:val="clear" w:color="auto" w:fill="A6A6A6"/>
            <w:vAlign w:val="center"/>
          </w:tcPr>
          <w:p w:rsidR="00367029" w:rsidRPr="00C70C35" w:rsidRDefault="00F42B9B" w:rsidP="00775D77">
            <w:pPr>
              <w:spacing w:before="20" w:after="20"/>
              <w:jc w:val="left"/>
              <w:rPr>
                <w:rFonts w:cs="Arial"/>
                <w:b/>
                <w:lang w:val="en-GB"/>
              </w:rPr>
            </w:pPr>
            <w:r w:rsidRPr="00C70C35">
              <w:rPr>
                <w:rFonts w:cs="Arial"/>
                <w:b/>
                <w:lang w:val="en-GB"/>
              </w:rPr>
              <w:lastRenderedPageBreak/>
              <w:t>Security risk to staff and v</w:t>
            </w:r>
            <w:r w:rsidR="00367029" w:rsidRPr="00C70C35">
              <w:rPr>
                <w:rFonts w:cs="Arial"/>
                <w:b/>
                <w:lang w:val="en-GB"/>
              </w:rPr>
              <w:t>olunteers</w:t>
            </w:r>
          </w:p>
        </w:tc>
        <w:tc>
          <w:tcPr>
            <w:tcW w:w="457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367029" w:rsidRPr="00C70C35" w:rsidRDefault="00367029" w:rsidP="00775D77">
            <w:pPr>
              <w:spacing w:before="20" w:after="20"/>
              <w:jc w:val="left"/>
              <w:rPr>
                <w:rFonts w:cs="Arial"/>
                <w:lang w:val="en-GB"/>
              </w:rPr>
            </w:pPr>
          </w:p>
        </w:tc>
        <w:tc>
          <w:tcPr>
            <w:tcW w:w="1062" w:type="pct"/>
            <w:shd w:val="clear" w:color="auto" w:fill="F3F3F3"/>
            <w:vAlign w:val="center"/>
          </w:tcPr>
          <w:p w:rsidR="00367029" w:rsidRPr="00C70C35" w:rsidRDefault="00367029" w:rsidP="00775D77">
            <w:pPr>
              <w:spacing w:before="20" w:after="20"/>
              <w:jc w:val="left"/>
              <w:rPr>
                <w:rFonts w:cs="Arial"/>
                <w:lang w:val="en-GB"/>
              </w:rPr>
            </w:pPr>
          </w:p>
        </w:tc>
        <w:tc>
          <w:tcPr>
            <w:tcW w:w="2170" w:type="pct"/>
            <w:shd w:val="clear" w:color="auto" w:fill="E6E6E6"/>
            <w:vAlign w:val="center"/>
          </w:tcPr>
          <w:p w:rsidR="00367029" w:rsidRPr="00C70C35" w:rsidRDefault="00367029" w:rsidP="00775D77">
            <w:pPr>
              <w:pStyle w:val="BulletTableau"/>
              <w:framePr w:wrap="around"/>
              <w:spacing w:beforeLines="0" w:before="20" w:afterLines="0"/>
              <w:jc w:val="left"/>
            </w:pPr>
            <w:r w:rsidRPr="00C70C35">
              <w:t xml:space="preserve">Recruit skilled staff/volunteers and provide adequate training </w:t>
            </w:r>
            <w:r w:rsidR="004F7EB3" w:rsidRPr="00C70C35">
              <w:t>about programme</w:t>
            </w:r>
            <w:r w:rsidRPr="00C70C35">
              <w:t xml:space="preserve"> implementation</w:t>
            </w:r>
          </w:p>
          <w:p w:rsidR="00367029" w:rsidRPr="00C70C35" w:rsidRDefault="00367029" w:rsidP="00775D77">
            <w:pPr>
              <w:pStyle w:val="BulletTableau"/>
              <w:framePr w:wrap="around"/>
              <w:spacing w:beforeLines="0" w:before="20" w:afterLines="0"/>
              <w:jc w:val="left"/>
            </w:pPr>
            <w:r w:rsidRPr="00C70C35">
              <w:t xml:space="preserve">Communicate intensively with national and local authorities, stakeholders and community leaders </w:t>
            </w:r>
          </w:p>
          <w:p w:rsidR="00367029" w:rsidRPr="00C70C35" w:rsidRDefault="00367029" w:rsidP="00775D77">
            <w:pPr>
              <w:pStyle w:val="BulletTableau"/>
              <w:framePr w:wrap="around"/>
              <w:spacing w:beforeLines="0" w:before="20" w:afterLines="0"/>
              <w:jc w:val="left"/>
            </w:pPr>
            <w:r w:rsidRPr="00C70C35">
              <w:t xml:space="preserve">Choose an appropriate cash transfer delivery mechanism </w:t>
            </w:r>
          </w:p>
          <w:p w:rsidR="00367029" w:rsidRPr="00C70C35" w:rsidRDefault="00367029" w:rsidP="00775D77">
            <w:pPr>
              <w:pStyle w:val="BulletTableau"/>
              <w:framePr w:wrap="around"/>
              <w:spacing w:beforeLines="0" w:before="20" w:afterLines="0"/>
              <w:jc w:val="left"/>
            </w:pPr>
            <w:r w:rsidRPr="00C70C35">
              <w:t xml:space="preserve">Ensure that beneficiary targeting is </w:t>
            </w:r>
            <w:r w:rsidR="004F7EB3" w:rsidRPr="00C70C35">
              <w:t xml:space="preserve">carried out </w:t>
            </w:r>
            <w:r w:rsidRPr="00C70C35">
              <w:t xml:space="preserve">in a transparent and participatory way </w:t>
            </w:r>
          </w:p>
          <w:p w:rsidR="00367029" w:rsidRPr="00C70C35" w:rsidRDefault="00367029" w:rsidP="00775D77">
            <w:pPr>
              <w:pStyle w:val="BulletTableau"/>
              <w:framePr w:wrap="around"/>
              <w:spacing w:beforeLines="0" w:before="20" w:afterLines="0"/>
              <w:jc w:val="left"/>
            </w:pPr>
            <w:r w:rsidRPr="00C70C35">
              <w:t>Design and implement complaint and feedbac</w:t>
            </w:r>
            <w:r w:rsidR="004F7EB3" w:rsidRPr="00C70C35">
              <w:t>k mechanism to allow beneficiaries to complain</w:t>
            </w:r>
            <w:r w:rsidRPr="00C70C35">
              <w:t xml:space="preserve"> in a peaceful way </w:t>
            </w:r>
          </w:p>
          <w:p w:rsidR="00367029" w:rsidRPr="00C70C35" w:rsidRDefault="00367029" w:rsidP="00775D77">
            <w:pPr>
              <w:pStyle w:val="BulletTableau"/>
              <w:framePr w:wrap="around"/>
              <w:spacing w:beforeLines="0" w:before="20" w:afterLines="0"/>
              <w:jc w:val="left"/>
            </w:pPr>
            <w:r w:rsidRPr="00C70C35">
              <w:t xml:space="preserve">Develop a good working relationship with other NGOs working in the same area </w:t>
            </w:r>
          </w:p>
          <w:p w:rsidR="00367029" w:rsidRPr="00C70C35" w:rsidRDefault="00367029" w:rsidP="00775D77">
            <w:pPr>
              <w:pStyle w:val="BulletTableau"/>
              <w:framePr w:wrap="around"/>
              <w:spacing w:beforeLines="0" w:before="20" w:afterLines="0"/>
              <w:jc w:val="left"/>
            </w:pPr>
            <w:r w:rsidRPr="00C70C35">
              <w:t>Ensure that the community understands the consequences of any threat to security (</w:t>
            </w:r>
            <w:r w:rsidR="00496D2E" w:rsidRPr="00C70C35">
              <w:t xml:space="preserve">that the </w:t>
            </w:r>
            <w:r w:rsidRPr="00C70C35">
              <w:t>program</w:t>
            </w:r>
            <w:r w:rsidR="004F7EB3" w:rsidRPr="00C70C35">
              <w:t>me</w:t>
            </w:r>
            <w:r w:rsidRPr="00C70C35">
              <w:t xml:space="preserve"> coul</w:t>
            </w:r>
            <w:r w:rsidR="00496D2E" w:rsidRPr="00C70C35">
              <w:t>d be withdrawn or</w:t>
            </w:r>
            <w:r w:rsidRPr="00C70C35">
              <w:t xml:space="preserve"> suspended</w:t>
            </w:r>
            <w:r w:rsidR="00496D2E" w:rsidRPr="00C70C35">
              <w:t>,</w:t>
            </w:r>
            <w:r w:rsidRPr="00C70C35">
              <w:t xml:space="preserve"> if necessary) </w:t>
            </w:r>
          </w:p>
        </w:tc>
      </w:tr>
      <w:tr w:rsidR="00382808" w:rsidRPr="00C70C35" w:rsidTr="00382808">
        <w:tc>
          <w:tcPr>
            <w:tcW w:w="1311" w:type="pct"/>
            <w:shd w:val="clear" w:color="auto" w:fill="A6A6A6"/>
            <w:vAlign w:val="center"/>
          </w:tcPr>
          <w:p w:rsidR="00367029" w:rsidRPr="00C70C35" w:rsidRDefault="00F42B9B" w:rsidP="00775D77">
            <w:pPr>
              <w:spacing w:before="20" w:after="20"/>
              <w:jc w:val="left"/>
              <w:rPr>
                <w:rFonts w:cs="Arial"/>
                <w:b/>
                <w:lang w:val="en-GB"/>
              </w:rPr>
            </w:pPr>
            <w:r w:rsidRPr="00C70C35">
              <w:rPr>
                <w:rFonts w:cs="Arial"/>
                <w:b/>
                <w:lang w:val="en-GB"/>
              </w:rPr>
              <w:t>Security risk to b</w:t>
            </w:r>
            <w:r w:rsidR="00367029" w:rsidRPr="00C70C35">
              <w:rPr>
                <w:rFonts w:cs="Arial"/>
                <w:b/>
                <w:lang w:val="en-GB"/>
              </w:rPr>
              <w:t>eneficiaries</w:t>
            </w:r>
          </w:p>
        </w:tc>
        <w:tc>
          <w:tcPr>
            <w:tcW w:w="457" w:type="pct"/>
            <w:shd w:val="clear" w:color="auto" w:fill="F3F3F3"/>
            <w:vAlign w:val="center"/>
          </w:tcPr>
          <w:p w:rsidR="00367029" w:rsidRPr="00C70C35" w:rsidRDefault="00367029" w:rsidP="00775D77">
            <w:pPr>
              <w:spacing w:before="20" w:after="20"/>
              <w:jc w:val="left"/>
              <w:rPr>
                <w:rFonts w:cs="Arial"/>
                <w:lang w:val="en-GB"/>
              </w:rPr>
            </w:pPr>
          </w:p>
        </w:tc>
        <w:tc>
          <w:tcPr>
            <w:tcW w:w="1062" w:type="pct"/>
            <w:shd w:val="clear" w:color="auto" w:fill="F3F3F3"/>
            <w:vAlign w:val="center"/>
          </w:tcPr>
          <w:p w:rsidR="00367029" w:rsidRPr="00C70C35" w:rsidRDefault="00367029" w:rsidP="00775D77">
            <w:pPr>
              <w:spacing w:before="20" w:after="20"/>
              <w:jc w:val="left"/>
              <w:rPr>
                <w:rFonts w:cs="Arial"/>
                <w:lang w:val="en-GB"/>
              </w:rPr>
            </w:pPr>
          </w:p>
        </w:tc>
        <w:tc>
          <w:tcPr>
            <w:tcW w:w="217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67029" w:rsidRPr="00C70C35" w:rsidRDefault="00367029" w:rsidP="00775D77">
            <w:pPr>
              <w:pStyle w:val="BulletTableau"/>
              <w:framePr w:wrap="around"/>
              <w:spacing w:beforeLines="0" w:before="20" w:afterLines="0"/>
              <w:jc w:val="left"/>
            </w:pPr>
            <w:r w:rsidRPr="00C70C35">
              <w:t>Select an appropriate type of relief/cash interventio</w:t>
            </w:r>
            <w:r w:rsidR="00496D2E" w:rsidRPr="00C70C35">
              <w:t>n and involve the community in</w:t>
            </w:r>
            <w:r w:rsidRPr="00C70C35">
              <w:t xml:space="preserve"> the process</w:t>
            </w:r>
          </w:p>
          <w:p w:rsidR="00367029" w:rsidRPr="00C70C35" w:rsidRDefault="00367029" w:rsidP="00775D77">
            <w:pPr>
              <w:pStyle w:val="BulletTableau"/>
              <w:framePr w:wrap="around"/>
              <w:spacing w:beforeLines="0" w:before="20" w:afterLines="0"/>
              <w:jc w:val="left"/>
            </w:pPr>
            <w:r w:rsidRPr="00C70C35">
              <w:t>Give beneficiaries some flexibility of when and where to collect their cash (not everyone should be collecting money at a specific time or</w:t>
            </w:r>
            <w:r w:rsidR="00496D2E" w:rsidRPr="00C70C35">
              <w:t xml:space="preserve"> on a specific</w:t>
            </w:r>
            <w:r w:rsidRPr="00C70C35">
              <w:t xml:space="preserve"> day)</w:t>
            </w:r>
          </w:p>
          <w:p w:rsidR="00367029" w:rsidRPr="00C70C35" w:rsidRDefault="00496D2E" w:rsidP="00775D77">
            <w:pPr>
              <w:pStyle w:val="BulletTableau"/>
              <w:framePr w:wrap="around"/>
              <w:spacing w:beforeLines="0" w:before="20" w:afterLines="0"/>
              <w:jc w:val="left"/>
            </w:pPr>
            <w:r w:rsidRPr="00C70C35">
              <w:t>Ensure that distribution/</w:t>
            </w:r>
            <w:r w:rsidR="00367029" w:rsidRPr="00C70C35">
              <w:t xml:space="preserve">payments are completed in time for beneficiaries to reach their homes during daylight </w:t>
            </w:r>
          </w:p>
          <w:p w:rsidR="00367029" w:rsidRPr="00C70C35" w:rsidRDefault="00367029" w:rsidP="00775D77">
            <w:pPr>
              <w:pStyle w:val="BulletTableau"/>
              <w:framePr w:wrap="around"/>
              <w:spacing w:beforeLines="0" w:before="20" w:afterLines="0"/>
              <w:jc w:val="left"/>
            </w:pPr>
            <w:r w:rsidRPr="00C70C35">
              <w:t>Consider specific security risks to women and seek community opinion on how best to mitigate or avoid the risks</w:t>
            </w:r>
          </w:p>
          <w:p w:rsidR="00367029" w:rsidRPr="00C70C35" w:rsidRDefault="00367029" w:rsidP="00775D77">
            <w:pPr>
              <w:pStyle w:val="BulletTableau"/>
              <w:framePr w:wrap="around"/>
              <w:spacing w:beforeLines="0" w:before="20" w:afterLines="0"/>
              <w:jc w:val="left"/>
            </w:pPr>
            <w:r w:rsidRPr="00C70C35">
              <w:t>For CFW activities, seek appropriate technical advice for the construction and rehabilitation of community assets to avoid injury during program</w:t>
            </w:r>
            <w:r w:rsidR="004F7EB3" w:rsidRPr="00C70C35">
              <w:t>me</w:t>
            </w:r>
            <w:r w:rsidRPr="00C70C35">
              <w:t xml:space="preserve"> implementation</w:t>
            </w:r>
          </w:p>
        </w:tc>
      </w:tr>
      <w:tr w:rsidR="00622B10" w:rsidRPr="00C70C35" w:rsidTr="00382808">
        <w:trPr>
          <w:trHeight w:val="20"/>
        </w:trPr>
        <w:tc>
          <w:tcPr>
            <w:tcW w:w="1311" w:type="pct"/>
            <w:shd w:val="clear" w:color="auto" w:fill="A6A6A6"/>
            <w:vAlign w:val="center"/>
          </w:tcPr>
          <w:p w:rsidR="00367029" w:rsidRPr="00C70C35" w:rsidRDefault="00367029" w:rsidP="00775D77">
            <w:pPr>
              <w:spacing w:before="20" w:after="20"/>
              <w:jc w:val="left"/>
              <w:rPr>
                <w:rFonts w:cs="Arial"/>
                <w:b/>
                <w:lang w:val="en-GB"/>
              </w:rPr>
            </w:pPr>
            <w:r w:rsidRPr="00C70C35">
              <w:rPr>
                <w:rFonts w:cs="Arial"/>
                <w:b/>
                <w:lang w:val="en-GB"/>
              </w:rPr>
              <w:t>Corruptio</w:t>
            </w:r>
            <w:r w:rsidR="00775D77">
              <w:rPr>
                <w:rFonts w:cs="Arial"/>
                <w:b/>
                <w:lang w:val="en-GB"/>
              </w:rPr>
              <w:t>n</w:t>
            </w:r>
            <w:r w:rsidRPr="00C70C35">
              <w:rPr>
                <w:rFonts w:cs="Arial"/>
                <w:b/>
                <w:lang w:val="en-GB"/>
              </w:rPr>
              <w:t xml:space="preserve"> </w:t>
            </w:r>
          </w:p>
        </w:tc>
        <w:tc>
          <w:tcPr>
            <w:tcW w:w="457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367029" w:rsidRPr="00C70C35" w:rsidRDefault="00367029" w:rsidP="00775D77">
            <w:pPr>
              <w:spacing w:before="20" w:after="20"/>
              <w:jc w:val="left"/>
              <w:rPr>
                <w:rFonts w:cs="Arial"/>
                <w:lang w:val="en-GB"/>
              </w:rPr>
            </w:pPr>
          </w:p>
        </w:tc>
        <w:tc>
          <w:tcPr>
            <w:tcW w:w="1062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367029" w:rsidRPr="00C70C35" w:rsidRDefault="00367029" w:rsidP="00775D77">
            <w:pPr>
              <w:spacing w:before="20" w:after="20"/>
              <w:jc w:val="left"/>
              <w:rPr>
                <w:rFonts w:cs="Arial"/>
                <w:lang w:val="en-GB"/>
              </w:rPr>
            </w:pPr>
          </w:p>
        </w:tc>
        <w:tc>
          <w:tcPr>
            <w:tcW w:w="217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67029" w:rsidRPr="00C70C35" w:rsidRDefault="00367029" w:rsidP="00775D77">
            <w:pPr>
              <w:pStyle w:val="BulletTableau"/>
              <w:framePr w:wrap="around"/>
              <w:spacing w:beforeLines="0" w:before="20" w:afterLines="0"/>
              <w:jc w:val="left"/>
            </w:pPr>
            <w:r w:rsidRPr="00C70C35">
              <w:t>Work closely with community leaders</w:t>
            </w:r>
          </w:p>
          <w:p w:rsidR="00367029" w:rsidRPr="00C70C35" w:rsidRDefault="00367029" w:rsidP="00775D77">
            <w:pPr>
              <w:pStyle w:val="BulletTableau"/>
              <w:framePr w:wrap="around"/>
              <w:spacing w:beforeLines="0" w:before="20" w:afterLines="0"/>
              <w:jc w:val="left"/>
            </w:pPr>
            <w:r w:rsidRPr="00C70C35">
              <w:t>Be open with the community about the project</w:t>
            </w:r>
          </w:p>
          <w:p w:rsidR="00367029" w:rsidRPr="00C70C35" w:rsidRDefault="00367029" w:rsidP="00775D77">
            <w:pPr>
              <w:pStyle w:val="BulletTableau"/>
              <w:framePr w:wrap="around"/>
              <w:spacing w:beforeLines="0" w:before="20" w:afterLines="0"/>
              <w:jc w:val="left"/>
            </w:pPr>
            <w:r w:rsidRPr="00C70C35">
              <w:t>Use clearly verifiable beneficiary targeting criteria and check beneficiary lists</w:t>
            </w:r>
          </w:p>
          <w:p w:rsidR="00367029" w:rsidRPr="00C70C35" w:rsidRDefault="00367029" w:rsidP="00775D77">
            <w:pPr>
              <w:pStyle w:val="BulletTableau"/>
              <w:framePr w:wrap="around"/>
              <w:spacing w:beforeLines="0" w:before="20" w:afterLines="0"/>
              <w:jc w:val="left"/>
            </w:pPr>
            <w:r w:rsidRPr="00C70C35">
              <w:lastRenderedPageBreak/>
              <w:t>Ensure that the beneficiaries are clear about their entitlements</w:t>
            </w:r>
          </w:p>
          <w:p w:rsidR="00367029" w:rsidRPr="00C70C35" w:rsidRDefault="00367029" w:rsidP="00775D77">
            <w:pPr>
              <w:pStyle w:val="BulletTableau"/>
              <w:framePr w:wrap="around"/>
              <w:spacing w:beforeLines="0" w:before="20" w:afterLines="0"/>
              <w:jc w:val="left"/>
            </w:pPr>
            <w:r w:rsidRPr="00C70C35">
              <w:t>Conduct post-distribution monitoring and ask beneficiaries if they received the correct amount of money</w:t>
            </w:r>
          </w:p>
          <w:p w:rsidR="00367029" w:rsidRPr="00C70C35" w:rsidRDefault="00367029" w:rsidP="00775D77">
            <w:pPr>
              <w:pStyle w:val="BulletTableau"/>
              <w:framePr w:wrap="around"/>
              <w:spacing w:beforeLines="0" w:before="20" w:afterLines="0"/>
              <w:jc w:val="left"/>
            </w:pPr>
            <w:r w:rsidRPr="00C70C35">
              <w:t xml:space="preserve">Ensure that beneficiaries are correctly identified during the payment process </w:t>
            </w:r>
          </w:p>
          <w:p w:rsidR="00367029" w:rsidRPr="00C70C35" w:rsidRDefault="00367029" w:rsidP="00775D77">
            <w:pPr>
              <w:pStyle w:val="BulletTableau"/>
              <w:framePr w:wrap="around"/>
              <w:spacing w:beforeLines="0" w:before="20" w:afterLines="0"/>
              <w:jc w:val="left"/>
            </w:pPr>
            <w:r w:rsidRPr="00C70C35">
              <w:t>Design a clear mechanism for community feedback to identify potential problems and to ensure quick reaction during program</w:t>
            </w:r>
            <w:r w:rsidR="004F7EB3" w:rsidRPr="00C70C35">
              <w:t>me</w:t>
            </w:r>
            <w:r w:rsidRPr="00C70C35">
              <w:t xml:space="preserve"> implementation </w:t>
            </w:r>
          </w:p>
        </w:tc>
      </w:tr>
      <w:tr w:rsidR="00382808" w:rsidRPr="00C70C35" w:rsidTr="00382808">
        <w:trPr>
          <w:trHeight w:val="569"/>
        </w:trPr>
        <w:tc>
          <w:tcPr>
            <w:tcW w:w="1311" w:type="pct"/>
            <w:shd w:val="clear" w:color="auto" w:fill="A6A6A6"/>
            <w:vAlign w:val="center"/>
          </w:tcPr>
          <w:p w:rsidR="00367029" w:rsidRPr="00C70C35" w:rsidRDefault="00367029" w:rsidP="00775D77">
            <w:pPr>
              <w:spacing w:before="20" w:after="20"/>
              <w:jc w:val="left"/>
              <w:rPr>
                <w:rFonts w:cs="Arial"/>
                <w:b/>
                <w:lang w:val="en-GB"/>
              </w:rPr>
            </w:pPr>
            <w:r w:rsidRPr="00C70C35">
              <w:rPr>
                <w:rFonts w:cs="Arial"/>
                <w:b/>
                <w:lang w:val="en-GB"/>
              </w:rPr>
              <w:lastRenderedPageBreak/>
              <w:t xml:space="preserve">Conflicts within the community </w:t>
            </w:r>
          </w:p>
        </w:tc>
        <w:tc>
          <w:tcPr>
            <w:tcW w:w="457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367029" w:rsidRPr="00C70C35" w:rsidRDefault="00367029" w:rsidP="00775D77">
            <w:pPr>
              <w:spacing w:before="20" w:after="20"/>
              <w:jc w:val="left"/>
              <w:rPr>
                <w:rFonts w:cs="Arial"/>
                <w:lang w:val="en-GB"/>
              </w:rPr>
            </w:pPr>
          </w:p>
        </w:tc>
        <w:tc>
          <w:tcPr>
            <w:tcW w:w="1062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367029" w:rsidRPr="00C70C35" w:rsidRDefault="00367029" w:rsidP="00775D77">
            <w:pPr>
              <w:spacing w:before="20" w:after="20"/>
              <w:jc w:val="left"/>
              <w:rPr>
                <w:rFonts w:cs="Arial"/>
                <w:lang w:val="en-GB"/>
              </w:rPr>
            </w:pPr>
          </w:p>
        </w:tc>
        <w:tc>
          <w:tcPr>
            <w:tcW w:w="217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67029" w:rsidRPr="00C70C35" w:rsidRDefault="00496D2E" w:rsidP="00775D77">
            <w:pPr>
              <w:pStyle w:val="BulletTableau"/>
              <w:framePr w:wrap="around"/>
              <w:spacing w:beforeLines="0" w:before="20" w:afterLines="0"/>
              <w:jc w:val="left"/>
            </w:pPr>
            <w:r w:rsidRPr="00C70C35">
              <w:t>Encourage c</w:t>
            </w:r>
            <w:r w:rsidR="00367029" w:rsidRPr="00C70C35">
              <w:t>ommu</w:t>
            </w:r>
            <w:r w:rsidRPr="00C70C35">
              <w:t>nity mobilization and awareness-raising about</w:t>
            </w:r>
            <w:r w:rsidR="00367029" w:rsidRPr="00C70C35">
              <w:t xml:space="preserve"> the purpose of the project and selected beneficiaries </w:t>
            </w:r>
          </w:p>
          <w:p w:rsidR="00367029" w:rsidRPr="00C70C35" w:rsidRDefault="00496D2E" w:rsidP="00775D77">
            <w:pPr>
              <w:pStyle w:val="BulletTableau"/>
              <w:framePr w:wrap="around"/>
              <w:spacing w:beforeLines="0" w:before="20" w:afterLines="0"/>
              <w:jc w:val="left"/>
            </w:pPr>
            <w:r w:rsidRPr="00C70C35">
              <w:t xml:space="preserve">Ensure that </w:t>
            </w:r>
            <w:r w:rsidR="00367029" w:rsidRPr="00C70C35">
              <w:t>the community and community leaders</w:t>
            </w:r>
            <w:r w:rsidRPr="00C70C35">
              <w:t xml:space="preserve"> </w:t>
            </w:r>
            <w:r w:rsidR="00EF732F" w:rsidRPr="00C70C35">
              <w:t>participate</w:t>
            </w:r>
            <w:r w:rsidR="00367029" w:rsidRPr="00C70C35">
              <w:t xml:space="preserve"> throughout the project cycle</w:t>
            </w:r>
          </w:p>
          <w:p w:rsidR="00367029" w:rsidRPr="00C70C35" w:rsidRDefault="00496D2E" w:rsidP="00775D77">
            <w:pPr>
              <w:pStyle w:val="BulletTableau"/>
              <w:framePr w:wrap="around"/>
              <w:spacing w:beforeLines="0" w:before="20" w:afterLines="0"/>
              <w:jc w:val="left"/>
            </w:pPr>
            <w:r w:rsidRPr="00C70C35">
              <w:t>Use community-based targeting and</w:t>
            </w:r>
            <w:r w:rsidR="00367029" w:rsidRPr="00C70C35">
              <w:t xml:space="preserve"> a transparent process</w:t>
            </w:r>
            <w:r w:rsidRPr="00C70C35">
              <w:t xml:space="preserve"> as this</w:t>
            </w:r>
            <w:r w:rsidR="00367029" w:rsidRPr="00C70C35">
              <w:t xml:space="preserve"> will help reduce tensions between beneficiaries and non- beneficiaries</w:t>
            </w:r>
          </w:p>
          <w:p w:rsidR="00367029" w:rsidRPr="00C70C35" w:rsidRDefault="00367029" w:rsidP="00775D77">
            <w:pPr>
              <w:pStyle w:val="BulletTableau"/>
              <w:framePr w:wrap="around"/>
              <w:spacing w:beforeLines="0" w:before="20" w:afterLines="0"/>
              <w:jc w:val="left"/>
            </w:pPr>
            <w:r w:rsidRPr="00C70C35">
              <w:t>Ensure t</w:t>
            </w:r>
            <w:r w:rsidR="00496D2E" w:rsidRPr="00C70C35">
              <w:t>hat payments are made on time: d</w:t>
            </w:r>
            <w:r w:rsidRPr="00C70C35">
              <w:t>elays in payment can increase</w:t>
            </w:r>
            <w:r w:rsidR="00496D2E" w:rsidRPr="00C70C35">
              <w:t xml:space="preserve"> the</w:t>
            </w:r>
            <w:r w:rsidRPr="00C70C35">
              <w:t xml:space="preserve"> vulnerability of targeted households and cause tension within the community</w:t>
            </w:r>
          </w:p>
          <w:p w:rsidR="00367029" w:rsidRPr="00C70C35" w:rsidRDefault="00496D2E" w:rsidP="00775D77">
            <w:pPr>
              <w:pStyle w:val="BulletTableau"/>
              <w:framePr w:wrap="around"/>
              <w:spacing w:beforeLines="0" w:before="20" w:afterLines="0"/>
              <w:jc w:val="left"/>
            </w:pPr>
            <w:r w:rsidRPr="00C70C35">
              <w:t>Develop a c</w:t>
            </w:r>
            <w:r w:rsidR="00367029" w:rsidRPr="00C70C35">
              <w:t xml:space="preserve">lear exit strategy to help limit expectations </w:t>
            </w:r>
          </w:p>
        </w:tc>
      </w:tr>
      <w:tr w:rsidR="00382808" w:rsidRPr="00C70C35" w:rsidTr="00382808">
        <w:tc>
          <w:tcPr>
            <w:tcW w:w="1311" w:type="pct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367029" w:rsidRPr="00C70C35" w:rsidRDefault="00367029" w:rsidP="00775D77">
            <w:pPr>
              <w:spacing w:before="20" w:after="20"/>
              <w:jc w:val="left"/>
              <w:rPr>
                <w:rFonts w:cs="Arial"/>
                <w:b/>
                <w:lang w:val="en-GB"/>
              </w:rPr>
            </w:pPr>
            <w:r w:rsidRPr="00C70C35">
              <w:rPr>
                <w:rFonts w:cs="Arial"/>
                <w:b/>
                <w:lang w:val="en-GB"/>
              </w:rPr>
              <w:t xml:space="preserve">Inflation </w:t>
            </w:r>
          </w:p>
        </w:tc>
        <w:tc>
          <w:tcPr>
            <w:tcW w:w="457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367029" w:rsidRPr="00C70C35" w:rsidRDefault="00367029" w:rsidP="00775D77">
            <w:pPr>
              <w:spacing w:before="20" w:after="20"/>
              <w:jc w:val="left"/>
              <w:rPr>
                <w:rFonts w:cs="Arial"/>
                <w:lang w:val="en-GB"/>
              </w:rPr>
            </w:pPr>
          </w:p>
        </w:tc>
        <w:tc>
          <w:tcPr>
            <w:tcW w:w="1062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367029" w:rsidRPr="00C70C35" w:rsidRDefault="00367029" w:rsidP="00775D77">
            <w:pPr>
              <w:spacing w:before="20" w:after="20"/>
              <w:jc w:val="left"/>
              <w:rPr>
                <w:rFonts w:cs="Arial"/>
                <w:lang w:val="en-GB"/>
              </w:rPr>
            </w:pPr>
          </w:p>
        </w:tc>
        <w:tc>
          <w:tcPr>
            <w:tcW w:w="217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67029" w:rsidRPr="00C70C35" w:rsidRDefault="00367029" w:rsidP="00775D77">
            <w:pPr>
              <w:pStyle w:val="BulletTableau"/>
              <w:framePr w:wrap="around"/>
              <w:spacing w:beforeLines="0" w:before="20" w:afterLines="0"/>
              <w:jc w:val="left"/>
            </w:pPr>
            <w:r w:rsidRPr="00C70C35">
              <w:t>If using a voucher approach, ensure that as many traders as possible are participating, to help ensure a competitive market</w:t>
            </w:r>
          </w:p>
          <w:p w:rsidR="00367029" w:rsidRPr="00C70C35" w:rsidRDefault="00367029" w:rsidP="00775D77">
            <w:pPr>
              <w:pStyle w:val="BulletTableau"/>
              <w:framePr w:wrap="around"/>
              <w:spacing w:beforeLines="0" w:before="20" w:afterLines="0"/>
              <w:jc w:val="left"/>
            </w:pPr>
            <w:r w:rsidRPr="00C70C35">
              <w:t>Monitor prices of food and non-food items in neighbouring markets to check that</w:t>
            </w:r>
            <w:r w:rsidR="00496D2E" w:rsidRPr="00C70C35">
              <w:t xml:space="preserve"> the market in the</w:t>
            </w:r>
            <w:r w:rsidRPr="00C70C35">
              <w:t xml:space="preserve"> project area is not increasing prices</w:t>
            </w:r>
            <w:r w:rsidR="00496D2E" w:rsidRPr="00C70C35">
              <w:t xml:space="preserve"> unfairly </w:t>
            </w:r>
          </w:p>
          <w:p w:rsidR="00367029" w:rsidRPr="00C70C35" w:rsidRDefault="00367029" w:rsidP="00214372">
            <w:pPr>
              <w:pStyle w:val="BulletTableau"/>
              <w:framePr w:wrap="around"/>
              <w:spacing w:beforeLines="0" w:before="20" w:afterLines="0"/>
              <w:jc w:val="left"/>
            </w:pPr>
            <w:r w:rsidRPr="00C70C35">
              <w:t>Check exchange rates on a regular basis to ensure that cash retains its value</w:t>
            </w:r>
            <w:r w:rsidR="00496D2E" w:rsidRPr="00C70C35">
              <w:t xml:space="preserve"> when</w:t>
            </w:r>
            <w:r w:rsidRPr="00C70C35">
              <w:t xml:space="preserve"> compared to the original</w:t>
            </w:r>
            <w:r w:rsidR="00496D2E" w:rsidRPr="00C70C35">
              <w:t xml:space="preserve"> value</w:t>
            </w:r>
            <w:r w:rsidRPr="00C70C35">
              <w:t xml:space="preserve"> of the cash grant</w:t>
            </w:r>
          </w:p>
        </w:tc>
      </w:tr>
      <w:tr w:rsidR="008422B2" w:rsidRPr="00C70C35" w:rsidTr="00C05762">
        <w:tc>
          <w:tcPr>
            <w:tcW w:w="0" w:type="auto"/>
            <w:gridSpan w:val="4"/>
            <w:shd w:val="clear" w:color="auto" w:fill="E6E6E6"/>
            <w:vAlign w:val="center"/>
          </w:tcPr>
          <w:p w:rsidR="008422B2" w:rsidRPr="00C70C35" w:rsidRDefault="008422B2" w:rsidP="00C05762">
            <w:pPr>
              <w:spacing w:before="60" w:after="60"/>
              <w:rPr>
                <w:rFonts w:cs="Arial"/>
                <w:b/>
                <w:lang w:val="en-GB"/>
              </w:rPr>
            </w:pPr>
            <w:r w:rsidRPr="00C70C35">
              <w:rPr>
                <w:b/>
                <w:lang w:val="en-GB"/>
              </w:rPr>
              <w:t>Institutional risk (financial, reputational and strategic risk):</w:t>
            </w:r>
          </w:p>
        </w:tc>
      </w:tr>
      <w:tr w:rsidR="00382808" w:rsidRPr="00C70C35" w:rsidTr="00382808">
        <w:trPr>
          <w:trHeight w:val="838"/>
        </w:trPr>
        <w:tc>
          <w:tcPr>
            <w:tcW w:w="1311" w:type="pct"/>
            <w:shd w:val="clear" w:color="auto" w:fill="A6A6A6"/>
            <w:vAlign w:val="center"/>
          </w:tcPr>
          <w:p w:rsidR="00367029" w:rsidRPr="00C70C35" w:rsidRDefault="00F42B9B" w:rsidP="00775D77">
            <w:pPr>
              <w:spacing w:before="20" w:after="20"/>
              <w:jc w:val="left"/>
              <w:rPr>
                <w:rFonts w:cs="Arial"/>
                <w:lang w:val="en-GB"/>
              </w:rPr>
            </w:pPr>
            <w:r w:rsidRPr="00C70C35">
              <w:rPr>
                <w:rFonts w:cs="Arial"/>
                <w:b/>
                <w:bCs/>
                <w:color w:val="000000"/>
                <w:lang w:val="en-GB" w:eastAsia="en-GB"/>
              </w:rPr>
              <w:t>Accountability, fraud and c</w:t>
            </w:r>
            <w:r w:rsidR="002C021E" w:rsidRPr="00C70C35">
              <w:rPr>
                <w:rFonts w:cs="Arial"/>
                <w:b/>
                <w:bCs/>
                <w:color w:val="000000"/>
                <w:lang w:val="en-GB" w:eastAsia="en-GB"/>
              </w:rPr>
              <w:t>orruption r</w:t>
            </w:r>
            <w:r w:rsidR="00367029" w:rsidRPr="00C70C35">
              <w:rPr>
                <w:rFonts w:cs="Arial"/>
                <w:b/>
                <w:bCs/>
                <w:color w:val="000000"/>
                <w:lang w:val="en-GB" w:eastAsia="en-GB"/>
              </w:rPr>
              <w:t>isks</w:t>
            </w:r>
          </w:p>
        </w:tc>
        <w:tc>
          <w:tcPr>
            <w:tcW w:w="457" w:type="pct"/>
            <w:shd w:val="clear" w:color="auto" w:fill="F3F3F3"/>
          </w:tcPr>
          <w:p w:rsidR="00367029" w:rsidRPr="00C70C35" w:rsidRDefault="00367029" w:rsidP="00775D77">
            <w:pPr>
              <w:spacing w:before="20" w:after="20"/>
              <w:jc w:val="left"/>
              <w:rPr>
                <w:rFonts w:cs="Arial"/>
                <w:lang w:val="en-GB"/>
              </w:rPr>
            </w:pPr>
          </w:p>
        </w:tc>
        <w:tc>
          <w:tcPr>
            <w:tcW w:w="1062" w:type="pct"/>
            <w:shd w:val="clear" w:color="auto" w:fill="F3F3F3"/>
            <w:vAlign w:val="center"/>
          </w:tcPr>
          <w:p w:rsidR="00367029" w:rsidRPr="00C70C35" w:rsidRDefault="00367029" w:rsidP="00775D77">
            <w:pPr>
              <w:spacing w:before="20" w:after="20"/>
              <w:jc w:val="left"/>
              <w:rPr>
                <w:rFonts w:cs="Arial"/>
                <w:lang w:val="en-GB"/>
              </w:rPr>
            </w:pPr>
          </w:p>
        </w:tc>
        <w:tc>
          <w:tcPr>
            <w:tcW w:w="2170" w:type="pct"/>
            <w:shd w:val="clear" w:color="auto" w:fill="E6E6E6"/>
            <w:vAlign w:val="center"/>
          </w:tcPr>
          <w:p w:rsidR="00367029" w:rsidRPr="00C70C35" w:rsidRDefault="00367029" w:rsidP="00775D77">
            <w:pPr>
              <w:pStyle w:val="BulletTableau"/>
              <w:framePr w:wrap="around"/>
              <w:spacing w:beforeLines="0" w:before="20" w:afterLines="0"/>
              <w:jc w:val="left"/>
            </w:pPr>
            <w:r w:rsidRPr="00C70C35">
              <w:t>Check that financial transactions secure</w:t>
            </w:r>
          </w:p>
          <w:p w:rsidR="00367029" w:rsidRPr="00C70C35" w:rsidRDefault="00511FBB" w:rsidP="00775D77">
            <w:pPr>
              <w:pStyle w:val="BulletTableau"/>
              <w:framePr w:wrap="around"/>
              <w:spacing w:beforeLines="0" w:before="20" w:afterLines="0"/>
              <w:jc w:val="left"/>
            </w:pPr>
            <w:r w:rsidRPr="00C70C35">
              <w:t>I</w:t>
            </w:r>
            <w:r w:rsidR="00367029" w:rsidRPr="00C70C35">
              <w:t xml:space="preserve">dentify any large scale fraud possibilities </w:t>
            </w:r>
          </w:p>
          <w:p w:rsidR="00367029" w:rsidRPr="00C70C35" w:rsidRDefault="00367029" w:rsidP="00775D77">
            <w:pPr>
              <w:pStyle w:val="BulletTableau"/>
              <w:framePr w:wrap="around"/>
              <w:spacing w:beforeLines="0" w:before="20" w:afterLines="0"/>
              <w:jc w:val="left"/>
            </w:pPr>
            <w:r w:rsidRPr="00C70C35">
              <w:t>Identify any reputation risk for the organisation</w:t>
            </w:r>
          </w:p>
        </w:tc>
      </w:tr>
      <w:tr w:rsidR="00382808" w:rsidRPr="00C70C35" w:rsidTr="00382808">
        <w:trPr>
          <w:trHeight w:val="1184"/>
        </w:trPr>
        <w:tc>
          <w:tcPr>
            <w:tcW w:w="1311" w:type="pct"/>
            <w:shd w:val="clear" w:color="auto" w:fill="A6A6A6"/>
            <w:vAlign w:val="center"/>
          </w:tcPr>
          <w:p w:rsidR="00367029" w:rsidRPr="00C70C35" w:rsidRDefault="002C021E" w:rsidP="00775D77">
            <w:pPr>
              <w:spacing w:before="20" w:after="20"/>
              <w:jc w:val="left"/>
              <w:rPr>
                <w:rFonts w:cs="Arial"/>
                <w:b/>
                <w:lang w:val="en-GB"/>
              </w:rPr>
            </w:pPr>
            <w:r w:rsidRPr="00C70C35">
              <w:rPr>
                <w:rFonts w:cs="Arial"/>
                <w:b/>
                <w:bCs/>
                <w:color w:val="000000"/>
                <w:lang w:val="en-GB" w:eastAsia="en-GB"/>
              </w:rPr>
              <w:lastRenderedPageBreak/>
              <w:t>Strategic r</w:t>
            </w:r>
            <w:r w:rsidR="00367029" w:rsidRPr="00C70C35">
              <w:rPr>
                <w:rFonts w:cs="Arial"/>
                <w:b/>
                <w:bCs/>
                <w:color w:val="000000"/>
                <w:lang w:val="en-GB" w:eastAsia="en-GB"/>
              </w:rPr>
              <w:t xml:space="preserve">isks </w:t>
            </w:r>
            <w:r w:rsidR="00367029" w:rsidRPr="00C70C35">
              <w:rPr>
                <w:rFonts w:cs="Arial"/>
                <w:b/>
                <w:color w:val="000000"/>
                <w:lang w:val="en-GB" w:eastAsia="en-GB"/>
              </w:rPr>
              <w:t xml:space="preserve">for the </w:t>
            </w:r>
            <w:r w:rsidR="00F42B9B" w:rsidRPr="00C70C35">
              <w:rPr>
                <w:rFonts w:cs="Arial"/>
                <w:b/>
                <w:color w:val="000000"/>
                <w:lang w:val="en-GB" w:eastAsia="en-GB"/>
              </w:rPr>
              <w:t xml:space="preserve">National Society /the </w:t>
            </w:r>
            <w:r w:rsidR="00367029" w:rsidRPr="00C70C35">
              <w:rPr>
                <w:rFonts w:cs="Arial"/>
                <w:b/>
                <w:color w:val="000000"/>
                <w:lang w:val="en-GB" w:eastAsia="en-GB"/>
              </w:rPr>
              <w:t>Movement</w:t>
            </w:r>
          </w:p>
        </w:tc>
        <w:tc>
          <w:tcPr>
            <w:tcW w:w="457" w:type="pct"/>
            <w:shd w:val="clear" w:color="auto" w:fill="F3F3F3"/>
          </w:tcPr>
          <w:p w:rsidR="00367029" w:rsidRPr="00C70C35" w:rsidRDefault="00367029" w:rsidP="00775D77">
            <w:pPr>
              <w:spacing w:before="20" w:after="20"/>
              <w:jc w:val="left"/>
              <w:rPr>
                <w:rFonts w:cs="Arial"/>
                <w:i/>
                <w:lang w:val="en-GB"/>
              </w:rPr>
            </w:pPr>
          </w:p>
        </w:tc>
        <w:tc>
          <w:tcPr>
            <w:tcW w:w="1062" w:type="pct"/>
            <w:shd w:val="clear" w:color="auto" w:fill="F3F3F3"/>
            <w:vAlign w:val="center"/>
          </w:tcPr>
          <w:p w:rsidR="00367029" w:rsidRPr="00C70C35" w:rsidRDefault="00367029" w:rsidP="00775D77">
            <w:pPr>
              <w:spacing w:before="20" w:after="20"/>
              <w:jc w:val="left"/>
              <w:rPr>
                <w:rFonts w:cs="Arial"/>
                <w:lang w:val="en-GB"/>
              </w:rPr>
            </w:pPr>
          </w:p>
        </w:tc>
        <w:tc>
          <w:tcPr>
            <w:tcW w:w="2170" w:type="pct"/>
            <w:shd w:val="clear" w:color="auto" w:fill="E6E6E6"/>
            <w:vAlign w:val="center"/>
          </w:tcPr>
          <w:p w:rsidR="00367029" w:rsidRPr="00C70C35" w:rsidRDefault="00367029" w:rsidP="00775D77">
            <w:pPr>
              <w:pStyle w:val="BulletTableau"/>
              <w:framePr w:wrap="around"/>
              <w:spacing w:beforeLines="0" w:before="20" w:afterLines="0"/>
              <w:jc w:val="left"/>
            </w:pPr>
            <w:r w:rsidRPr="00C70C35">
              <w:t>Ensure CTPs are compliant with national regulations</w:t>
            </w:r>
          </w:p>
          <w:p w:rsidR="00367029" w:rsidRPr="00C70C35" w:rsidRDefault="00367029" w:rsidP="00775D77">
            <w:pPr>
              <w:pStyle w:val="BulletTableau"/>
              <w:framePr w:wrap="around"/>
              <w:spacing w:beforeLines="0" w:before="20" w:afterLines="0"/>
              <w:jc w:val="left"/>
            </w:pPr>
            <w:r w:rsidRPr="00C70C35">
              <w:t>Ensure CTPs are compliant with</w:t>
            </w:r>
            <w:r w:rsidR="00EF732F" w:rsidRPr="00C70C35">
              <w:t xml:space="preserve"> the</w:t>
            </w:r>
            <w:r w:rsidRPr="00C70C35">
              <w:t xml:space="preserve"> Movement regulations</w:t>
            </w:r>
          </w:p>
          <w:p w:rsidR="00367029" w:rsidRPr="00C70C35" w:rsidRDefault="00367029" w:rsidP="00775D77">
            <w:pPr>
              <w:pStyle w:val="BulletTableau"/>
              <w:framePr w:wrap="around"/>
              <w:spacing w:beforeLines="0" w:before="20" w:afterLines="0"/>
              <w:jc w:val="left"/>
            </w:pPr>
            <w:r w:rsidRPr="00C70C35">
              <w:t>Disseminate SOPs to all involved</w:t>
            </w:r>
          </w:p>
          <w:p w:rsidR="00367029" w:rsidRPr="00C70C35" w:rsidRDefault="00367029" w:rsidP="00775D77">
            <w:pPr>
              <w:pStyle w:val="BulletTableau"/>
              <w:framePr w:wrap="around"/>
              <w:spacing w:beforeLines="0" w:before="20" w:afterLines="0"/>
              <w:jc w:val="left"/>
            </w:pPr>
            <w:r w:rsidRPr="00C70C35">
              <w:t xml:space="preserve">Align cash transfer and in-kind control procedures </w:t>
            </w:r>
          </w:p>
        </w:tc>
      </w:tr>
      <w:tr w:rsidR="00382808" w:rsidRPr="00C70C35" w:rsidTr="00382808">
        <w:trPr>
          <w:trHeight w:val="573"/>
        </w:trPr>
        <w:tc>
          <w:tcPr>
            <w:tcW w:w="1311" w:type="pct"/>
            <w:shd w:val="clear" w:color="auto" w:fill="A6A6A6"/>
            <w:vAlign w:val="center"/>
          </w:tcPr>
          <w:p w:rsidR="00367029" w:rsidRPr="00C70C35" w:rsidRDefault="00367029" w:rsidP="00775D77">
            <w:pPr>
              <w:spacing w:before="20" w:after="20"/>
              <w:jc w:val="left"/>
              <w:rPr>
                <w:rFonts w:cs="Arial"/>
                <w:b/>
                <w:bCs/>
                <w:color w:val="000000"/>
                <w:lang w:val="en-GB" w:eastAsia="en-GB"/>
              </w:rPr>
            </w:pPr>
            <w:r w:rsidRPr="00C70C35">
              <w:rPr>
                <w:rFonts w:cs="Arial"/>
                <w:b/>
                <w:bCs/>
                <w:color w:val="000000"/>
                <w:lang w:val="en-GB" w:eastAsia="en-GB"/>
              </w:rPr>
              <w:t>Relationship to other actors</w:t>
            </w:r>
          </w:p>
        </w:tc>
        <w:tc>
          <w:tcPr>
            <w:tcW w:w="457" w:type="pct"/>
            <w:shd w:val="clear" w:color="auto" w:fill="F3F3F3"/>
          </w:tcPr>
          <w:p w:rsidR="00367029" w:rsidRPr="00C70C35" w:rsidRDefault="00367029" w:rsidP="00775D77">
            <w:pPr>
              <w:spacing w:before="20" w:after="20"/>
              <w:contextualSpacing/>
              <w:jc w:val="left"/>
              <w:rPr>
                <w:rFonts w:cs="Arial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1062" w:type="pct"/>
            <w:shd w:val="clear" w:color="auto" w:fill="F3F3F3"/>
            <w:vAlign w:val="center"/>
          </w:tcPr>
          <w:p w:rsidR="00367029" w:rsidRPr="00C70C35" w:rsidRDefault="00367029" w:rsidP="00775D77">
            <w:pPr>
              <w:spacing w:before="20" w:after="20"/>
              <w:jc w:val="left"/>
              <w:rPr>
                <w:rFonts w:cs="Arial"/>
                <w:lang w:val="en-GB"/>
              </w:rPr>
            </w:pPr>
          </w:p>
        </w:tc>
        <w:tc>
          <w:tcPr>
            <w:tcW w:w="217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67029" w:rsidRPr="00C70C35" w:rsidRDefault="00367029" w:rsidP="00775D77">
            <w:pPr>
              <w:pStyle w:val="BulletTableau"/>
              <w:framePr w:wrap="around"/>
              <w:spacing w:beforeLines="0" w:before="20" w:afterLines="0"/>
              <w:jc w:val="left"/>
            </w:pPr>
            <w:r w:rsidRPr="00C70C35">
              <w:t xml:space="preserve">Ensure </w:t>
            </w:r>
            <w:r w:rsidR="00496D2E" w:rsidRPr="00C70C35">
              <w:t xml:space="preserve">that </w:t>
            </w:r>
            <w:r w:rsidRPr="00C70C35">
              <w:t xml:space="preserve">CTP activities </w:t>
            </w:r>
            <w:r w:rsidR="00496D2E" w:rsidRPr="00C70C35">
              <w:t xml:space="preserve">are </w:t>
            </w:r>
            <w:r w:rsidRPr="00C70C35">
              <w:t xml:space="preserve">coherent with other key </w:t>
            </w:r>
            <w:r w:rsidR="00496D2E" w:rsidRPr="00C70C35">
              <w:t xml:space="preserve">humanitarian actors </w:t>
            </w:r>
            <w:r w:rsidRPr="00C70C35">
              <w:t>(transfer value, delivery mechanism, targeting, etc.)</w:t>
            </w:r>
          </w:p>
        </w:tc>
      </w:tr>
      <w:tr w:rsidR="00382808" w:rsidRPr="00C70C35" w:rsidTr="00382808">
        <w:tc>
          <w:tcPr>
            <w:tcW w:w="1311" w:type="pct"/>
            <w:shd w:val="clear" w:color="auto" w:fill="A6A6A6"/>
            <w:vAlign w:val="center"/>
          </w:tcPr>
          <w:p w:rsidR="00367029" w:rsidRPr="00C70C35" w:rsidRDefault="00367029" w:rsidP="00382808">
            <w:pPr>
              <w:spacing w:before="360" w:after="240"/>
              <w:jc w:val="left"/>
              <w:rPr>
                <w:rFonts w:cs="Arial"/>
                <w:b/>
                <w:lang w:val="en-GB"/>
              </w:rPr>
            </w:pPr>
            <w:r w:rsidRPr="00C70C35">
              <w:rPr>
                <w:rFonts w:cs="Arial"/>
                <w:b/>
                <w:lang w:val="en-GB"/>
              </w:rPr>
              <w:t>Others</w:t>
            </w:r>
          </w:p>
        </w:tc>
        <w:tc>
          <w:tcPr>
            <w:tcW w:w="457" w:type="pct"/>
            <w:shd w:val="clear" w:color="auto" w:fill="F3F3F3"/>
            <w:vAlign w:val="center"/>
          </w:tcPr>
          <w:p w:rsidR="00367029" w:rsidRPr="00C70C35" w:rsidRDefault="00367029" w:rsidP="00382808">
            <w:pPr>
              <w:spacing w:before="360" w:after="240"/>
              <w:jc w:val="left"/>
              <w:rPr>
                <w:rFonts w:cs="Arial"/>
                <w:lang w:val="en-GB"/>
              </w:rPr>
            </w:pPr>
          </w:p>
        </w:tc>
        <w:tc>
          <w:tcPr>
            <w:tcW w:w="1062" w:type="pct"/>
            <w:shd w:val="clear" w:color="auto" w:fill="F3F3F3"/>
            <w:vAlign w:val="center"/>
          </w:tcPr>
          <w:p w:rsidR="00367029" w:rsidRPr="00C70C35" w:rsidRDefault="00367029" w:rsidP="00382808">
            <w:pPr>
              <w:spacing w:before="360" w:after="240"/>
              <w:jc w:val="left"/>
              <w:rPr>
                <w:rFonts w:cs="Arial"/>
                <w:lang w:val="en-GB"/>
              </w:rPr>
            </w:pPr>
          </w:p>
        </w:tc>
        <w:tc>
          <w:tcPr>
            <w:tcW w:w="2170" w:type="pct"/>
            <w:shd w:val="clear" w:color="auto" w:fill="E6E6E6"/>
            <w:vAlign w:val="center"/>
          </w:tcPr>
          <w:p w:rsidR="00367029" w:rsidRPr="00C70C35" w:rsidRDefault="00367029" w:rsidP="00382808">
            <w:pPr>
              <w:spacing w:before="360" w:after="240"/>
              <w:jc w:val="left"/>
              <w:rPr>
                <w:rFonts w:cs="Arial"/>
                <w:lang w:val="en-GB"/>
              </w:rPr>
            </w:pPr>
          </w:p>
        </w:tc>
      </w:tr>
    </w:tbl>
    <w:p w:rsidR="000F5173" w:rsidRPr="00C70C35" w:rsidRDefault="000F5173" w:rsidP="007030E8">
      <w:pPr>
        <w:tabs>
          <w:tab w:val="left" w:pos="6064"/>
        </w:tabs>
        <w:rPr>
          <w:rFonts w:cs="Arial"/>
        </w:rPr>
      </w:pPr>
    </w:p>
    <w:sectPr w:rsidR="000F5173" w:rsidRPr="00C70C35" w:rsidSect="00261765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080" w:right="956" w:bottom="1080" w:left="1134" w:header="426" w:footer="720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340" w:rsidRDefault="00DA6340" w:rsidP="009F17AC">
      <w:pPr>
        <w:spacing w:after="0"/>
      </w:pPr>
      <w:r>
        <w:separator/>
      </w:r>
    </w:p>
  </w:endnote>
  <w:endnote w:type="continuationSeparator" w:id="0">
    <w:p w:rsidR="00DA6340" w:rsidRDefault="00DA6340" w:rsidP="009F17A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B4A" w:rsidRDefault="009A4440" w:rsidP="007E65C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10B4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10B4A" w:rsidRDefault="009A4440" w:rsidP="007E65C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10B4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10B4A" w:rsidRDefault="00A10B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CC1" w:rsidRPr="00B45C74" w:rsidRDefault="00E43CC1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3F4D8A"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:rsidR="00E43CC1" w:rsidRPr="003A3500" w:rsidRDefault="00E43CC1" w:rsidP="00ED1B2B">
    <w:pPr>
      <w:pStyle w:val="Footer"/>
    </w:pPr>
    <w:r w:rsidRPr="00107E15">
      <w:rPr>
        <w:b/>
      </w:rPr>
      <w:t xml:space="preserve">Module </w:t>
    </w:r>
    <w:r>
      <w:rPr>
        <w:b/>
      </w:rPr>
      <w:t>3</w:t>
    </w:r>
    <w:r w:rsidRPr="00107E15">
      <w:rPr>
        <w:b/>
      </w:rPr>
      <w:t>.</w:t>
    </w:r>
    <w:r w:rsidRPr="00107E15">
      <w:t xml:space="preserve"> Step </w:t>
    </w:r>
    <w:r>
      <w:t>1</w:t>
    </w:r>
    <w:r w:rsidRPr="00107E15">
      <w:t>.</w:t>
    </w:r>
    <w:r>
      <w:t xml:space="preserve"> Sub-step 4. </w:t>
    </w:r>
    <w:r w:rsidR="00DA6340">
      <w:fldChar w:fldCharType="begin"/>
    </w:r>
    <w:r w:rsidR="00DA6340">
      <w:instrText xml:space="preserve"> STYLEREF  H1 \t  \* MERGEFORMAT </w:instrText>
    </w:r>
    <w:r w:rsidR="00DA6340">
      <w:fldChar w:fldCharType="separate"/>
    </w:r>
    <w:r w:rsidR="003F4D8A" w:rsidRPr="003F4D8A">
      <w:rPr>
        <w:bCs/>
        <w:noProof/>
      </w:rPr>
      <w:t>CTP Risk matrix template</w:t>
    </w:r>
    <w:r w:rsidR="00DA6340">
      <w:rPr>
        <w:bCs/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C35" w:rsidRPr="00B45C74" w:rsidRDefault="00C70C35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261765"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:rsidR="00C70C35" w:rsidRPr="00C70C35" w:rsidRDefault="00C70C35" w:rsidP="00ED1B2B">
    <w:pPr>
      <w:pStyle w:val="Footer"/>
    </w:pPr>
    <w:r w:rsidRPr="00107E15">
      <w:rPr>
        <w:b/>
      </w:rPr>
      <w:t xml:space="preserve">Module </w:t>
    </w:r>
    <w:r>
      <w:rPr>
        <w:b/>
      </w:rPr>
      <w:t>3</w:t>
    </w:r>
    <w:r w:rsidRPr="00107E15">
      <w:rPr>
        <w:b/>
      </w:rPr>
      <w:t>.</w:t>
    </w:r>
    <w:r w:rsidRPr="00107E15">
      <w:t xml:space="preserve"> Step </w:t>
    </w:r>
    <w:r>
      <w:t>1</w:t>
    </w:r>
    <w:r w:rsidRPr="00107E15">
      <w:t>.</w:t>
    </w:r>
    <w:r>
      <w:t xml:space="preserve"> Sub-step 4. </w:t>
    </w:r>
    <w:r w:rsidR="00DA6340">
      <w:fldChar w:fldCharType="begin"/>
    </w:r>
    <w:r w:rsidR="00DA6340">
      <w:instrText xml:space="preserve"> STYLEREF  H1 \t  \* MERGEFORMAT </w:instrText>
    </w:r>
    <w:r w:rsidR="00DA6340">
      <w:fldChar w:fldCharType="separate"/>
    </w:r>
    <w:r w:rsidR="004E03E5" w:rsidRPr="004E03E5">
      <w:rPr>
        <w:bCs/>
        <w:noProof/>
      </w:rPr>
      <w:t>CTP Risk matrix template</w:t>
    </w:r>
    <w:r w:rsidR="00DA6340">
      <w:rPr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340" w:rsidRDefault="00DA6340" w:rsidP="009F17AC">
      <w:pPr>
        <w:spacing w:after="0"/>
      </w:pPr>
      <w:r>
        <w:separator/>
      </w:r>
    </w:p>
  </w:footnote>
  <w:footnote w:type="continuationSeparator" w:id="0">
    <w:p w:rsidR="00DA6340" w:rsidRDefault="00DA6340" w:rsidP="009F17A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765" w:rsidRPr="00074036" w:rsidRDefault="00261765" w:rsidP="00173FF2">
    <w:pPr>
      <w:pStyle w:val="Header"/>
      <w:rPr>
        <w:szCs w:val="16"/>
      </w:rPr>
    </w:pPr>
    <w:r w:rsidRPr="004B5DA9">
      <w:rPr>
        <w:rStyle w:val="Pantone485"/>
      </w:rPr>
      <w:t>International Red Cross and Red Crescent Movement</w:t>
    </w:r>
    <w:r>
      <w:rPr>
        <w:rFonts w:cs="Caecilia-Light"/>
        <w:color w:val="FF0000"/>
        <w:szCs w:val="16"/>
      </w:rPr>
      <w:t xml:space="preserve"> </w:t>
    </w:r>
    <w:r w:rsidRPr="002B5D03">
      <w:rPr>
        <w:rStyle w:val="PageNumber"/>
        <w:bCs/>
        <w:szCs w:val="16"/>
      </w:rPr>
      <w:t>I</w:t>
    </w:r>
    <w:r w:rsidRPr="009F6986">
      <w:rPr>
        <w:rStyle w:val="PageNumber"/>
        <w:color w:val="FF0000"/>
        <w:szCs w:val="16"/>
      </w:rPr>
      <w:t xml:space="preserve"> </w:t>
    </w:r>
    <w:r w:rsidRPr="009F6986">
      <w:rPr>
        <w:b/>
        <w:szCs w:val="16"/>
      </w:rPr>
      <w:t>Cash in Emergenc</w:t>
    </w:r>
    <w:r>
      <w:rPr>
        <w:b/>
        <w:szCs w:val="16"/>
      </w:rPr>
      <w:t>ies</w:t>
    </w:r>
    <w:r w:rsidRPr="009F6986">
      <w:rPr>
        <w:b/>
        <w:szCs w:val="16"/>
      </w:rPr>
      <w:t xml:space="preserve"> Toolkit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C35" w:rsidRPr="00074036" w:rsidRDefault="00C70C35" w:rsidP="00173FF2">
    <w:pPr>
      <w:pStyle w:val="Header"/>
      <w:rPr>
        <w:szCs w:val="16"/>
      </w:rPr>
    </w:pPr>
    <w:r w:rsidRPr="004B5DA9">
      <w:rPr>
        <w:rStyle w:val="Pantone485"/>
      </w:rPr>
      <w:t>International Red Cross and Red Crescent Movement</w:t>
    </w:r>
    <w:r>
      <w:rPr>
        <w:rFonts w:cs="Caecilia-Light"/>
        <w:color w:val="FF0000"/>
        <w:szCs w:val="16"/>
      </w:rPr>
      <w:t xml:space="preserve"> </w:t>
    </w:r>
    <w:r w:rsidRPr="002B5D03">
      <w:rPr>
        <w:rStyle w:val="PageNumber"/>
        <w:bCs/>
        <w:szCs w:val="16"/>
      </w:rPr>
      <w:t>I</w:t>
    </w:r>
    <w:r w:rsidRPr="009F6986">
      <w:rPr>
        <w:rStyle w:val="PageNumber"/>
        <w:color w:val="FF0000"/>
        <w:szCs w:val="16"/>
      </w:rPr>
      <w:t xml:space="preserve"> </w:t>
    </w:r>
    <w:r w:rsidRPr="009F6986">
      <w:rPr>
        <w:b/>
        <w:szCs w:val="16"/>
      </w:rPr>
      <w:t>Cash in Emergenc</w:t>
    </w:r>
    <w:r>
      <w:rPr>
        <w:b/>
        <w:szCs w:val="16"/>
      </w:rPr>
      <w:t>ies</w:t>
    </w:r>
    <w:r w:rsidRPr="009F6986">
      <w:rPr>
        <w:b/>
        <w:szCs w:val="16"/>
      </w:rPr>
      <w:t xml:space="preserve"> Toolkit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715E"/>
    <w:multiLevelType w:val="hybridMultilevel"/>
    <w:tmpl w:val="201E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333309"/>
    <w:multiLevelType w:val="hybridMultilevel"/>
    <w:tmpl w:val="24DC6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A25F14"/>
    <w:multiLevelType w:val="hybridMultilevel"/>
    <w:tmpl w:val="BDB69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45CD5"/>
    <w:multiLevelType w:val="hybridMultilevel"/>
    <w:tmpl w:val="384C0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6F137D"/>
    <w:multiLevelType w:val="hybridMultilevel"/>
    <w:tmpl w:val="A2E6C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F65A77"/>
    <w:multiLevelType w:val="hybridMultilevel"/>
    <w:tmpl w:val="9A88D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947361"/>
    <w:multiLevelType w:val="hybridMultilevel"/>
    <w:tmpl w:val="910E62A4"/>
    <w:lvl w:ilvl="0" w:tplc="A58EB5E6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5813952"/>
    <w:multiLevelType w:val="hybridMultilevel"/>
    <w:tmpl w:val="60561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DF2403"/>
    <w:multiLevelType w:val="hybridMultilevel"/>
    <w:tmpl w:val="5D7817D4"/>
    <w:lvl w:ilvl="0" w:tplc="33825C6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D37C65"/>
    <w:multiLevelType w:val="hybridMultilevel"/>
    <w:tmpl w:val="5AF28E5C"/>
    <w:lvl w:ilvl="0" w:tplc="03BA573A">
      <w:start w:val="1"/>
      <w:numFmt w:val="decimal"/>
      <w:lvlText w:val="%1."/>
      <w:lvlJc w:val="left"/>
      <w:pPr>
        <w:ind w:left="4320" w:hanging="360"/>
      </w:pPr>
      <w:rPr>
        <w:rFonts w:hint="default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2">
    <w:nsid w:val="391110E6"/>
    <w:multiLevelType w:val="hybridMultilevel"/>
    <w:tmpl w:val="D37A6FEA"/>
    <w:lvl w:ilvl="0" w:tplc="0409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3">
    <w:nsid w:val="4A03238D"/>
    <w:multiLevelType w:val="hybridMultilevel"/>
    <w:tmpl w:val="02221E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887277"/>
    <w:multiLevelType w:val="hybridMultilevel"/>
    <w:tmpl w:val="DB5607D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70" w:hanging="360"/>
      </w:pPr>
      <w:rPr>
        <w:rFonts w:ascii="Wingdings" w:hAnsi="Wingdings" w:hint="default"/>
      </w:rPr>
    </w:lvl>
  </w:abstractNum>
  <w:abstractNum w:abstractNumId="15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48325C"/>
    <w:multiLevelType w:val="hybridMultilevel"/>
    <w:tmpl w:val="421A4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3C0EAA"/>
    <w:multiLevelType w:val="hybridMultilevel"/>
    <w:tmpl w:val="7FE62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F53405"/>
    <w:multiLevelType w:val="hybridMultilevel"/>
    <w:tmpl w:val="E12A858A"/>
    <w:lvl w:ilvl="0" w:tplc="E54290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0240ED"/>
    <w:multiLevelType w:val="hybridMultilevel"/>
    <w:tmpl w:val="0F8E2298"/>
    <w:lvl w:ilvl="0" w:tplc="E54290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4C0B7C"/>
    <w:multiLevelType w:val="hybridMultilevel"/>
    <w:tmpl w:val="9AC88036"/>
    <w:lvl w:ilvl="0" w:tplc="E54290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705805"/>
    <w:multiLevelType w:val="hybridMultilevel"/>
    <w:tmpl w:val="100E5942"/>
    <w:lvl w:ilvl="0" w:tplc="E542903E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23"/>
  </w:num>
  <w:num w:numId="5">
    <w:abstractNumId w:val="13"/>
  </w:num>
  <w:num w:numId="6">
    <w:abstractNumId w:val="24"/>
  </w:num>
  <w:num w:numId="7">
    <w:abstractNumId w:val="2"/>
  </w:num>
  <w:num w:numId="8">
    <w:abstractNumId w:val="7"/>
  </w:num>
  <w:num w:numId="9">
    <w:abstractNumId w:val="8"/>
  </w:num>
  <w:num w:numId="10">
    <w:abstractNumId w:val="6"/>
  </w:num>
  <w:num w:numId="11">
    <w:abstractNumId w:val="17"/>
  </w:num>
  <w:num w:numId="12">
    <w:abstractNumId w:val="16"/>
  </w:num>
  <w:num w:numId="13">
    <w:abstractNumId w:val="21"/>
  </w:num>
  <w:num w:numId="14">
    <w:abstractNumId w:val="1"/>
  </w:num>
  <w:num w:numId="15">
    <w:abstractNumId w:val="14"/>
  </w:num>
  <w:num w:numId="16">
    <w:abstractNumId w:val="5"/>
  </w:num>
  <w:num w:numId="17">
    <w:abstractNumId w:val="22"/>
  </w:num>
  <w:num w:numId="18">
    <w:abstractNumId w:val="0"/>
  </w:num>
  <w:num w:numId="19">
    <w:abstractNumId w:val="3"/>
  </w:num>
  <w:num w:numId="20">
    <w:abstractNumId w:val="4"/>
  </w:num>
  <w:num w:numId="21">
    <w:abstractNumId w:val="15"/>
  </w:num>
  <w:num w:numId="22">
    <w:abstractNumId w:val="9"/>
  </w:num>
  <w:num w:numId="23">
    <w:abstractNumId w:val="18"/>
  </w:num>
  <w:num w:numId="24">
    <w:abstractNumId w:val="20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attachedTemplate r:id="rId1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266"/>
    <w:rsid w:val="000151E2"/>
    <w:rsid w:val="0001528D"/>
    <w:rsid w:val="00016828"/>
    <w:rsid w:val="0002045F"/>
    <w:rsid w:val="00022D60"/>
    <w:rsid w:val="0002379E"/>
    <w:rsid w:val="00031586"/>
    <w:rsid w:val="00032432"/>
    <w:rsid w:val="00035641"/>
    <w:rsid w:val="00035BB4"/>
    <w:rsid w:val="0003766D"/>
    <w:rsid w:val="00037FC8"/>
    <w:rsid w:val="0004307C"/>
    <w:rsid w:val="000440E6"/>
    <w:rsid w:val="0004447C"/>
    <w:rsid w:val="000454B0"/>
    <w:rsid w:val="0004592F"/>
    <w:rsid w:val="00046589"/>
    <w:rsid w:val="00047047"/>
    <w:rsid w:val="00056DB7"/>
    <w:rsid w:val="0007128C"/>
    <w:rsid w:val="00076CF6"/>
    <w:rsid w:val="00080236"/>
    <w:rsid w:val="00086DFA"/>
    <w:rsid w:val="00090EA8"/>
    <w:rsid w:val="00092C23"/>
    <w:rsid w:val="00092C4C"/>
    <w:rsid w:val="000A2F9C"/>
    <w:rsid w:val="000A6F67"/>
    <w:rsid w:val="000B108D"/>
    <w:rsid w:val="000B1792"/>
    <w:rsid w:val="000B7123"/>
    <w:rsid w:val="000C1AB6"/>
    <w:rsid w:val="000C7DC3"/>
    <w:rsid w:val="000D4D05"/>
    <w:rsid w:val="000E0B4C"/>
    <w:rsid w:val="000F467B"/>
    <w:rsid w:val="000F4A06"/>
    <w:rsid w:val="000F5173"/>
    <w:rsid w:val="000F7628"/>
    <w:rsid w:val="0010318B"/>
    <w:rsid w:val="00103AD2"/>
    <w:rsid w:val="00104E1E"/>
    <w:rsid w:val="00110FB0"/>
    <w:rsid w:val="00112D9B"/>
    <w:rsid w:val="00114BA6"/>
    <w:rsid w:val="00122DBE"/>
    <w:rsid w:val="001239B8"/>
    <w:rsid w:val="00126B26"/>
    <w:rsid w:val="00130822"/>
    <w:rsid w:val="001469CE"/>
    <w:rsid w:val="0015023A"/>
    <w:rsid w:val="00153F5F"/>
    <w:rsid w:val="001556E3"/>
    <w:rsid w:val="00162096"/>
    <w:rsid w:val="0016673E"/>
    <w:rsid w:val="001678D3"/>
    <w:rsid w:val="00167F5B"/>
    <w:rsid w:val="00171770"/>
    <w:rsid w:val="001743E5"/>
    <w:rsid w:val="001756CA"/>
    <w:rsid w:val="00175DBF"/>
    <w:rsid w:val="00176459"/>
    <w:rsid w:val="00176F0D"/>
    <w:rsid w:val="00177BBF"/>
    <w:rsid w:val="0018206E"/>
    <w:rsid w:val="0018500F"/>
    <w:rsid w:val="001878E6"/>
    <w:rsid w:val="00190030"/>
    <w:rsid w:val="00197636"/>
    <w:rsid w:val="001A23BE"/>
    <w:rsid w:val="001A503B"/>
    <w:rsid w:val="001A5149"/>
    <w:rsid w:val="001B1307"/>
    <w:rsid w:val="001B1B44"/>
    <w:rsid w:val="001B37D4"/>
    <w:rsid w:val="001B4811"/>
    <w:rsid w:val="001B6794"/>
    <w:rsid w:val="001C0615"/>
    <w:rsid w:val="001C17D0"/>
    <w:rsid w:val="001D00B7"/>
    <w:rsid w:val="001D2397"/>
    <w:rsid w:val="001D3D8E"/>
    <w:rsid w:val="001D6754"/>
    <w:rsid w:val="001E263C"/>
    <w:rsid w:val="001E3EB2"/>
    <w:rsid w:val="001F115D"/>
    <w:rsid w:val="001F1AD4"/>
    <w:rsid w:val="001F2CEC"/>
    <w:rsid w:val="001F4A01"/>
    <w:rsid w:val="001F6715"/>
    <w:rsid w:val="0020156D"/>
    <w:rsid w:val="002017C8"/>
    <w:rsid w:val="002052CD"/>
    <w:rsid w:val="0020619B"/>
    <w:rsid w:val="002133B9"/>
    <w:rsid w:val="002136D9"/>
    <w:rsid w:val="00213C27"/>
    <w:rsid w:val="00214372"/>
    <w:rsid w:val="00214BE8"/>
    <w:rsid w:val="0021612C"/>
    <w:rsid w:val="00216435"/>
    <w:rsid w:val="00217009"/>
    <w:rsid w:val="00217DE9"/>
    <w:rsid w:val="002232FD"/>
    <w:rsid w:val="002240C9"/>
    <w:rsid w:val="002254BC"/>
    <w:rsid w:val="002266BA"/>
    <w:rsid w:val="00234A56"/>
    <w:rsid w:val="002402B8"/>
    <w:rsid w:val="00241436"/>
    <w:rsid w:val="00242F69"/>
    <w:rsid w:val="002458F6"/>
    <w:rsid w:val="00254999"/>
    <w:rsid w:val="00261765"/>
    <w:rsid w:val="00270868"/>
    <w:rsid w:val="00271F0A"/>
    <w:rsid w:val="002723C8"/>
    <w:rsid w:val="00277D5F"/>
    <w:rsid w:val="00281A8C"/>
    <w:rsid w:val="00282E1F"/>
    <w:rsid w:val="0028435D"/>
    <w:rsid w:val="002925EE"/>
    <w:rsid w:val="002937CF"/>
    <w:rsid w:val="002946C0"/>
    <w:rsid w:val="00296CB4"/>
    <w:rsid w:val="00297E50"/>
    <w:rsid w:val="002A0C8A"/>
    <w:rsid w:val="002A517D"/>
    <w:rsid w:val="002B30FA"/>
    <w:rsid w:val="002B6BB9"/>
    <w:rsid w:val="002C021E"/>
    <w:rsid w:val="002C10C0"/>
    <w:rsid w:val="002C5625"/>
    <w:rsid w:val="002D2E06"/>
    <w:rsid w:val="002D490B"/>
    <w:rsid w:val="002D52D7"/>
    <w:rsid w:val="002E0259"/>
    <w:rsid w:val="002E24F1"/>
    <w:rsid w:val="002E3933"/>
    <w:rsid w:val="002E4A8C"/>
    <w:rsid w:val="002E6505"/>
    <w:rsid w:val="002F17AD"/>
    <w:rsid w:val="002F7239"/>
    <w:rsid w:val="003024EA"/>
    <w:rsid w:val="0030405F"/>
    <w:rsid w:val="00310174"/>
    <w:rsid w:val="00317388"/>
    <w:rsid w:val="00320610"/>
    <w:rsid w:val="003239DC"/>
    <w:rsid w:val="00324B6E"/>
    <w:rsid w:val="00336FDA"/>
    <w:rsid w:val="00337857"/>
    <w:rsid w:val="0034179F"/>
    <w:rsid w:val="00342ABC"/>
    <w:rsid w:val="00344DC9"/>
    <w:rsid w:val="003502B5"/>
    <w:rsid w:val="003550CD"/>
    <w:rsid w:val="00355DB6"/>
    <w:rsid w:val="00360569"/>
    <w:rsid w:val="00360FFB"/>
    <w:rsid w:val="00367029"/>
    <w:rsid w:val="00371EB5"/>
    <w:rsid w:val="003722B7"/>
    <w:rsid w:val="00372795"/>
    <w:rsid w:val="00372CAD"/>
    <w:rsid w:val="003762AB"/>
    <w:rsid w:val="00376C33"/>
    <w:rsid w:val="00382808"/>
    <w:rsid w:val="00383266"/>
    <w:rsid w:val="0038612B"/>
    <w:rsid w:val="00395FA5"/>
    <w:rsid w:val="00397E8F"/>
    <w:rsid w:val="003A3F05"/>
    <w:rsid w:val="003A4E16"/>
    <w:rsid w:val="003A6859"/>
    <w:rsid w:val="003B403D"/>
    <w:rsid w:val="003B686E"/>
    <w:rsid w:val="003B7F40"/>
    <w:rsid w:val="003C447F"/>
    <w:rsid w:val="003C4FF2"/>
    <w:rsid w:val="003C5DCF"/>
    <w:rsid w:val="003C756E"/>
    <w:rsid w:val="003E615F"/>
    <w:rsid w:val="003E7CC6"/>
    <w:rsid w:val="003F08A8"/>
    <w:rsid w:val="003F4D8A"/>
    <w:rsid w:val="003F782F"/>
    <w:rsid w:val="00400E54"/>
    <w:rsid w:val="004024B3"/>
    <w:rsid w:val="004026F7"/>
    <w:rsid w:val="00402C6F"/>
    <w:rsid w:val="00405ECF"/>
    <w:rsid w:val="00406F6D"/>
    <w:rsid w:val="00407E82"/>
    <w:rsid w:val="004109F0"/>
    <w:rsid w:val="00411093"/>
    <w:rsid w:val="00412A67"/>
    <w:rsid w:val="00412D22"/>
    <w:rsid w:val="00421AF7"/>
    <w:rsid w:val="00432501"/>
    <w:rsid w:val="00434784"/>
    <w:rsid w:val="00434ACC"/>
    <w:rsid w:val="00446BA3"/>
    <w:rsid w:val="00452FF5"/>
    <w:rsid w:val="0045564F"/>
    <w:rsid w:val="004557C1"/>
    <w:rsid w:val="00462A11"/>
    <w:rsid w:val="0046343A"/>
    <w:rsid w:val="00465ED0"/>
    <w:rsid w:val="00470EBE"/>
    <w:rsid w:val="00473D0D"/>
    <w:rsid w:val="00473E42"/>
    <w:rsid w:val="00482168"/>
    <w:rsid w:val="00483C30"/>
    <w:rsid w:val="004863E6"/>
    <w:rsid w:val="004872CC"/>
    <w:rsid w:val="004878C3"/>
    <w:rsid w:val="0049011E"/>
    <w:rsid w:val="00495DCA"/>
    <w:rsid w:val="00496D2E"/>
    <w:rsid w:val="004A1F18"/>
    <w:rsid w:val="004A2255"/>
    <w:rsid w:val="004A43DA"/>
    <w:rsid w:val="004A4497"/>
    <w:rsid w:val="004B236A"/>
    <w:rsid w:val="004B3A3B"/>
    <w:rsid w:val="004B5775"/>
    <w:rsid w:val="004B5B05"/>
    <w:rsid w:val="004B5B94"/>
    <w:rsid w:val="004C3CBC"/>
    <w:rsid w:val="004D737B"/>
    <w:rsid w:val="004D7C8E"/>
    <w:rsid w:val="004E03E5"/>
    <w:rsid w:val="004E40F6"/>
    <w:rsid w:val="004E7581"/>
    <w:rsid w:val="004F083A"/>
    <w:rsid w:val="004F27BD"/>
    <w:rsid w:val="004F2F08"/>
    <w:rsid w:val="004F7CB0"/>
    <w:rsid w:val="004F7EB3"/>
    <w:rsid w:val="00502BAC"/>
    <w:rsid w:val="00502CCB"/>
    <w:rsid w:val="00511BCA"/>
    <w:rsid w:val="00511FBB"/>
    <w:rsid w:val="005212AB"/>
    <w:rsid w:val="005236E0"/>
    <w:rsid w:val="00526149"/>
    <w:rsid w:val="0052794C"/>
    <w:rsid w:val="00531F99"/>
    <w:rsid w:val="00535BE6"/>
    <w:rsid w:val="0053757D"/>
    <w:rsid w:val="00540300"/>
    <w:rsid w:val="00540424"/>
    <w:rsid w:val="005411FD"/>
    <w:rsid w:val="00543EB2"/>
    <w:rsid w:val="00545844"/>
    <w:rsid w:val="00547FE2"/>
    <w:rsid w:val="005713BC"/>
    <w:rsid w:val="00572A94"/>
    <w:rsid w:val="0058137E"/>
    <w:rsid w:val="00581B1F"/>
    <w:rsid w:val="00584D69"/>
    <w:rsid w:val="0059496F"/>
    <w:rsid w:val="005A22F8"/>
    <w:rsid w:val="005A2C3A"/>
    <w:rsid w:val="005C6185"/>
    <w:rsid w:val="005D1501"/>
    <w:rsid w:val="005D6A87"/>
    <w:rsid w:val="005D73F2"/>
    <w:rsid w:val="005E04A1"/>
    <w:rsid w:val="005E07B3"/>
    <w:rsid w:val="005E0EB6"/>
    <w:rsid w:val="005E1403"/>
    <w:rsid w:val="005E4825"/>
    <w:rsid w:val="005F18D4"/>
    <w:rsid w:val="005F3891"/>
    <w:rsid w:val="005F4ECE"/>
    <w:rsid w:val="005F675D"/>
    <w:rsid w:val="005F7EAC"/>
    <w:rsid w:val="0060753A"/>
    <w:rsid w:val="00613114"/>
    <w:rsid w:val="00620C76"/>
    <w:rsid w:val="00621904"/>
    <w:rsid w:val="00622B10"/>
    <w:rsid w:val="00623360"/>
    <w:rsid w:val="00626783"/>
    <w:rsid w:val="0063573C"/>
    <w:rsid w:val="00637F5F"/>
    <w:rsid w:val="00641AB8"/>
    <w:rsid w:val="00645500"/>
    <w:rsid w:val="00660AE7"/>
    <w:rsid w:val="00661ED6"/>
    <w:rsid w:val="00667546"/>
    <w:rsid w:val="00670262"/>
    <w:rsid w:val="00673D27"/>
    <w:rsid w:val="0067469B"/>
    <w:rsid w:val="0067624B"/>
    <w:rsid w:val="0068166B"/>
    <w:rsid w:val="00684DAC"/>
    <w:rsid w:val="006917C8"/>
    <w:rsid w:val="0069550B"/>
    <w:rsid w:val="006972DE"/>
    <w:rsid w:val="006A730B"/>
    <w:rsid w:val="006B44F0"/>
    <w:rsid w:val="006B6880"/>
    <w:rsid w:val="006C0212"/>
    <w:rsid w:val="006C3B74"/>
    <w:rsid w:val="006C61F0"/>
    <w:rsid w:val="006D1DF0"/>
    <w:rsid w:val="006D2487"/>
    <w:rsid w:val="006D48B6"/>
    <w:rsid w:val="006D7A0E"/>
    <w:rsid w:val="006E214C"/>
    <w:rsid w:val="006E24BC"/>
    <w:rsid w:val="006E28CF"/>
    <w:rsid w:val="006E3FB6"/>
    <w:rsid w:val="006F44C4"/>
    <w:rsid w:val="006F5DE1"/>
    <w:rsid w:val="006F63D2"/>
    <w:rsid w:val="007030E8"/>
    <w:rsid w:val="00706F3F"/>
    <w:rsid w:val="00710172"/>
    <w:rsid w:val="00712BC2"/>
    <w:rsid w:val="00713955"/>
    <w:rsid w:val="00713D86"/>
    <w:rsid w:val="00713DF7"/>
    <w:rsid w:val="007164DF"/>
    <w:rsid w:val="0071750A"/>
    <w:rsid w:val="007234FB"/>
    <w:rsid w:val="0073056C"/>
    <w:rsid w:val="00731896"/>
    <w:rsid w:val="0073217C"/>
    <w:rsid w:val="00732511"/>
    <w:rsid w:val="007348A0"/>
    <w:rsid w:val="007348FE"/>
    <w:rsid w:val="00736322"/>
    <w:rsid w:val="00752782"/>
    <w:rsid w:val="00752D64"/>
    <w:rsid w:val="00753FBF"/>
    <w:rsid w:val="007548AC"/>
    <w:rsid w:val="007579E6"/>
    <w:rsid w:val="0076232E"/>
    <w:rsid w:val="00763397"/>
    <w:rsid w:val="007653A7"/>
    <w:rsid w:val="00767AB8"/>
    <w:rsid w:val="00772E1A"/>
    <w:rsid w:val="0077520C"/>
    <w:rsid w:val="00775D77"/>
    <w:rsid w:val="007840D0"/>
    <w:rsid w:val="00784EFC"/>
    <w:rsid w:val="00786605"/>
    <w:rsid w:val="00793A8A"/>
    <w:rsid w:val="00797580"/>
    <w:rsid w:val="0079766B"/>
    <w:rsid w:val="007A0B10"/>
    <w:rsid w:val="007A3E20"/>
    <w:rsid w:val="007A78FA"/>
    <w:rsid w:val="007B087D"/>
    <w:rsid w:val="007B3EFD"/>
    <w:rsid w:val="007B403B"/>
    <w:rsid w:val="007C2B7D"/>
    <w:rsid w:val="007C3B59"/>
    <w:rsid w:val="007C4896"/>
    <w:rsid w:val="007C7360"/>
    <w:rsid w:val="007D2DFA"/>
    <w:rsid w:val="007E0317"/>
    <w:rsid w:val="007E4A6F"/>
    <w:rsid w:val="007E65CA"/>
    <w:rsid w:val="007E6DC9"/>
    <w:rsid w:val="007F4F14"/>
    <w:rsid w:val="007F5F82"/>
    <w:rsid w:val="00802D10"/>
    <w:rsid w:val="00805F80"/>
    <w:rsid w:val="00806794"/>
    <w:rsid w:val="00810406"/>
    <w:rsid w:val="008166A6"/>
    <w:rsid w:val="00825B95"/>
    <w:rsid w:val="008271F7"/>
    <w:rsid w:val="008276E3"/>
    <w:rsid w:val="00830E29"/>
    <w:rsid w:val="00832DEA"/>
    <w:rsid w:val="008362BF"/>
    <w:rsid w:val="00836C92"/>
    <w:rsid w:val="00837ACF"/>
    <w:rsid w:val="00841827"/>
    <w:rsid w:val="008422B2"/>
    <w:rsid w:val="008434EC"/>
    <w:rsid w:val="00843ACA"/>
    <w:rsid w:val="00845503"/>
    <w:rsid w:val="00852F0D"/>
    <w:rsid w:val="00854B40"/>
    <w:rsid w:val="00856A4A"/>
    <w:rsid w:val="008605FD"/>
    <w:rsid w:val="00863A0E"/>
    <w:rsid w:val="00867114"/>
    <w:rsid w:val="008721EE"/>
    <w:rsid w:val="00873066"/>
    <w:rsid w:val="0087323E"/>
    <w:rsid w:val="0087406F"/>
    <w:rsid w:val="00882C05"/>
    <w:rsid w:val="008835AE"/>
    <w:rsid w:val="00886161"/>
    <w:rsid w:val="00897CE8"/>
    <w:rsid w:val="008A45BD"/>
    <w:rsid w:val="008A4E36"/>
    <w:rsid w:val="008B17B7"/>
    <w:rsid w:val="008B587E"/>
    <w:rsid w:val="008C00E7"/>
    <w:rsid w:val="008D1F57"/>
    <w:rsid w:val="008D2EC7"/>
    <w:rsid w:val="008D3533"/>
    <w:rsid w:val="008D3ACB"/>
    <w:rsid w:val="008D3F46"/>
    <w:rsid w:val="008E342F"/>
    <w:rsid w:val="008F3EC6"/>
    <w:rsid w:val="00901212"/>
    <w:rsid w:val="00911887"/>
    <w:rsid w:val="009151A1"/>
    <w:rsid w:val="00915DAB"/>
    <w:rsid w:val="00920B97"/>
    <w:rsid w:val="0092154D"/>
    <w:rsid w:val="00922F01"/>
    <w:rsid w:val="00923ADF"/>
    <w:rsid w:val="00926798"/>
    <w:rsid w:val="009321D1"/>
    <w:rsid w:val="00932314"/>
    <w:rsid w:val="009349F1"/>
    <w:rsid w:val="0094566E"/>
    <w:rsid w:val="00950738"/>
    <w:rsid w:val="00954188"/>
    <w:rsid w:val="009555FA"/>
    <w:rsid w:val="009572B7"/>
    <w:rsid w:val="00970D84"/>
    <w:rsid w:val="00972CD2"/>
    <w:rsid w:val="00975FCB"/>
    <w:rsid w:val="00976113"/>
    <w:rsid w:val="0097698E"/>
    <w:rsid w:val="00982790"/>
    <w:rsid w:val="00986D5E"/>
    <w:rsid w:val="009900B1"/>
    <w:rsid w:val="0099024C"/>
    <w:rsid w:val="00990E5B"/>
    <w:rsid w:val="009A2EC6"/>
    <w:rsid w:val="009A4440"/>
    <w:rsid w:val="009A5CF6"/>
    <w:rsid w:val="009A75F5"/>
    <w:rsid w:val="009B0A26"/>
    <w:rsid w:val="009B0BB5"/>
    <w:rsid w:val="009B160A"/>
    <w:rsid w:val="009C501C"/>
    <w:rsid w:val="009C5516"/>
    <w:rsid w:val="009C5D09"/>
    <w:rsid w:val="009C6B35"/>
    <w:rsid w:val="009D22EE"/>
    <w:rsid w:val="009D3133"/>
    <w:rsid w:val="009E2879"/>
    <w:rsid w:val="009F08E2"/>
    <w:rsid w:val="009F17AC"/>
    <w:rsid w:val="009F3462"/>
    <w:rsid w:val="009F64C8"/>
    <w:rsid w:val="009F684E"/>
    <w:rsid w:val="00A01182"/>
    <w:rsid w:val="00A02C98"/>
    <w:rsid w:val="00A106B6"/>
    <w:rsid w:val="00A10B4A"/>
    <w:rsid w:val="00A16318"/>
    <w:rsid w:val="00A1699D"/>
    <w:rsid w:val="00A21928"/>
    <w:rsid w:val="00A21B9F"/>
    <w:rsid w:val="00A27690"/>
    <w:rsid w:val="00A31BD7"/>
    <w:rsid w:val="00A34B61"/>
    <w:rsid w:val="00A36531"/>
    <w:rsid w:val="00A41652"/>
    <w:rsid w:val="00A4677B"/>
    <w:rsid w:val="00A52C93"/>
    <w:rsid w:val="00A53DD4"/>
    <w:rsid w:val="00A53FBF"/>
    <w:rsid w:val="00A558BC"/>
    <w:rsid w:val="00A578A6"/>
    <w:rsid w:val="00A6034B"/>
    <w:rsid w:val="00A65477"/>
    <w:rsid w:val="00A75706"/>
    <w:rsid w:val="00A77731"/>
    <w:rsid w:val="00A83FA5"/>
    <w:rsid w:val="00A93BA4"/>
    <w:rsid w:val="00A96A20"/>
    <w:rsid w:val="00AA4421"/>
    <w:rsid w:val="00AA6ADA"/>
    <w:rsid w:val="00AB2C29"/>
    <w:rsid w:val="00AB3D5A"/>
    <w:rsid w:val="00AB5333"/>
    <w:rsid w:val="00AB541B"/>
    <w:rsid w:val="00AC057A"/>
    <w:rsid w:val="00AC34D3"/>
    <w:rsid w:val="00AC43DC"/>
    <w:rsid w:val="00AC5B87"/>
    <w:rsid w:val="00AC70D5"/>
    <w:rsid w:val="00AD0793"/>
    <w:rsid w:val="00AD175F"/>
    <w:rsid w:val="00AD1F78"/>
    <w:rsid w:val="00AD6021"/>
    <w:rsid w:val="00AD64E3"/>
    <w:rsid w:val="00AE4B7B"/>
    <w:rsid w:val="00AE5354"/>
    <w:rsid w:val="00AE6879"/>
    <w:rsid w:val="00B05388"/>
    <w:rsid w:val="00B14E8E"/>
    <w:rsid w:val="00B170C4"/>
    <w:rsid w:val="00B3020B"/>
    <w:rsid w:val="00B3020C"/>
    <w:rsid w:val="00B340F2"/>
    <w:rsid w:val="00B347C5"/>
    <w:rsid w:val="00B37DAA"/>
    <w:rsid w:val="00B428E9"/>
    <w:rsid w:val="00B476AB"/>
    <w:rsid w:val="00B51F34"/>
    <w:rsid w:val="00B62589"/>
    <w:rsid w:val="00B70390"/>
    <w:rsid w:val="00B70FF0"/>
    <w:rsid w:val="00B80700"/>
    <w:rsid w:val="00B812D8"/>
    <w:rsid w:val="00B83C6D"/>
    <w:rsid w:val="00B90334"/>
    <w:rsid w:val="00B9051E"/>
    <w:rsid w:val="00B90DA0"/>
    <w:rsid w:val="00B92719"/>
    <w:rsid w:val="00B927B3"/>
    <w:rsid w:val="00B927CD"/>
    <w:rsid w:val="00B92973"/>
    <w:rsid w:val="00BA0199"/>
    <w:rsid w:val="00BA3B38"/>
    <w:rsid w:val="00BA4E1D"/>
    <w:rsid w:val="00BA65A3"/>
    <w:rsid w:val="00BB16C2"/>
    <w:rsid w:val="00BB2FCF"/>
    <w:rsid w:val="00BB301E"/>
    <w:rsid w:val="00BB3DA2"/>
    <w:rsid w:val="00BC0773"/>
    <w:rsid w:val="00BC236F"/>
    <w:rsid w:val="00BC3B0C"/>
    <w:rsid w:val="00BD1947"/>
    <w:rsid w:val="00BD6F9B"/>
    <w:rsid w:val="00BD7EEB"/>
    <w:rsid w:val="00BE51ED"/>
    <w:rsid w:val="00BE5B5E"/>
    <w:rsid w:val="00BF0E2A"/>
    <w:rsid w:val="00BF634F"/>
    <w:rsid w:val="00C001A7"/>
    <w:rsid w:val="00C0238F"/>
    <w:rsid w:val="00C05B68"/>
    <w:rsid w:val="00C05FF7"/>
    <w:rsid w:val="00C078CD"/>
    <w:rsid w:val="00C11EED"/>
    <w:rsid w:val="00C1526B"/>
    <w:rsid w:val="00C20699"/>
    <w:rsid w:val="00C216AB"/>
    <w:rsid w:val="00C326AA"/>
    <w:rsid w:val="00C33509"/>
    <w:rsid w:val="00C43A8A"/>
    <w:rsid w:val="00C47C80"/>
    <w:rsid w:val="00C50C37"/>
    <w:rsid w:val="00C5309C"/>
    <w:rsid w:val="00C64B7E"/>
    <w:rsid w:val="00C70C35"/>
    <w:rsid w:val="00C70F77"/>
    <w:rsid w:val="00C71F3B"/>
    <w:rsid w:val="00C7201B"/>
    <w:rsid w:val="00C76A3D"/>
    <w:rsid w:val="00C81F6F"/>
    <w:rsid w:val="00C83E75"/>
    <w:rsid w:val="00C92F90"/>
    <w:rsid w:val="00CA2D00"/>
    <w:rsid w:val="00CA3A07"/>
    <w:rsid w:val="00CA4FB0"/>
    <w:rsid w:val="00CB0E80"/>
    <w:rsid w:val="00CB62F5"/>
    <w:rsid w:val="00CB671D"/>
    <w:rsid w:val="00CB7352"/>
    <w:rsid w:val="00CB7AFE"/>
    <w:rsid w:val="00CC6A31"/>
    <w:rsid w:val="00CC764C"/>
    <w:rsid w:val="00CD1360"/>
    <w:rsid w:val="00CD3F2F"/>
    <w:rsid w:val="00CD6EC0"/>
    <w:rsid w:val="00CD7389"/>
    <w:rsid w:val="00CD7B6C"/>
    <w:rsid w:val="00CE6437"/>
    <w:rsid w:val="00CF2E6D"/>
    <w:rsid w:val="00CF3D12"/>
    <w:rsid w:val="00CF62FC"/>
    <w:rsid w:val="00CF6896"/>
    <w:rsid w:val="00D06411"/>
    <w:rsid w:val="00D0730A"/>
    <w:rsid w:val="00D13EE9"/>
    <w:rsid w:val="00D15999"/>
    <w:rsid w:val="00D15DC8"/>
    <w:rsid w:val="00D2361A"/>
    <w:rsid w:val="00D27064"/>
    <w:rsid w:val="00D27B71"/>
    <w:rsid w:val="00D305D7"/>
    <w:rsid w:val="00D34CC7"/>
    <w:rsid w:val="00D40762"/>
    <w:rsid w:val="00D43EFF"/>
    <w:rsid w:val="00D442C0"/>
    <w:rsid w:val="00D44CFC"/>
    <w:rsid w:val="00D47625"/>
    <w:rsid w:val="00D505FE"/>
    <w:rsid w:val="00D5531F"/>
    <w:rsid w:val="00D61BD6"/>
    <w:rsid w:val="00D62E9B"/>
    <w:rsid w:val="00D63097"/>
    <w:rsid w:val="00D76D0F"/>
    <w:rsid w:val="00D80E35"/>
    <w:rsid w:val="00D81B38"/>
    <w:rsid w:val="00D81BC0"/>
    <w:rsid w:val="00D830AF"/>
    <w:rsid w:val="00D8412D"/>
    <w:rsid w:val="00D84409"/>
    <w:rsid w:val="00D851EF"/>
    <w:rsid w:val="00D864DA"/>
    <w:rsid w:val="00D87EC8"/>
    <w:rsid w:val="00D923AF"/>
    <w:rsid w:val="00D93EC0"/>
    <w:rsid w:val="00D95115"/>
    <w:rsid w:val="00DA0605"/>
    <w:rsid w:val="00DA40FD"/>
    <w:rsid w:val="00DA5809"/>
    <w:rsid w:val="00DA6340"/>
    <w:rsid w:val="00DA7B5F"/>
    <w:rsid w:val="00DB3605"/>
    <w:rsid w:val="00DB4765"/>
    <w:rsid w:val="00DC47AC"/>
    <w:rsid w:val="00DC58A7"/>
    <w:rsid w:val="00DD08C9"/>
    <w:rsid w:val="00DD178D"/>
    <w:rsid w:val="00DE7ECA"/>
    <w:rsid w:val="00DF3B2B"/>
    <w:rsid w:val="00DF3FBA"/>
    <w:rsid w:val="00E02FBA"/>
    <w:rsid w:val="00E0531D"/>
    <w:rsid w:val="00E06D6E"/>
    <w:rsid w:val="00E103DF"/>
    <w:rsid w:val="00E11C47"/>
    <w:rsid w:val="00E12B2F"/>
    <w:rsid w:val="00E16AC2"/>
    <w:rsid w:val="00E175AC"/>
    <w:rsid w:val="00E26136"/>
    <w:rsid w:val="00E34938"/>
    <w:rsid w:val="00E35D1E"/>
    <w:rsid w:val="00E43CC1"/>
    <w:rsid w:val="00E4735F"/>
    <w:rsid w:val="00E47E08"/>
    <w:rsid w:val="00E525E4"/>
    <w:rsid w:val="00E619FA"/>
    <w:rsid w:val="00E61E4E"/>
    <w:rsid w:val="00E61F58"/>
    <w:rsid w:val="00E62917"/>
    <w:rsid w:val="00E631E9"/>
    <w:rsid w:val="00E65390"/>
    <w:rsid w:val="00E659F1"/>
    <w:rsid w:val="00E673DF"/>
    <w:rsid w:val="00E71363"/>
    <w:rsid w:val="00E72552"/>
    <w:rsid w:val="00E7482E"/>
    <w:rsid w:val="00E82D9C"/>
    <w:rsid w:val="00E84C4F"/>
    <w:rsid w:val="00E87B51"/>
    <w:rsid w:val="00E91470"/>
    <w:rsid w:val="00E919AD"/>
    <w:rsid w:val="00E92ACD"/>
    <w:rsid w:val="00E9550A"/>
    <w:rsid w:val="00E968BB"/>
    <w:rsid w:val="00E968D8"/>
    <w:rsid w:val="00E96BD6"/>
    <w:rsid w:val="00EA0AFD"/>
    <w:rsid w:val="00EA18CE"/>
    <w:rsid w:val="00EA2E7F"/>
    <w:rsid w:val="00EB1253"/>
    <w:rsid w:val="00EB2D20"/>
    <w:rsid w:val="00EB4469"/>
    <w:rsid w:val="00EB6410"/>
    <w:rsid w:val="00EB6E99"/>
    <w:rsid w:val="00ED7D53"/>
    <w:rsid w:val="00EE23C1"/>
    <w:rsid w:val="00EE2A59"/>
    <w:rsid w:val="00EE2FCA"/>
    <w:rsid w:val="00EF167C"/>
    <w:rsid w:val="00EF26AA"/>
    <w:rsid w:val="00EF333D"/>
    <w:rsid w:val="00EF732F"/>
    <w:rsid w:val="00F11CC1"/>
    <w:rsid w:val="00F14204"/>
    <w:rsid w:val="00F148CD"/>
    <w:rsid w:val="00F16288"/>
    <w:rsid w:val="00F16536"/>
    <w:rsid w:val="00F2280D"/>
    <w:rsid w:val="00F228E3"/>
    <w:rsid w:val="00F243CC"/>
    <w:rsid w:val="00F332B9"/>
    <w:rsid w:val="00F334E4"/>
    <w:rsid w:val="00F35F39"/>
    <w:rsid w:val="00F42B9B"/>
    <w:rsid w:val="00F4405E"/>
    <w:rsid w:val="00F50604"/>
    <w:rsid w:val="00F53F6B"/>
    <w:rsid w:val="00F60208"/>
    <w:rsid w:val="00F613D7"/>
    <w:rsid w:val="00F6176D"/>
    <w:rsid w:val="00F64F72"/>
    <w:rsid w:val="00F7563F"/>
    <w:rsid w:val="00F84D48"/>
    <w:rsid w:val="00F941A8"/>
    <w:rsid w:val="00FA1D12"/>
    <w:rsid w:val="00FA318A"/>
    <w:rsid w:val="00FA71E8"/>
    <w:rsid w:val="00FB74F5"/>
    <w:rsid w:val="00FC05B3"/>
    <w:rsid w:val="00FC09D0"/>
    <w:rsid w:val="00FC5986"/>
    <w:rsid w:val="00FC7BB3"/>
    <w:rsid w:val="00FD0B10"/>
    <w:rsid w:val="00FD5550"/>
    <w:rsid w:val="00FD70E0"/>
    <w:rsid w:val="00FD7A65"/>
    <w:rsid w:val="00FD7B20"/>
    <w:rsid w:val="00FE6D88"/>
    <w:rsid w:val="00FF15F3"/>
    <w:rsid w:val="00FF1BF5"/>
    <w:rsid w:val="00FF561E"/>
    <w:rsid w:val="00FF5CFC"/>
    <w:rsid w:val="00FF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79E"/>
    <w:pPr>
      <w:spacing w:after="120" w:line="240" w:lineRule="auto"/>
      <w:jc w:val="both"/>
    </w:pPr>
    <w:rPr>
      <w:rFonts w:ascii="Arial" w:eastAsiaTheme="minorEastAsia" w:hAnsi="Arial" w:cs="Times New Roman"/>
      <w:sz w:val="20"/>
      <w:szCs w:val="20"/>
    </w:rPr>
  </w:style>
  <w:style w:type="paragraph" w:styleId="Heading1">
    <w:name w:val="heading 1"/>
    <w:basedOn w:val="H1"/>
    <w:next w:val="Normal"/>
    <w:link w:val="Heading1Char"/>
    <w:uiPriority w:val="9"/>
    <w:rsid w:val="0002379E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379E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379E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  <w:rsid w:val="0002379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02379E"/>
  </w:style>
  <w:style w:type="paragraph" w:styleId="BalloonText">
    <w:name w:val="Balloon Text"/>
    <w:basedOn w:val="Normal"/>
    <w:link w:val="BalloonTextChar"/>
    <w:uiPriority w:val="99"/>
    <w:semiHidden/>
    <w:unhideWhenUsed/>
    <w:rsid w:val="0002379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79E"/>
    <w:rPr>
      <w:rFonts w:ascii="Lucida Grande" w:eastAsiaTheme="minorEastAsia" w:hAnsi="Lucida Grande" w:cs="Lucida Grande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02379E"/>
    <w:pPr>
      <w:spacing w:after="240"/>
      <w:ind w:left="720"/>
      <w:contextualSpacing/>
    </w:pPr>
    <w:rPr>
      <w:rFonts w:eastAsiaTheme="minorHAnsi" w:cstheme="minorBidi"/>
      <w:szCs w:val="22"/>
    </w:rPr>
  </w:style>
  <w:style w:type="table" w:styleId="TableGrid">
    <w:name w:val="Table Grid"/>
    <w:basedOn w:val="TableNormal"/>
    <w:uiPriority w:val="59"/>
    <w:rsid w:val="0002379E"/>
    <w:pPr>
      <w:spacing w:after="0" w:line="240" w:lineRule="auto"/>
    </w:pPr>
    <w:rPr>
      <w:rFonts w:ascii="Cambria" w:eastAsiaTheme="minorEastAsia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379E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02379E"/>
    <w:rPr>
      <w:rFonts w:ascii="Arial" w:eastAsiaTheme="minorEastAsia" w:hAnsi="Arial" w:cs="Times New Roman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02379E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2379E"/>
    <w:rPr>
      <w:rFonts w:ascii="Arial" w:eastAsiaTheme="minorEastAsia" w:hAnsi="Arial" w:cs="Times New Roman"/>
      <w:sz w:val="16"/>
      <w:szCs w:val="18"/>
    </w:rPr>
  </w:style>
  <w:style w:type="character" w:styleId="PageNumber">
    <w:name w:val="page number"/>
    <w:basedOn w:val="DefaultParagraphFont"/>
    <w:uiPriority w:val="99"/>
    <w:unhideWhenUsed/>
    <w:rsid w:val="0002379E"/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2379E"/>
    <w:rPr>
      <w:rFonts w:ascii="Arial" w:hAnsi="Arial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2379E"/>
    <w:rPr>
      <w:rFonts w:ascii="Arial" w:eastAsiaTheme="minorEastAsia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02379E"/>
    <w:rPr>
      <w:rFonts w:ascii="Arial" w:eastAsiaTheme="minorEastAsia" w:hAnsi="Arial" w:cs="Times New Roman"/>
      <w:b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2379E"/>
    <w:rPr>
      <w:rFonts w:ascii="Arial" w:eastAsiaTheme="minorEastAsia" w:hAnsi="Arial" w:cs="Times New Roman"/>
      <w:b/>
      <w:szCs w:val="24"/>
    </w:rPr>
  </w:style>
  <w:style w:type="paragraph" w:customStyle="1" w:styleId="Default">
    <w:name w:val="Default"/>
    <w:rsid w:val="000237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2379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0C3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0C35"/>
    <w:rPr>
      <w:rFonts w:ascii="Arial" w:eastAsiaTheme="minorEastAsia" w:hAnsi="Arial" w:cs="Times New Roman"/>
      <w:sz w:val="20"/>
      <w:szCs w:val="20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02379E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02379E"/>
    <w:rPr>
      <w:rFonts w:ascii="Arial" w:eastAsiaTheme="minorEastAsia" w:hAnsi="Arial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2379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2379E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02379E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2379E"/>
    <w:rPr>
      <w:rFonts w:ascii="Arial" w:eastAsiaTheme="minorEastAsia" w:hAnsi="Arial" w:cs="Times New Roman"/>
      <w:sz w:val="16"/>
    </w:rPr>
  </w:style>
  <w:style w:type="character" w:styleId="FootnoteReference">
    <w:name w:val="footnote reference"/>
    <w:basedOn w:val="DefaultParagraphFont"/>
    <w:uiPriority w:val="99"/>
    <w:unhideWhenUsed/>
    <w:rsid w:val="0002379E"/>
    <w:rPr>
      <w:vertAlign w:val="superscript"/>
    </w:rPr>
  </w:style>
  <w:style w:type="paragraph" w:styleId="Revision">
    <w:name w:val="Revision"/>
    <w:hidden/>
    <w:uiPriority w:val="99"/>
    <w:semiHidden/>
    <w:rsid w:val="0002379E"/>
    <w:pPr>
      <w:spacing w:after="0" w:line="240" w:lineRule="auto"/>
    </w:pPr>
    <w:rPr>
      <w:rFonts w:ascii="Arial" w:eastAsiaTheme="minorEastAsia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02379E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02379E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02379E"/>
    <w:pPr>
      <w:numPr>
        <w:numId w:val="22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02379E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02379E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02379E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02379E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02379E"/>
    <w:rPr>
      <w:rFonts w:ascii="Arial" w:eastAsiaTheme="minorEastAsia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02379E"/>
    <w:pPr>
      <w:spacing w:after="0" w:line="240" w:lineRule="auto"/>
    </w:pPr>
    <w:rPr>
      <w:rFonts w:eastAsiaTheme="minorEastAsia" w:cs="Times New Roman"/>
      <w:sz w:val="20"/>
      <w:szCs w:val="20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02379E"/>
    <w:pPr>
      <w:numPr>
        <w:numId w:val="23"/>
      </w:numPr>
      <w:tabs>
        <w:tab w:val="left" w:pos="7230"/>
      </w:tabs>
      <w:spacing w:before="120" w:after="120"/>
      <w:contextualSpacing w:val="0"/>
    </w:pPr>
    <w:rPr>
      <w:rFonts w:cs="Arial"/>
    </w:rPr>
  </w:style>
  <w:style w:type="paragraph" w:customStyle="1" w:styleId="ListNumber1">
    <w:name w:val="List Number 1"/>
    <w:basedOn w:val="Normal"/>
    <w:rsid w:val="0002379E"/>
    <w:pPr>
      <w:numPr>
        <w:ilvl w:val="1"/>
        <w:numId w:val="20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02379E"/>
    <w:pPr>
      <w:numPr>
        <w:numId w:val="21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02379E"/>
    <w:pPr>
      <w:numPr>
        <w:numId w:val="24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02379E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02379E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02379E"/>
    <w:pPr>
      <w:keepNext/>
      <w:keepLines/>
      <w:framePr w:hSpace="141" w:wrap="around" w:vAnchor="text" w:hAnchor="margin" w:y="402"/>
      <w:numPr>
        <w:numId w:val="25"/>
      </w:numPr>
      <w:spacing w:beforeLines="60" w:before="60" w:afterLines="20" w:after="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79E"/>
    <w:pPr>
      <w:spacing w:after="120" w:line="240" w:lineRule="auto"/>
      <w:jc w:val="both"/>
    </w:pPr>
    <w:rPr>
      <w:rFonts w:ascii="Arial" w:eastAsiaTheme="minorEastAsia" w:hAnsi="Arial" w:cs="Times New Roman"/>
      <w:sz w:val="20"/>
      <w:szCs w:val="20"/>
    </w:rPr>
  </w:style>
  <w:style w:type="paragraph" w:styleId="Heading1">
    <w:name w:val="heading 1"/>
    <w:basedOn w:val="H1"/>
    <w:next w:val="Normal"/>
    <w:link w:val="Heading1Char"/>
    <w:uiPriority w:val="9"/>
    <w:rsid w:val="0002379E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379E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379E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  <w:rsid w:val="0002379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02379E"/>
  </w:style>
  <w:style w:type="paragraph" w:styleId="BalloonText">
    <w:name w:val="Balloon Text"/>
    <w:basedOn w:val="Normal"/>
    <w:link w:val="BalloonTextChar"/>
    <w:uiPriority w:val="99"/>
    <w:semiHidden/>
    <w:unhideWhenUsed/>
    <w:rsid w:val="0002379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79E"/>
    <w:rPr>
      <w:rFonts w:ascii="Lucida Grande" w:eastAsiaTheme="minorEastAsia" w:hAnsi="Lucida Grande" w:cs="Lucida Grande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02379E"/>
    <w:pPr>
      <w:spacing w:after="240"/>
      <w:ind w:left="720"/>
      <w:contextualSpacing/>
    </w:pPr>
    <w:rPr>
      <w:rFonts w:eastAsiaTheme="minorHAnsi" w:cstheme="minorBidi"/>
      <w:szCs w:val="22"/>
    </w:rPr>
  </w:style>
  <w:style w:type="table" w:styleId="TableGrid">
    <w:name w:val="Table Grid"/>
    <w:basedOn w:val="TableNormal"/>
    <w:uiPriority w:val="59"/>
    <w:rsid w:val="0002379E"/>
    <w:pPr>
      <w:spacing w:after="0" w:line="240" w:lineRule="auto"/>
    </w:pPr>
    <w:rPr>
      <w:rFonts w:ascii="Cambria" w:eastAsiaTheme="minorEastAsia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379E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02379E"/>
    <w:rPr>
      <w:rFonts w:ascii="Arial" w:eastAsiaTheme="minorEastAsia" w:hAnsi="Arial" w:cs="Times New Roman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02379E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2379E"/>
    <w:rPr>
      <w:rFonts w:ascii="Arial" w:eastAsiaTheme="minorEastAsia" w:hAnsi="Arial" w:cs="Times New Roman"/>
      <w:sz w:val="16"/>
      <w:szCs w:val="18"/>
    </w:rPr>
  </w:style>
  <w:style w:type="character" w:styleId="PageNumber">
    <w:name w:val="page number"/>
    <w:basedOn w:val="DefaultParagraphFont"/>
    <w:uiPriority w:val="99"/>
    <w:unhideWhenUsed/>
    <w:rsid w:val="0002379E"/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2379E"/>
    <w:rPr>
      <w:rFonts w:ascii="Arial" w:hAnsi="Arial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2379E"/>
    <w:rPr>
      <w:rFonts w:ascii="Arial" w:eastAsiaTheme="minorEastAsia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02379E"/>
    <w:rPr>
      <w:rFonts w:ascii="Arial" w:eastAsiaTheme="minorEastAsia" w:hAnsi="Arial" w:cs="Times New Roman"/>
      <w:b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2379E"/>
    <w:rPr>
      <w:rFonts w:ascii="Arial" w:eastAsiaTheme="minorEastAsia" w:hAnsi="Arial" w:cs="Times New Roman"/>
      <w:b/>
      <w:szCs w:val="24"/>
    </w:rPr>
  </w:style>
  <w:style w:type="paragraph" w:customStyle="1" w:styleId="Default">
    <w:name w:val="Default"/>
    <w:rsid w:val="000237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2379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0C3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0C35"/>
    <w:rPr>
      <w:rFonts w:ascii="Arial" w:eastAsiaTheme="minorEastAsia" w:hAnsi="Arial" w:cs="Times New Roman"/>
      <w:sz w:val="20"/>
      <w:szCs w:val="20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02379E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02379E"/>
    <w:rPr>
      <w:rFonts w:ascii="Arial" w:eastAsiaTheme="minorEastAsia" w:hAnsi="Arial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2379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2379E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02379E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2379E"/>
    <w:rPr>
      <w:rFonts w:ascii="Arial" w:eastAsiaTheme="minorEastAsia" w:hAnsi="Arial" w:cs="Times New Roman"/>
      <w:sz w:val="16"/>
    </w:rPr>
  </w:style>
  <w:style w:type="character" w:styleId="FootnoteReference">
    <w:name w:val="footnote reference"/>
    <w:basedOn w:val="DefaultParagraphFont"/>
    <w:uiPriority w:val="99"/>
    <w:unhideWhenUsed/>
    <w:rsid w:val="0002379E"/>
    <w:rPr>
      <w:vertAlign w:val="superscript"/>
    </w:rPr>
  </w:style>
  <w:style w:type="paragraph" w:styleId="Revision">
    <w:name w:val="Revision"/>
    <w:hidden/>
    <w:uiPriority w:val="99"/>
    <w:semiHidden/>
    <w:rsid w:val="0002379E"/>
    <w:pPr>
      <w:spacing w:after="0" w:line="240" w:lineRule="auto"/>
    </w:pPr>
    <w:rPr>
      <w:rFonts w:ascii="Arial" w:eastAsiaTheme="minorEastAsia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02379E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02379E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02379E"/>
    <w:pPr>
      <w:numPr>
        <w:numId w:val="22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02379E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02379E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02379E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02379E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02379E"/>
    <w:rPr>
      <w:rFonts w:ascii="Arial" w:eastAsiaTheme="minorEastAsia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02379E"/>
    <w:pPr>
      <w:spacing w:after="0" w:line="240" w:lineRule="auto"/>
    </w:pPr>
    <w:rPr>
      <w:rFonts w:eastAsiaTheme="minorEastAsia" w:cs="Times New Roman"/>
      <w:sz w:val="20"/>
      <w:szCs w:val="20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02379E"/>
    <w:pPr>
      <w:numPr>
        <w:numId w:val="23"/>
      </w:numPr>
      <w:tabs>
        <w:tab w:val="left" w:pos="7230"/>
      </w:tabs>
      <w:spacing w:before="120" w:after="120"/>
      <w:contextualSpacing w:val="0"/>
    </w:pPr>
    <w:rPr>
      <w:rFonts w:cs="Arial"/>
    </w:rPr>
  </w:style>
  <w:style w:type="paragraph" w:customStyle="1" w:styleId="ListNumber1">
    <w:name w:val="List Number 1"/>
    <w:basedOn w:val="Normal"/>
    <w:rsid w:val="0002379E"/>
    <w:pPr>
      <w:numPr>
        <w:ilvl w:val="1"/>
        <w:numId w:val="20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02379E"/>
    <w:pPr>
      <w:numPr>
        <w:numId w:val="21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02379E"/>
    <w:pPr>
      <w:numPr>
        <w:numId w:val="24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02379E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02379E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02379E"/>
    <w:pPr>
      <w:keepNext/>
      <w:keepLines/>
      <w:framePr w:hSpace="141" w:wrap="around" w:vAnchor="text" w:hAnchor="margin" w:y="402"/>
      <w:numPr>
        <w:numId w:val="25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5EF2D8-BD3D-48D3-A1BD-6E74955E6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93</TotalTime>
  <Pages>4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IFRC</Company>
  <LinksUpToDate>false</LinksUpToDate>
  <CharactersWithSpaces>5911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Holman</dc:creator>
  <cp:lastModifiedBy>Nicole Francoeur</cp:lastModifiedBy>
  <cp:revision>38</cp:revision>
  <cp:lastPrinted>2015-09-28T18:26:00Z</cp:lastPrinted>
  <dcterms:created xsi:type="dcterms:W3CDTF">2015-05-27T09:15:00Z</dcterms:created>
  <dcterms:modified xsi:type="dcterms:W3CDTF">2015-10-05T01:48:00Z</dcterms:modified>
</cp:coreProperties>
</file>