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29" w:rsidRPr="00876CF3" w:rsidRDefault="00876CF3" w:rsidP="00C70C35">
      <w:pPr>
        <w:pStyle w:val="H1"/>
        <w:rPr>
          <w:rFonts w:cs="Arial"/>
          <w:lang w:val="fr-FR"/>
        </w:rPr>
      </w:pPr>
      <w:r>
        <w:rPr>
          <w:rFonts w:cs="Arial"/>
          <w:lang w:val="fr-FR"/>
        </w:rPr>
        <w:t xml:space="preserve">Modèle de </w:t>
      </w:r>
      <w:r w:rsidR="00777E6D">
        <w:rPr>
          <w:rFonts w:cs="Arial"/>
          <w:lang w:val="fr-FR"/>
        </w:rPr>
        <w:t>matrice des risques liés aux programmes de transferts monétaires</w:t>
      </w:r>
    </w:p>
    <w:p w:rsidR="008660E0" w:rsidRDefault="001B2505" w:rsidP="001B2505">
      <w:pPr>
        <w:rPr>
          <w:lang w:val="fr-FR"/>
        </w:rPr>
      </w:pPr>
      <w:r>
        <w:rPr>
          <w:b/>
          <w:lang w:val="fr-FR"/>
        </w:rPr>
        <w:t>Objectif </w:t>
      </w:r>
      <w:r w:rsidR="00FF6D96" w:rsidRPr="00876CF3">
        <w:rPr>
          <w:b/>
          <w:lang w:val="fr-FR"/>
        </w:rPr>
        <w:t>:</w:t>
      </w:r>
      <w:r w:rsidR="00FF6D96" w:rsidRPr="00876CF3">
        <w:rPr>
          <w:lang w:val="fr-FR"/>
        </w:rPr>
        <w:t xml:space="preserve"> </w:t>
      </w:r>
      <w:r w:rsidR="008660E0">
        <w:rPr>
          <w:lang w:val="fr-FR"/>
        </w:rPr>
        <w:t xml:space="preserve">l’analyse des risques </w:t>
      </w:r>
      <w:r w:rsidR="0080690B">
        <w:rPr>
          <w:lang w:val="fr-FR"/>
        </w:rPr>
        <w:t xml:space="preserve">fait partie intégrante de l’élaboration et de la mise en œuvre de toute intervention d’urgence, en particulier dans des environnements complexes. L’analyse </w:t>
      </w:r>
      <w:r>
        <w:rPr>
          <w:lang w:val="fr-FR"/>
        </w:rPr>
        <w:t xml:space="preserve">et les mesures de </w:t>
      </w:r>
      <w:r w:rsidR="0080690B">
        <w:rPr>
          <w:lang w:val="fr-FR"/>
        </w:rPr>
        <w:t>réduction</w:t>
      </w:r>
      <w:r>
        <w:rPr>
          <w:lang w:val="fr-FR"/>
        </w:rPr>
        <w:t xml:space="preserve"> des risques</w:t>
      </w:r>
      <w:r w:rsidR="0080690B">
        <w:rPr>
          <w:lang w:val="fr-FR"/>
        </w:rPr>
        <w:t xml:space="preserve"> doivent être planifiées longtemps à l’avance par l’équipe en charge d</w:t>
      </w:r>
      <w:r>
        <w:rPr>
          <w:lang w:val="fr-FR"/>
        </w:rPr>
        <w:t>u</w:t>
      </w:r>
      <w:r w:rsidR="0080690B">
        <w:rPr>
          <w:lang w:val="fr-FR"/>
        </w:rPr>
        <w:t xml:space="preserve"> programme et doivent être prises en compte tout au long du cycle de projets.</w:t>
      </w:r>
    </w:p>
    <w:p w:rsidR="0080690B" w:rsidRPr="0080690B" w:rsidRDefault="004B77A9" w:rsidP="001B2505">
      <w:pPr>
        <w:rPr>
          <w:lang w:val="fr-FR"/>
        </w:rPr>
      </w:pPr>
      <w:r>
        <w:rPr>
          <w:b/>
          <w:lang w:val="fr-FR"/>
        </w:rPr>
        <w:t xml:space="preserve">Comment utiliser </w:t>
      </w:r>
      <w:r w:rsidR="001B2505">
        <w:rPr>
          <w:b/>
          <w:lang w:val="fr-FR"/>
        </w:rPr>
        <w:t>cet</w:t>
      </w:r>
      <w:r>
        <w:rPr>
          <w:b/>
          <w:lang w:val="fr-FR"/>
        </w:rPr>
        <w:t xml:space="preserve"> outi</w:t>
      </w:r>
      <w:r w:rsidR="001B2505">
        <w:rPr>
          <w:b/>
          <w:lang w:val="fr-FR"/>
        </w:rPr>
        <w:t>l </w:t>
      </w:r>
      <w:r w:rsidR="00BE51ED" w:rsidRPr="00876CF3">
        <w:rPr>
          <w:b/>
          <w:lang w:val="fr-FR"/>
        </w:rPr>
        <w:t xml:space="preserve">: </w:t>
      </w:r>
      <w:r w:rsidR="0080690B">
        <w:rPr>
          <w:lang w:val="fr-FR"/>
        </w:rPr>
        <w:t xml:space="preserve">identifiez tous les risques potentiels en consultation avec les autorités locales, les représentants des sections de la Croix-Rouge et du Croissant-Rouge, les </w:t>
      </w:r>
      <w:r w:rsidR="001B2505">
        <w:rPr>
          <w:lang w:val="fr-FR"/>
        </w:rPr>
        <w:t>dirigeants communautaires</w:t>
      </w:r>
      <w:r w:rsidR="0080690B">
        <w:rPr>
          <w:lang w:val="fr-FR"/>
        </w:rPr>
        <w:t>, les bénéficiaires, les volontaires et les employés locaux.</w:t>
      </w:r>
    </w:p>
    <w:p w:rsidR="0080690B" w:rsidRDefault="0080690B" w:rsidP="001B2505">
      <w:pPr>
        <w:rPr>
          <w:lang w:val="fr-FR"/>
        </w:rPr>
      </w:pPr>
      <w:r>
        <w:rPr>
          <w:lang w:val="fr-FR"/>
        </w:rPr>
        <w:t>Les risques sont regroupés en trois catégories : risques liés au contexte, risques liés aux programmes et risques institutionnels.</w:t>
      </w:r>
    </w:p>
    <w:p w:rsidR="00367029" w:rsidRPr="00876CF3" w:rsidRDefault="001B2505" w:rsidP="001B2505">
      <w:pPr>
        <w:rPr>
          <w:lang w:val="fr-FR"/>
        </w:rPr>
      </w:pPr>
      <w:r>
        <w:rPr>
          <w:lang w:val="fr-FR"/>
        </w:rPr>
        <w:t>Notez tous les</w:t>
      </w:r>
      <w:r w:rsidR="00777E6D">
        <w:rPr>
          <w:lang w:val="fr-FR"/>
        </w:rPr>
        <w:t xml:space="preserve"> risques s’appliquant à votre contexte. Évaluez leur probabilité sur une échelle allant de 1 (faible) à 5 (élevée), puis évaluez l’impact potentiel de chaque risque</w:t>
      </w:r>
      <w:r w:rsidR="00043E58">
        <w:rPr>
          <w:lang w:val="fr-FR"/>
        </w:rPr>
        <w:t>, toujours</w:t>
      </w:r>
      <w:r w:rsidR="00777E6D">
        <w:rPr>
          <w:lang w:val="fr-FR"/>
        </w:rPr>
        <w:t xml:space="preserve"> sur une échelle allant de 1 à 5. </w:t>
      </w:r>
      <w:r w:rsidR="00043E58">
        <w:rPr>
          <w:lang w:val="fr-FR"/>
        </w:rPr>
        <w:t>Intégrez</w:t>
      </w:r>
      <w:r w:rsidR="00777E6D">
        <w:rPr>
          <w:lang w:val="fr-FR"/>
        </w:rPr>
        <w:t xml:space="preserve"> ces informations </w:t>
      </w:r>
      <w:r w:rsidR="00043E58">
        <w:rPr>
          <w:lang w:val="fr-FR"/>
        </w:rPr>
        <w:t xml:space="preserve">dans </w:t>
      </w:r>
      <w:r w:rsidR="0037349E">
        <w:rPr>
          <w:lang w:val="fr-FR"/>
        </w:rPr>
        <w:t>l’outil 3.1.4.3</w:t>
      </w:r>
      <w:r w:rsidR="003E73B1">
        <w:rPr>
          <w:lang w:val="fr-FR"/>
        </w:rPr>
        <w:t>,</w:t>
      </w:r>
      <w:r w:rsidR="00777E6D">
        <w:rPr>
          <w:lang w:val="fr-FR"/>
        </w:rPr>
        <w:t xml:space="preserve"> intitulé « Modèle </w:t>
      </w:r>
      <w:r>
        <w:rPr>
          <w:lang w:val="fr-FR"/>
        </w:rPr>
        <w:t>de registre des</w:t>
      </w:r>
      <w:r w:rsidR="00777E6D">
        <w:rPr>
          <w:lang w:val="fr-FR"/>
        </w:rPr>
        <w:t xml:space="preserve"> risques</w:t>
      </w:r>
      <w:r w:rsidR="0037349E">
        <w:rPr>
          <w:lang w:val="fr-FR"/>
        </w:rPr>
        <w:t xml:space="preserve"> liés aux </w:t>
      </w:r>
      <w:r>
        <w:rPr>
          <w:lang w:val="fr-FR"/>
        </w:rPr>
        <w:t>PTM</w:t>
      </w:r>
      <w:r w:rsidR="00777E6D">
        <w:rPr>
          <w:lang w:val="fr-FR"/>
        </w:rPr>
        <w:t xml:space="preserve"> », </w:t>
      </w:r>
      <w:r>
        <w:rPr>
          <w:lang w:val="fr-FR"/>
        </w:rPr>
        <w:t>qui vous permet de</w:t>
      </w:r>
      <w:r w:rsidR="00777E6D">
        <w:rPr>
          <w:lang w:val="fr-FR"/>
        </w:rPr>
        <w:t xml:space="preserve"> définir les </w:t>
      </w:r>
      <w:r>
        <w:rPr>
          <w:lang w:val="fr-FR"/>
        </w:rPr>
        <w:t>mesures à prendre</w:t>
      </w:r>
      <w:r w:rsidR="00777E6D">
        <w:rPr>
          <w:lang w:val="fr-FR"/>
        </w:rPr>
        <w:t xml:space="preserve"> pour contrôler et réduire chaque risque.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63"/>
        <w:gridCol w:w="1276"/>
        <w:gridCol w:w="2966"/>
        <w:gridCol w:w="6061"/>
      </w:tblGrid>
      <w:tr w:rsidR="00C70C35" w:rsidRPr="001B2505" w:rsidTr="00382808">
        <w:trPr>
          <w:trHeight w:val="426"/>
        </w:trPr>
        <w:tc>
          <w:tcPr>
            <w:tcW w:w="131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CF2E6D" w:rsidRPr="00876CF3" w:rsidRDefault="004B77A9" w:rsidP="00C70C35">
            <w:pPr>
              <w:spacing w:before="120"/>
              <w:jc w:val="center"/>
              <w:rPr>
                <w:rFonts w:cs="Arial"/>
                <w:i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Risques</w:t>
            </w:r>
            <w:r w:rsidR="00C70C35" w:rsidRPr="00876CF3">
              <w:rPr>
                <w:rFonts w:cs="Arial"/>
                <w:b/>
                <w:color w:val="FFFFFF" w:themeColor="background1"/>
                <w:lang w:val="fr-FR"/>
              </w:rPr>
              <w:br/>
            </w:r>
            <w:r w:rsidR="00CF3D12" w:rsidRPr="00876CF3">
              <w:rPr>
                <w:rFonts w:cs="Arial"/>
                <w:i/>
                <w:color w:val="FFFFFF" w:themeColor="background1"/>
                <w:lang w:val="fr-FR"/>
              </w:rPr>
              <w:t>(</w:t>
            </w:r>
            <w:r>
              <w:rPr>
                <w:rFonts w:cs="Arial"/>
                <w:i/>
                <w:color w:val="FFFFFF" w:themeColor="background1"/>
                <w:lang w:val="fr-FR"/>
              </w:rPr>
              <w:t>et source d’</w:t>
            </w:r>
            <w:r w:rsidR="002946C0" w:rsidRPr="00876CF3">
              <w:rPr>
                <w:rFonts w:cs="Arial"/>
                <w:i/>
                <w:color w:val="FFFFFF" w:themeColor="background1"/>
                <w:lang w:val="fr-FR"/>
              </w:rPr>
              <w:t>i</w:t>
            </w:r>
            <w:r w:rsidR="00CF3D12" w:rsidRPr="00876CF3">
              <w:rPr>
                <w:rFonts w:cs="Arial"/>
                <w:i/>
                <w:color w:val="FFFFFF" w:themeColor="background1"/>
                <w:lang w:val="fr-FR"/>
              </w:rPr>
              <w:t>nformation)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CF2E6D" w:rsidRPr="00876CF3" w:rsidRDefault="004B77A9" w:rsidP="004B77A9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Probabilité</w:t>
            </w:r>
            <w:r w:rsidR="00C70C35" w:rsidRPr="00876CF3">
              <w:rPr>
                <w:rFonts w:cs="Arial"/>
                <w:b/>
                <w:color w:val="FFFFFF" w:themeColor="background1"/>
                <w:lang w:val="fr-FR"/>
              </w:rPr>
              <w:br/>
            </w:r>
            <w:r>
              <w:rPr>
                <w:rFonts w:cs="Arial"/>
                <w:b/>
                <w:color w:val="FFFFFF" w:themeColor="background1"/>
                <w:lang w:val="fr-FR"/>
              </w:rPr>
              <w:t xml:space="preserve">(1 Faible 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- </w:t>
            </w:r>
            <w:r w:rsidR="00382808" w:rsidRPr="00876CF3">
              <w:rPr>
                <w:rFonts w:cs="Arial"/>
                <w:b/>
                <w:color w:val="FFFFFF" w:themeColor="background1"/>
                <w:lang w:val="fr-FR"/>
              </w:rPr>
              <w:br/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5 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>Élevée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>)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A578A6" w:rsidRPr="00876CF3" w:rsidRDefault="001B2505" w:rsidP="001B2505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I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>mpact</w:t>
            </w:r>
            <w:r w:rsidR="008660E0">
              <w:rPr>
                <w:rFonts w:cs="Arial"/>
                <w:b/>
                <w:color w:val="FFFFFF" w:themeColor="background1"/>
                <w:lang w:val="fr-FR"/>
              </w:rPr>
              <w:t xml:space="preserve"> du risque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>sur le</w:t>
            </w:r>
            <w:r w:rsidR="00402C6F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 p</w:t>
            </w:r>
            <w:r w:rsidR="00E175AC" w:rsidRPr="00876CF3">
              <w:rPr>
                <w:rFonts w:cs="Arial"/>
                <w:b/>
                <w:color w:val="FFFFFF" w:themeColor="background1"/>
                <w:lang w:val="fr-FR"/>
              </w:rPr>
              <w:t>rogram</w:t>
            </w:r>
            <w:r w:rsidR="004F7EB3" w:rsidRPr="00876CF3">
              <w:rPr>
                <w:rFonts w:cs="Arial"/>
                <w:b/>
                <w:color w:val="FFFFFF" w:themeColor="background1"/>
                <w:lang w:val="fr-FR"/>
              </w:rPr>
              <w:t>me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 </w:t>
            </w:r>
            <w:r w:rsidR="00C70C35" w:rsidRPr="00876CF3">
              <w:rPr>
                <w:rFonts w:cs="Arial"/>
                <w:b/>
                <w:color w:val="FFFFFF" w:themeColor="background1"/>
                <w:lang w:val="fr-FR"/>
              </w:rPr>
              <w:br/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(1 </w:t>
            </w:r>
            <w:r w:rsidR="004B77A9">
              <w:rPr>
                <w:rFonts w:cs="Arial"/>
                <w:b/>
                <w:color w:val="FFFFFF" w:themeColor="background1"/>
                <w:lang w:val="fr-FR"/>
              </w:rPr>
              <w:t>Faible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 – 5 </w:t>
            </w:r>
            <w:r w:rsidR="004B77A9">
              <w:rPr>
                <w:rFonts w:cs="Arial"/>
                <w:b/>
                <w:color w:val="FFFFFF" w:themeColor="background1"/>
                <w:lang w:val="fr-FR"/>
              </w:rPr>
              <w:t>Élevé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>)</w:t>
            </w: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CF2E6D" w:rsidRPr="00876CF3" w:rsidRDefault="004B77A9" w:rsidP="00C70C35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Mesures potentielles de réduction des risques</w:t>
            </w:r>
          </w:p>
        </w:tc>
      </w:tr>
      <w:tr w:rsidR="00A578A6" w:rsidRPr="00876CF3" w:rsidTr="00214372">
        <w:tc>
          <w:tcPr>
            <w:tcW w:w="5000" w:type="pct"/>
            <w:gridSpan w:val="4"/>
            <w:shd w:val="clear" w:color="auto" w:fill="E6E6E6"/>
            <w:vAlign w:val="center"/>
          </w:tcPr>
          <w:p w:rsidR="00A578A6" w:rsidRPr="00876CF3" w:rsidRDefault="004B77A9" w:rsidP="004B77A9">
            <w:pPr>
              <w:spacing w:before="60" w:after="60"/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FR"/>
              </w:rPr>
              <w:t>Risques liés au contexte</w:t>
            </w:r>
          </w:p>
        </w:tc>
      </w:tr>
      <w:tr w:rsidR="00382808" w:rsidRPr="001B2505" w:rsidTr="00382808">
        <w:trPr>
          <w:trHeight w:val="545"/>
        </w:trPr>
        <w:tc>
          <w:tcPr>
            <w:tcW w:w="1311" w:type="pct"/>
            <w:shd w:val="clear" w:color="auto" w:fill="A6A6A6"/>
            <w:vAlign w:val="center"/>
          </w:tcPr>
          <w:p w:rsidR="00E26136" w:rsidRPr="00876CF3" w:rsidRDefault="000E446E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bCs/>
                <w:iCs/>
                <w:color w:val="000000"/>
                <w:lang w:val="fr-FR" w:eastAsia="en-GB"/>
              </w:rPr>
              <w:t>Réglementations/lois gouvernementales</w:t>
            </w:r>
          </w:p>
        </w:tc>
        <w:tc>
          <w:tcPr>
            <w:tcW w:w="457" w:type="pct"/>
            <w:shd w:val="clear" w:color="auto" w:fill="F3F3F3"/>
          </w:tcPr>
          <w:p w:rsidR="00E26136" w:rsidRPr="00876CF3" w:rsidRDefault="00E26136" w:rsidP="00775D77">
            <w:pPr>
              <w:pStyle w:val="ListParagraph"/>
              <w:spacing w:before="20" w:after="20"/>
              <w:ind w:left="317"/>
              <w:jc w:val="left"/>
              <w:rPr>
                <w:rFonts w:cs="Arial"/>
                <w:bCs/>
                <w:iCs/>
                <w:color w:val="000000"/>
                <w:szCs w:val="20"/>
                <w:lang w:val="fr-FR" w:eastAsia="en-GB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E26136" w:rsidRPr="00876CF3" w:rsidRDefault="00E26136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70" w:type="pct"/>
            <w:shd w:val="clear" w:color="auto" w:fill="E6E6E6"/>
            <w:vAlign w:val="center"/>
          </w:tcPr>
          <w:p w:rsidR="00E26136" w:rsidRPr="00013693" w:rsidRDefault="003321F0" w:rsidP="001B25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Choisissez</w:t>
            </w:r>
            <w:r w:rsidR="00013693">
              <w:rPr>
                <w:lang w:val="fr-FR"/>
              </w:rPr>
              <w:t xml:space="preserve"> un mécanisme de distribution (</w:t>
            </w:r>
            <w:r w:rsidR="001B2505">
              <w:rPr>
                <w:lang w:val="fr-FR"/>
              </w:rPr>
              <w:t>organisme tiers</w:t>
            </w:r>
            <w:r w:rsidR="00013693">
              <w:rPr>
                <w:lang w:val="fr-FR"/>
              </w:rPr>
              <w:t xml:space="preserve"> ou méthode) respectant les réglementations et les lois nationales</w:t>
            </w:r>
          </w:p>
        </w:tc>
      </w:tr>
      <w:tr w:rsidR="00382808" w:rsidRPr="001B2505" w:rsidTr="00382808">
        <w:trPr>
          <w:trHeight w:val="545"/>
        </w:trPr>
        <w:tc>
          <w:tcPr>
            <w:tcW w:w="1311" w:type="pct"/>
            <w:shd w:val="clear" w:color="auto" w:fill="A6A6A6"/>
            <w:vAlign w:val="center"/>
          </w:tcPr>
          <w:p w:rsidR="00E26136" w:rsidRPr="00876CF3" w:rsidRDefault="000E446E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Sécurité</w:t>
            </w:r>
            <w:r w:rsidR="00043E58">
              <w:rPr>
                <w:rFonts w:cs="Arial"/>
                <w:b/>
                <w:lang w:val="fr-FR"/>
              </w:rPr>
              <w:t>/</w:t>
            </w:r>
            <w:r w:rsidR="00E26136" w:rsidRPr="00876CF3">
              <w:rPr>
                <w:rFonts w:cs="Arial"/>
                <w:b/>
                <w:lang w:val="fr-FR"/>
              </w:rPr>
              <w:t>acc</w:t>
            </w:r>
            <w:r>
              <w:rPr>
                <w:rFonts w:cs="Arial"/>
                <w:b/>
                <w:lang w:val="fr-FR"/>
              </w:rPr>
              <w:t>ès</w:t>
            </w:r>
          </w:p>
        </w:tc>
        <w:tc>
          <w:tcPr>
            <w:tcW w:w="457" w:type="pct"/>
            <w:shd w:val="clear" w:color="auto" w:fill="F3F3F3"/>
            <w:vAlign w:val="center"/>
          </w:tcPr>
          <w:p w:rsidR="00E26136" w:rsidRPr="00876CF3" w:rsidRDefault="00E26136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E26136" w:rsidRPr="00876CF3" w:rsidRDefault="00E26136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70" w:type="pct"/>
            <w:shd w:val="clear" w:color="auto" w:fill="E6E6E6"/>
            <w:vAlign w:val="center"/>
          </w:tcPr>
          <w:p w:rsidR="00E26136" w:rsidRPr="00013693" w:rsidRDefault="00013693" w:rsidP="00043E5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Veillez à ce que le contexte opérationnel soit suffisamment sûr pour garantir l’accès </w:t>
            </w:r>
            <w:r w:rsidR="00043E58">
              <w:rPr>
                <w:lang w:val="fr-FR"/>
              </w:rPr>
              <w:t>aux</w:t>
            </w:r>
            <w:r>
              <w:rPr>
                <w:lang w:val="fr-FR"/>
              </w:rPr>
              <w:t xml:space="preserve"> bénéficiaires</w:t>
            </w:r>
          </w:p>
        </w:tc>
      </w:tr>
      <w:tr w:rsidR="00382808" w:rsidRPr="001B2505" w:rsidTr="00382808">
        <w:trPr>
          <w:trHeight w:val="545"/>
        </w:trPr>
        <w:tc>
          <w:tcPr>
            <w:tcW w:w="131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26136" w:rsidRPr="00876CF3" w:rsidRDefault="000E446E" w:rsidP="000E446E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Inflation provoqu</w:t>
            </w:r>
            <w:r w:rsidR="001B2505">
              <w:rPr>
                <w:rFonts w:cs="Arial"/>
                <w:b/>
                <w:lang w:val="fr-FR"/>
              </w:rPr>
              <w:t xml:space="preserve">ée par des facteurs externes, par </w:t>
            </w:r>
            <w:r>
              <w:rPr>
                <w:rFonts w:cs="Arial"/>
                <w:b/>
                <w:lang w:val="fr-FR"/>
              </w:rPr>
              <w:t>ex.</w:t>
            </w:r>
            <w:r w:rsidR="00043E58">
              <w:rPr>
                <w:rFonts w:cs="Arial"/>
                <w:b/>
                <w:lang w:val="fr-FR"/>
              </w:rPr>
              <w:t xml:space="preserve"> par une</w:t>
            </w:r>
            <w:r>
              <w:rPr>
                <w:rFonts w:cs="Arial"/>
                <w:b/>
                <w:lang w:val="fr-FR"/>
              </w:rPr>
              <w:t xml:space="preserve"> dévaluation de la monnaie</w:t>
            </w:r>
            <w:r w:rsidR="003E73B1">
              <w:rPr>
                <w:rFonts w:cs="Arial"/>
                <w:b/>
                <w:lang w:val="fr-FR"/>
              </w:rPr>
              <w:t xml:space="preserve"> 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26136" w:rsidRPr="00876CF3" w:rsidRDefault="00E26136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26136" w:rsidRPr="00876CF3" w:rsidRDefault="00E26136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26136" w:rsidRPr="00013693" w:rsidRDefault="00013693" w:rsidP="001B25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Élaborez un plan d’urgence définissant la marche à suivre </w:t>
            </w:r>
            <w:r w:rsidR="00043E58">
              <w:rPr>
                <w:lang w:val="fr-FR"/>
              </w:rPr>
              <w:t>en cas d’</w:t>
            </w:r>
            <w:r>
              <w:rPr>
                <w:lang w:val="fr-FR"/>
              </w:rPr>
              <w:t xml:space="preserve">inflation et </w:t>
            </w:r>
            <w:r w:rsidR="00043E58">
              <w:rPr>
                <w:lang w:val="fr-FR"/>
              </w:rPr>
              <w:t>d</w:t>
            </w:r>
            <w:r>
              <w:rPr>
                <w:lang w:val="fr-FR"/>
              </w:rPr>
              <w:t xml:space="preserve">e </w:t>
            </w:r>
            <w:r w:rsidR="001B2505">
              <w:rPr>
                <w:lang w:val="fr-FR"/>
              </w:rPr>
              <w:t>réduction du</w:t>
            </w:r>
            <w:r>
              <w:rPr>
                <w:lang w:val="fr-FR"/>
              </w:rPr>
              <w:t xml:space="preserve"> pouvoir d’achat</w:t>
            </w:r>
            <w:r w:rsidR="00043E58">
              <w:rPr>
                <w:lang w:val="fr-FR"/>
              </w:rPr>
              <w:t xml:space="preserve"> (adaptation du</w:t>
            </w:r>
            <w:r>
              <w:rPr>
                <w:lang w:val="fr-FR"/>
              </w:rPr>
              <w:t xml:space="preserve"> montant des transferts, </w:t>
            </w:r>
            <w:r w:rsidR="00043E58">
              <w:rPr>
                <w:lang w:val="fr-FR"/>
              </w:rPr>
              <w:t>choix d’</w:t>
            </w:r>
            <w:r>
              <w:rPr>
                <w:lang w:val="fr-FR"/>
              </w:rPr>
              <w:t>une autre modalité, etc.)</w:t>
            </w:r>
          </w:p>
        </w:tc>
      </w:tr>
      <w:tr w:rsidR="00E26136" w:rsidRPr="00876CF3" w:rsidTr="00214372">
        <w:tc>
          <w:tcPr>
            <w:tcW w:w="0" w:type="auto"/>
            <w:gridSpan w:val="4"/>
            <w:shd w:val="clear" w:color="auto" w:fill="E6E6E6"/>
            <w:vAlign w:val="center"/>
          </w:tcPr>
          <w:p w:rsidR="00E26136" w:rsidRPr="00876CF3" w:rsidRDefault="004B77A9" w:rsidP="00261765">
            <w:pPr>
              <w:spacing w:before="60" w:after="60"/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FR"/>
              </w:rPr>
              <w:t>Risques liés aux programmes</w:t>
            </w:r>
          </w:p>
        </w:tc>
      </w:tr>
      <w:tr w:rsidR="00382808" w:rsidRPr="001B2505" w:rsidTr="00382808">
        <w:trPr>
          <w:trHeight w:val="545"/>
        </w:trPr>
        <w:tc>
          <w:tcPr>
            <w:tcW w:w="1311" w:type="pct"/>
            <w:shd w:val="clear" w:color="auto" w:fill="A6A6A6"/>
            <w:vAlign w:val="center"/>
          </w:tcPr>
          <w:p w:rsidR="00BD6F9B" w:rsidRPr="00876CF3" w:rsidRDefault="000E446E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bCs/>
                <w:color w:val="000000"/>
                <w:lang w:val="fr-FR" w:eastAsia="en-GB"/>
              </w:rPr>
              <w:t>Risques liés aux capacités de financement</w:t>
            </w:r>
          </w:p>
        </w:tc>
        <w:tc>
          <w:tcPr>
            <w:tcW w:w="457" w:type="pct"/>
            <w:shd w:val="clear" w:color="auto" w:fill="F3F3F3"/>
            <w:vAlign w:val="center"/>
          </w:tcPr>
          <w:p w:rsidR="00BD6F9B" w:rsidRPr="00876CF3" w:rsidRDefault="00BD6F9B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1062" w:type="pct"/>
            <w:shd w:val="clear" w:color="auto" w:fill="F3F3F3"/>
          </w:tcPr>
          <w:p w:rsidR="00BD6F9B" w:rsidRPr="00876CF3" w:rsidRDefault="00BD6F9B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</w:p>
        </w:tc>
        <w:tc>
          <w:tcPr>
            <w:tcW w:w="2170" w:type="pct"/>
            <w:shd w:val="clear" w:color="auto" w:fill="E6E6E6"/>
          </w:tcPr>
          <w:p w:rsidR="00013693" w:rsidRDefault="00FE2FA9" w:rsidP="001B25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Évaluez les stratégies potentielles des donateurs </w:t>
            </w:r>
            <w:r w:rsidR="001B2505">
              <w:rPr>
                <w:lang w:val="fr-FR"/>
              </w:rPr>
              <w:t>en matière de</w:t>
            </w:r>
            <w:r>
              <w:rPr>
                <w:lang w:val="fr-FR"/>
              </w:rPr>
              <w:t xml:space="preserve"> PTM dans </w:t>
            </w:r>
            <w:r w:rsidR="00043E58">
              <w:rPr>
                <w:lang w:val="fr-FR"/>
              </w:rPr>
              <w:t>le contexte en question</w:t>
            </w:r>
          </w:p>
          <w:p w:rsidR="00BD6F9B" w:rsidRPr="00E13D16" w:rsidRDefault="00E13D16" w:rsidP="00043E5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lastRenderedPageBreak/>
              <w:t>Tirez des enseignements des opérations mises en œuvre dans des contextes similaires</w:t>
            </w:r>
          </w:p>
        </w:tc>
      </w:tr>
      <w:tr w:rsidR="00382808" w:rsidRPr="001B2505" w:rsidTr="00382808">
        <w:tc>
          <w:tcPr>
            <w:tcW w:w="131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67029" w:rsidRPr="00876CF3" w:rsidRDefault="000E446E" w:rsidP="001B2505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bCs/>
                <w:color w:val="000000"/>
                <w:lang w:val="fr-FR" w:eastAsia="en-GB"/>
              </w:rPr>
              <w:lastRenderedPageBreak/>
              <w:t xml:space="preserve">Risques liés à la collaboration avec des </w:t>
            </w:r>
            <w:r w:rsidR="001B2505">
              <w:rPr>
                <w:rFonts w:cs="Arial"/>
                <w:b/>
                <w:bCs/>
                <w:color w:val="000000"/>
                <w:lang w:val="fr-FR" w:eastAsia="en-GB"/>
              </w:rPr>
              <w:t>organismes tiers</w:t>
            </w:r>
          </w:p>
        </w:tc>
        <w:tc>
          <w:tcPr>
            <w:tcW w:w="457" w:type="pct"/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1062" w:type="pct"/>
            <w:shd w:val="clear" w:color="auto" w:fill="F3F3F3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:rsidR="00FE2FA9" w:rsidRDefault="00043E58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Privilégiez la</w:t>
            </w:r>
            <w:r w:rsidR="00FE2FA9">
              <w:rPr>
                <w:lang w:val="fr-FR"/>
              </w:rPr>
              <w:t xml:space="preserve"> dis</w:t>
            </w:r>
            <w:r>
              <w:rPr>
                <w:lang w:val="fr-FR"/>
              </w:rPr>
              <w:t>tribution fréquente</w:t>
            </w:r>
            <w:r w:rsidR="00FE2FA9">
              <w:rPr>
                <w:lang w:val="fr-FR"/>
              </w:rPr>
              <w:t xml:space="preserve"> de petits montants plutôt qu’un seul versement important</w:t>
            </w:r>
          </w:p>
          <w:p w:rsidR="00367029" w:rsidRPr="00876CF3" w:rsidRDefault="00FE2FA9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Informez le public des conséquences </w:t>
            </w:r>
            <w:r w:rsidR="00482005">
              <w:rPr>
                <w:lang w:val="fr-FR"/>
              </w:rPr>
              <w:t xml:space="preserve">de tout incident de sécurité (par </w:t>
            </w:r>
            <w:r>
              <w:rPr>
                <w:lang w:val="fr-FR"/>
              </w:rPr>
              <w:t>ex. l’arrêt du programme, etc.)</w:t>
            </w:r>
          </w:p>
          <w:p w:rsidR="00367029" w:rsidRPr="00876CF3" w:rsidRDefault="00482005" w:rsidP="004820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Associez</w:t>
            </w:r>
            <w:r w:rsidR="00FE2FA9">
              <w:rPr>
                <w:lang w:val="fr-FR"/>
              </w:rPr>
              <w:t xml:space="preserve"> les membres de la communauté </w:t>
            </w:r>
            <w:r>
              <w:rPr>
                <w:lang w:val="fr-FR"/>
              </w:rPr>
              <w:t>au choix du</w:t>
            </w:r>
            <w:r w:rsidR="00FE2FA9">
              <w:rPr>
                <w:lang w:val="fr-FR"/>
              </w:rPr>
              <w:t xml:space="preserve"> lieu de distribution le plus sûr</w:t>
            </w:r>
          </w:p>
          <w:p w:rsidR="00FE2FA9" w:rsidRDefault="00043E58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Surveillez</w:t>
            </w:r>
            <w:r w:rsidR="00FE2FA9">
              <w:rPr>
                <w:lang w:val="fr-FR"/>
              </w:rPr>
              <w:t xml:space="preserve"> le processus d’encaissement afin de vous assurer que les intermé</w:t>
            </w:r>
            <w:r>
              <w:rPr>
                <w:lang w:val="fr-FR"/>
              </w:rPr>
              <w:t>diaires respectent le processus et les normes convenu</w:t>
            </w:r>
            <w:r w:rsidR="00FE2FA9">
              <w:rPr>
                <w:lang w:val="fr-FR"/>
              </w:rPr>
              <w:t>s</w:t>
            </w:r>
          </w:p>
          <w:p w:rsidR="00367029" w:rsidRDefault="00FE2FA9" w:rsidP="004820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Effectuez un suivi de l’encaissement des espèces par les bénéficiaires afin de vous assurer </w:t>
            </w:r>
            <w:r w:rsidR="00482005">
              <w:rPr>
                <w:lang w:val="fr-FR"/>
              </w:rPr>
              <w:t>qu’ils</w:t>
            </w:r>
            <w:r>
              <w:rPr>
                <w:lang w:val="fr-FR"/>
              </w:rPr>
              <w:t xml:space="preserve"> n’ont</w:t>
            </w:r>
            <w:r w:rsidR="003E73B1">
              <w:rPr>
                <w:lang w:val="fr-FR"/>
              </w:rPr>
              <w:t xml:space="preserve"> </w:t>
            </w:r>
            <w:r>
              <w:rPr>
                <w:lang w:val="fr-FR"/>
              </w:rPr>
              <w:t>pas dû payer de frais, qu’ils n’ont pas été harcelés, etc.</w:t>
            </w:r>
          </w:p>
          <w:p w:rsidR="00367029" w:rsidRPr="00FE2FA9" w:rsidRDefault="00FE2FA9" w:rsidP="00FE2FA9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Existe-t-il une permanence téléphonique ou un mécanisme de plainte auquel les bénéficiaires peuvent facilement accéder ?</w:t>
            </w:r>
          </w:p>
        </w:tc>
      </w:tr>
      <w:tr w:rsidR="00382808" w:rsidRPr="001B2505" w:rsidTr="00382808">
        <w:trPr>
          <w:trHeight w:val="545"/>
        </w:trPr>
        <w:tc>
          <w:tcPr>
            <w:tcW w:w="1311" w:type="pct"/>
            <w:shd w:val="clear" w:color="auto" w:fill="A6A6A6"/>
            <w:vAlign w:val="center"/>
          </w:tcPr>
          <w:p w:rsidR="00367029" w:rsidRPr="00876CF3" w:rsidRDefault="000E446E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Risques liés à la sécurité des employés et des volontaires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70" w:type="pct"/>
            <w:shd w:val="clear" w:color="auto" w:fill="E6E6E6"/>
            <w:vAlign w:val="center"/>
          </w:tcPr>
          <w:p w:rsidR="003321F0" w:rsidRDefault="003321F0" w:rsidP="004820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Recrutez des employés/volontaires qualifiés et </w:t>
            </w:r>
            <w:r w:rsidR="00482005">
              <w:rPr>
                <w:lang w:val="fr-FR"/>
              </w:rPr>
              <w:t>dispen</w:t>
            </w:r>
            <w:r>
              <w:rPr>
                <w:lang w:val="fr-FR"/>
              </w:rPr>
              <w:t xml:space="preserve">sez-leur une formation adéquate </w:t>
            </w:r>
            <w:r w:rsidR="00482005">
              <w:rPr>
                <w:lang w:val="fr-FR"/>
              </w:rPr>
              <w:t>à</w:t>
            </w:r>
            <w:r>
              <w:rPr>
                <w:lang w:val="fr-FR"/>
              </w:rPr>
              <w:t xml:space="preserve"> la mise en œuvre des programmes</w:t>
            </w:r>
          </w:p>
          <w:p w:rsidR="00367029" w:rsidRPr="00876CF3" w:rsidRDefault="003321F0" w:rsidP="004820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Instaurez une communication régulière avec les autorités nationales et locales, les parties prenantes et les </w:t>
            </w:r>
            <w:r w:rsidR="00482005">
              <w:rPr>
                <w:lang w:val="fr-FR"/>
              </w:rPr>
              <w:t>dirigeants communautaires</w:t>
            </w:r>
          </w:p>
          <w:p w:rsidR="00367029" w:rsidRPr="00876CF3" w:rsidRDefault="003321F0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Choisissez un mécanisme de transfert</w:t>
            </w:r>
            <w:r w:rsidR="00482005">
              <w:rPr>
                <w:lang w:val="fr-FR"/>
              </w:rPr>
              <w:t>s</w:t>
            </w:r>
            <w:r>
              <w:rPr>
                <w:lang w:val="fr-FR"/>
              </w:rPr>
              <w:t xml:space="preserve"> monétaire</w:t>
            </w:r>
            <w:r w:rsidR="00482005">
              <w:rPr>
                <w:lang w:val="fr-FR"/>
              </w:rPr>
              <w:t>s</w:t>
            </w:r>
            <w:r>
              <w:rPr>
                <w:lang w:val="fr-FR"/>
              </w:rPr>
              <w:t xml:space="preserve"> approprié</w:t>
            </w:r>
          </w:p>
          <w:p w:rsidR="00367029" w:rsidRPr="00876CF3" w:rsidRDefault="003321F0" w:rsidP="004820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Veillez à ce que le ciblage des bénéficiaires soit </w:t>
            </w:r>
            <w:r w:rsidR="00482005">
              <w:rPr>
                <w:lang w:val="fr-FR"/>
              </w:rPr>
              <w:t>mené de façon</w:t>
            </w:r>
            <w:r>
              <w:rPr>
                <w:lang w:val="fr-FR"/>
              </w:rPr>
              <w:t xml:space="preserve"> transparent</w:t>
            </w:r>
            <w:r w:rsidR="00482005">
              <w:rPr>
                <w:lang w:val="fr-FR"/>
              </w:rPr>
              <w:t>e et participative</w:t>
            </w:r>
          </w:p>
          <w:p w:rsidR="003321F0" w:rsidRDefault="003321F0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Mettez en place un mécanisme de plainte et de retour</w:t>
            </w:r>
            <w:r w:rsidR="00CD0468">
              <w:rPr>
                <w:lang w:val="fr-FR"/>
              </w:rPr>
              <w:t>s</w:t>
            </w:r>
            <w:r>
              <w:rPr>
                <w:lang w:val="fr-FR"/>
              </w:rPr>
              <w:t xml:space="preserve"> d’information afin de permettre aux bénéficiaires de formuler des réclamations dans le calme</w:t>
            </w:r>
          </w:p>
          <w:p w:rsidR="003321F0" w:rsidRDefault="003321F0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Développez de bonnes relations de travail avec les organisations non gouvernementales actives dans la même région</w:t>
            </w:r>
          </w:p>
          <w:p w:rsidR="00367029" w:rsidRPr="003321F0" w:rsidRDefault="00043E58" w:rsidP="00043E5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Assurez-vous que les membres</w:t>
            </w:r>
            <w:r w:rsidR="003321F0">
              <w:rPr>
                <w:lang w:val="fr-FR"/>
              </w:rPr>
              <w:t xml:space="preserve"> de la communauté comprennent les conséquences de toute menace pour la sécurité (le programme peut être arrêté ou suspendu le cas échéant)</w:t>
            </w:r>
          </w:p>
        </w:tc>
      </w:tr>
      <w:tr w:rsidR="00382808" w:rsidRPr="001B2505" w:rsidTr="00382808">
        <w:tc>
          <w:tcPr>
            <w:tcW w:w="1311" w:type="pct"/>
            <w:shd w:val="clear" w:color="auto" w:fill="A6A6A6"/>
            <w:vAlign w:val="center"/>
          </w:tcPr>
          <w:p w:rsidR="00367029" w:rsidRPr="00876CF3" w:rsidRDefault="000E446E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Risques liés à la sécurité des bénéficiaires</w:t>
            </w:r>
          </w:p>
        </w:tc>
        <w:tc>
          <w:tcPr>
            <w:tcW w:w="457" w:type="pct"/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321F0" w:rsidRDefault="003321F0" w:rsidP="00CD04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Choisissez </w:t>
            </w:r>
            <w:r w:rsidR="00043E58">
              <w:rPr>
                <w:lang w:val="fr-FR"/>
              </w:rPr>
              <w:t>des opérations de secours/</w:t>
            </w:r>
            <w:r>
              <w:rPr>
                <w:lang w:val="fr-FR"/>
              </w:rPr>
              <w:t xml:space="preserve">transferts monétaires appropriées et </w:t>
            </w:r>
            <w:r w:rsidR="00CD0468">
              <w:rPr>
                <w:lang w:val="fr-FR"/>
              </w:rPr>
              <w:t>associez</w:t>
            </w:r>
            <w:r>
              <w:rPr>
                <w:lang w:val="fr-FR"/>
              </w:rPr>
              <w:t xml:space="preserve"> la communauté dans le processus</w:t>
            </w:r>
          </w:p>
          <w:p w:rsidR="00367029" w:rsidRPr="00876CF3" w:rsidRDefault="003321F0" w:rsidP="00CD04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Offrez aux bénéficiaires une certaine flexibilité concernant le lieu et </w:t>
            </w:r>
            <w:r w:rsidR="00607D0F">
              <w:rPr>
                <w:lang w:val="fr-FR"/>
              </w:rPr>
              <w:t>la date de réception des espèces (</w:t>
            </w:r>
            <w:r w:rsidR="00043E58">
              <w:rPr>
                <w:lang w:val="fr-FR"/>
              </w:rPr>
              <w:t xml:space="preserve">tous les bénéficiaires ne devraient pas recevoir les espèces à une </w:t>
            </w:r>
            <w:r w:rsidR="00CD0468">
              <w:rPr>
                <w:lang w:val="fr-FR"/>
              </w:rPr>
              <w:t>heure</w:t>
            </w:r>
            <w:r w:rsidR="00043E58">
              <w:rPr>
                <w:lang w:val="fr-FR"/>
              </w:rPr>
              <w:t xml:space="preserve"> précise ou le</w:t>
            </w:r>
            <w:r w:rsidR="00607D0F">
              <w:rPr>
                <w:lang w:val="fr-FR"/>
              </w:rPr>
              <w:t xml:space="preserve"> même jour)</w:t>
            </w:r>
          </w:p>
          <w:p w:rsidR="00367029" w:rsidRPr="00876CF3" w:rsidRDefault="00607D0F" w:rsidP="00CD04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Veillez à ce que la distribution/le versement des espèces aux bénéficiaires soi</w:t>
            </w:r>
            <w:r w:rsidR="003E73B1">
              <w:rPr>
                <w:lang w:val="fr-FR"/>
              </w:rPr>
              <w:t>en</w:t>
            </w:r>
            <w:r>
              <w:rPr>
                <w:lang w:val="fr-FR"/>
              </w:rPr>
              <w:t>t effectué</w:t>
            </w:r>
            <w:r w:rsidR="003E73B1">
              <w:rPr>
                <w:lang w:val="fr-FR"/>
              </w:rPr>
              <w:t>s</w:t>
            </w:r>
            <w:r>
              <w:rPr>
                <w:lang w:val="fr-FR"/>
              </w:rPr>
              <w:t xml:space="preserve"> à temps pour </w:t>
            </w:r>
            <w:r w:rsidR="00CD0468">
              <w:rPr>
                <w:lang w:val="fr-FR"/>
              </w:rPr>
              <w:t xml:space="preserve">leur </w:t>
            </w:r>
            <w:r>
              <w:rPr>
                <w:lang w:val="fr-FR"/>
              </w:rPr>
              <w:t>permettre de rentrer chez eux avant la nuit</w:t>
            </w:r>
          </w:p>
          <w:p w:rsidR="00607D0F" w:rsidRDefault="00607D0F" w:rsidP="00CD04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Réfléchissez aux risques liés à la sécurité des femmes et demandez l’avis de la communauté concernant la m</w:t>
            </w:r>
            <w:r w:rsidR="00CD0468">
              <w:rPr>
                <w:lang w:val="fr-FR"/>
              </w:rPr>
              <w:t xml:space="preserve">eilleure façon de réduire ou d’éviter </w:t>
            </w:r>
            <w:r>
              <w:rPr>
                <w:lang w:val="fr-FR"/>
              </w:rPr>
              <w:t>ces risques</w:t>
            </w:r>
          </w:p>
          <w:p w:rsidR="00367029" w:rsidRPr="00607D0F" w:rsidRDefault="00CD0468" w:rsidP="00CD04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Pour</w:t>
            </w:r>
            <w:r w:rsidR="00607D0F">
              <w:rPr>
                <w:lang w:val="fr-FR"/>
              </w:rPr>
              <w:t xml:space="preserve"> les programmes « argent contre travail », demandez des conseils techniques concernant la construction et la remise en état des </w:t>
            </w:r>
            <w:r>
              <w:rPr>
                <w:lang w:val="fr-FR"/>
              </w:rPr>
              <w:t>actifs</w:t>
            </w:r>
            <w:r w:rsidR="00607D0F">
              <w:rPr>
                <w:lang w:val="fr-FR"/>
              </w:rPr>
              <w:t xml:space="preserve"> de la communauté afin d’éviter tout accident </w:t>
            </w:r>
            <w:r>
              <w:rPr>
                <w:lang w:val="fr-FR"/>
              </w:rPr>
              <w:t>durant</w:t>
            </w:r>
            <w:r w:rsidR="00607D0F">
              <w:rPr>
                <w:lang w:val="fr-FR"/>
              </w:rPr>
              <w:t xml:space="preserve"> la mise en œuvre des programmes</w:t>
            </w:r>
          </w:p>
        </w:tc>
      </w:tr>
      <w:tr w:rsidR="00622B10" w:rsidRPr="001B2505" w:rsidTr="00382808">
        <w:trPr>
          <w:trHeight w:val="20"/>
        </w:trPr>
        <w:tc>
          <w:tcPr>
            <w:tcW w:w="1311" w:type="pct"/>
            <w:shd w:val="clear" w:color="auto" w:fill="A6A6A6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 w:rsidRPr="00876CF3">
              <w:rPr>
                <w:rFonts w:cs="Arial"/>
                <w:b/>
                <w:lang w:val="fr-FR"/>
              </w:rPr>
              <w:t>Corruptio</w:t>
            </w:r>
            <w:r w:rsidR="00775D77" w:rsidRPr="00876CF3">
              <w:rPr>
                <w:rFonts w:cs="Arial"/>
                <w:b/>
                <w:lang w:val="fr-FR"/>
              </w:rPr>
              <w:t>n</w:t>
            </w:r>
            <w:r w:rsidRPr="00876CF3">
              <w:rPr>
                <w:rFonts w:cs="Arial"/>
                <w:b/>
                <w:lang w:val="fr-FR"/>
              </w:rPr>
              <w:t xml:space="preserve"> 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D0F" w:rsidRDefault="00607D0F" w:rsidP="00CD04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Travaillez en étroite collaboration avec les </w:t>
            </w:r>
            <w:r w:rsidR="00CD0468">
              <w:rPr>
                <w:lang w:val="fr-FR"/>
              </w:rPr>
              <w:t>dirigeants communautaires.</w:t>
            </w:r>
          </w:p>
          <w:p w:rsidR="00367029" w:rsidRPr="00876CF3" w:rsidRDefault="00043E58" w:rsidP="00CD04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Communiquez de manière ouverte</w:t>
            </w:r>
            <w:r w:rsidR="00607D0F">
              <w:rPr>
                <w:lang w:val="fr-FR"/>
              </w:rPr>
              <w:t xml:space="preserve"> avec les membres de la communauté </w:t>
            </w:r>
            <w:r w:rsidR="00CD0468">
              <w:rPr>
                <w:lang w:val="fr-FR"/>
              </w:rPr>
              <w:t>sur les questions liées au</w:t>
            </w:r>
            <w:r w:rsidR="00607D0F">
              <w:rPr>
                <w:lang w:val="fr-FR"/>
              </w:rPr>
              <w:t xml:space="preserve"> projet</w:t>
            </w:r>
          </w:p>
          <w:p w:rsidR="00367029" w:rsidRPr="00876CF3" w:rsidRDefault="00CD0468" w:rsidP="00CD04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Utilisez</w:t>
            </w:r>
            <w:r w:rsidR="00607D0F">
              <w:rPr>
                <w:lang w:val="fr-FR"/>
              </w:rPr>
              <w:t xml:space="preserve"> des critères </w:t>
            </w:r>
            <w:r>
              <w:rPr>
                <w:lang w:val="fr-FR"/>
              </w:rPr>
              <w:t xml:space="preserve">de ciblage des </w:t>
            </w:r>
            <w:r>
              <w:rPr>
                <w:lang w:val="fr-FR"/>
              </w:rPr>
              <w:t xml:space="preserve">bénéficiaires </w:t>
            </w:r>
            <w:r w:rsidR="00607D0F">
              <w:rPr>
                <w:lang w:val="fr-FR"/>
              </w:rPr>
              <w:t xml:space="preserve">vérifiables </w:t>
            </w:r>
            <w:r w:rsidR="003E73B1">
              <w:rPr>
                <w:lang w:val="fr-FR"/>
              </w:rPr>
              <w:t>et vérifiez les listes de</w:t>
            </w:r>
            <w:r w:rsidR="00607D0F">
              <w:rPr>
                <w:lang w:val="fr-FR"/>
              </w:rPr>
              <w:t xml:space="preserve"> bénéficiaires</w:t>
            </w:r>
          </w:p>
          <w:p w:rsidR="00367029" w:rsidRPr="00876CF3" w:rsidRDefault="00607D0F" w:rsidP="005D0EA9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Assurez-vous que les bénéficiaires </w:t>
            </w:r>
            <w:r w:rsidR="00EB4F5A">
              <w:rPr>
                <w:lang w:val="fr-FR"/>
              </w:rPr>
              <w:t>s</w:t>
            </w:r>
            <w:r w:rsidR="005D0EA9">
              <w:rPr>
                <w:lang w:val="fr-FR"/>
              </w:rPr>
              <w:t>avent exactement ce à quoi</w:t>
            </w:r>
            <w:r>
              <w:rPr>
                <w:lang w:val="fr-FR"/>
              </w:rPr>
              <w:t xml:space="preserve"> ils ont droit</w:t>
            </w:r>
          </w:p>
          <w:p w:rsidR="00EB4F5A" w:rsidRDefault="00EB4F5A" w:rsidP="005D0EA9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Effectuez un suivi </w:t>
            </w:r>
            <w:r w:rsidR="005D0EA9">
              <w:rPr>
                <w:lang w:val="fr-FR"/>
              </w:rPr>
              <w:t>post-</w:t>
            </w:r>
            <w:r>
              <w:rPr>
                <w:lang w:val="fr-FR"/>
              </w:rPr>
              <w:t xml:space="preserve"> distribution et demandez aux bénéficiaires si les montants reçus étaient corrects </w:t>
            </w:r>
          </w:p>
          <w:p w:rsidR="00EB4F5A" w:rsidRDefault="00EB4F5A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Veillez à ce que les bénéficiaires soient correctement identifiés lors du processus de paiement</w:t>
            </w:r>
          </w:p>
          <w:p w:rsidR="00367029" w:rsidRPr="00EB4F5A" w:rsidRDefault="00EB4F5A" w:rsidP="005D0EA9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Mettez en place un mécanisme clair de retour</w:t>
            </w:r>
            <w:r w:rsidR="005D0EA9">
              <w:rPr>
                <w:lang w:val="fr-FR"/>
              </w:rPr>
              <w:t>s</w:t>
            </w:r>
            <w:r>
              <w:rPr>
                <w:lang w:val="fr-FR"/>
              </w:rPr>
              <w:t xml:space="preserve"> d’information permettant aux membres de la communauté de mettre en avant les problèmes potentiels et garantissant une réaction rapide </w:t>
            </w:r>
            <w:r w:rsidR="005D0EA9">
              <w:rPr>
                <w:lang w:val="fr-FR"/>
              </w:rPr>
              <w:t>en cours de mise en œuvre</w:t>
            </w:r>
          </w:p>
        </w:tc>
      </w:tr>
      <w:tr w:rsidR="00382808" w:rsidRPr="001B2505" w:rsidTr="00382808">
        <w:trPr>
          <w:trHeight w:val="569"/>
        </w:trPr>
        <w:tc>
          <w:tcPr>
            <w:tcW w:w="1311" w:type="pct"/>
            <w:shd w:val="clear" w:color="auto" w:fill="A6A6A6"/>
            <w:vAlign w:val="center"/>
          </w:tcPr>
          <w:p w:rsidR="00367029" w:rsidRPr="00876CF3" w:rsidRDefault="00367029" w:rsidP="000E446E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 w:rsidRPr="00876CF3">
              <w:rPr>
                <w:rFonts w:cs="Arial"/>
                <w:b/>
                <w:lang w:val="fr-FR"/>
              </w:rPr>
              <w:t>Confli</w:t>
            </w:r>
            <w:r w:rsidR="000E446E">
              <w:rPr>
                <w:rFonts w:cs="Arial"/>
                <w:b/>
                <w:lang w:val="fr-FR"/>
              </w:rPr>
              <w:t>ts au sein de la communauté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B4F5A" w:rsidRDefault="00EB4F5A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Favorisez la mobilisation de la communauté et menez des activités de sensibilisation concernant l’objectif du projet et les bénéficiaires sélectionnés</w:t>
            </w:r>
          </w:p>
          <w:p w:rsidR="00367029" w:rsidRPr="00876CF3" w:rsidRDefault="00EB4F5A" w:rsidP="00A574BB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Assurez-vous que les membres et les </w:t>
            </w:r>
            <w:r w:rsidR="00A574BB">
              <w:rPr>
                <w:lang w:val="fr-FR"/>
              </w:rPr>
              <w:t xml:space="preserve">dirigeants de la communauté sont associés à toutes les phases </w:t>
            </w:r>
            <w:r>
              <w:rPr>
                <w:lang w:val="fr-FR"/>
              </w:rPr>
              <w:t>du cycle de projets</w:t>
            </w:r>
          </w:p>
          <w:p w:rsidR="00367029" w:rsidRPr="00876CF3" w:rsidRDefault="00EB4F5A" w:rsidP="0094398D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Optez pour un ciblage communautaire </w:t>
            </w:r>
            <w:r w:rsidR="00043E58">
              <w:rPr>
                <w:lang w:val="fr-FR"/>
              </w:rPr>
              <w:t>transparent</w:t>
            </w:r>
            <w:r w:rsidR="0094398D">
              <w:rPr>
                <w:lang w:val="fr-FR"/>
              </w:rPr>
              <w:t xml:space="preserve"> afin de</w:t>
            </w:r>
            <w:r>
              <w:rPr>
                <w:lang w:val="fr-FR"/>
              </w:rPr>
              <w:t xml:space="preserve"> réduire les tensions entre les bénéficiaires et les non-bénéficiaires</w:t>
            </w:r>
          </w:p>
          <w:p w:rsidR="00367029" w:rsidRPr="00876CF3" w:rsidRDefault="00EB4F5A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Veillez à ce que les paiements soient effectués à temps : les retards peuvent accroître la vulnérabilité des ménages visés et provoquer des tensions au sein de la communauté</w:t>
            </w:r>
          </w:p>
          <w:p w:rsidR="00367029" w:rsidRPr="00EB4F5A" w:rsidRDefault="00EB4F5A" w:rsidP="00EB4F5A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Élaborez une stratégie de sortie claire afin de limiter les attentes</w:t>
            </w:r>
          </w:p>
        </w:tc>
      </w:tr>
      <w:tr w:rsidR="00382808" w:rsidRPr="001B2505" w:rsidTr="00382808">
        <w:tc>
          <w:tcPr>
            <w:tcW w:w="131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 w:rsidRPr="00876CF3">
              <w:rPr>
                <w:rFonts w:cs="Arial"/>
                <w:b/>
                <w:lang w:val="fr-FR"/>
              </w:rPr>
              <w:t xml:space="preserve">Inflation 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B4F5A" w:rsidRDefault="00EB4F5A" w:rsidP="0094398D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Dans le cadre d’un</w:t>
            </w:r>
            <w:r w:rsidR="0094398D">
              <w:rPr>
                <w:lang w:val="fr-FR"/>
              </w:rPr>
              <w:t xml:space="preserve"> programme de</w:t>
            </w:r>
            <w:r>
              <w:rPr>
                <w:lang w:val="fr-FR"/>
              </w:rPr>
              <w:t xml:space="preserve"> distribution de bons, veillez à ce que le plus grand nombre possible de commerçants participent au programme, afin de favoriser la mise en place d’un marché concurrentiel</w:t>
            </w:r>
          </w:p>
          <w:p w:rsidR="00367029" w:rsidRPr="00876CF3" w:rsidRDefault="00EB4F5A" w:rsidP="009857C1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Vérifiez le prix des articles alimentaires et non alimentaires sur les marchés voisins afin de vous assurer que le marché </w:t>
            </w:r>
            <w:r w:rsidR="0008782B">
              <w:rPr>
                <w:lang w:val="fr-FR"/>
              </w:rPr>
              <w:t xml:space="preserve">de la région </w:t>
            </w:r>
            <w:r w:rsidR="009857C1">
              <w:rPr>
                <w:lang w:val="fr-FR"/>
              </w:rPr>
              <w:t>concernée</w:t>
            </w:r>
            <w:r w:rsidR="0008782B">
              <w:rPr>
                <w:lang w:val="fr-FR"/>
              </w:rPr>
              <w:t xml:space="preserve"> n’augmente pas les prix de manière déloyale</w:t>
            </w:r>
          </w:p>
          <w:p w:rsidR="00367029" w:rsidRPr="00007385" w:rsidRDefault="0008782B" w:rsidP="0000738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Vérifiez régulièrement les taux de change afin de vous assurer que les espèces distribuées conservent leur valeur </w:t>
            </w:r>
            <w:r w:rsidR="00007385">
              <w:rPr>
                <w:lang w:val="fr-FR"/>
              </w:rPr>
              <w:t>en comparaison avec la valeur initiale des subventions</w:t>
            </w:r>
          </w:p>
        </w:tc>
      </w:tr>
      <w:tr w:rsidR="008422B2" w:rsidRPr="001B2505" w:rsidTr="00C05762">
        <w:tc>
          <w:tcPr>
            <w:tcW w:w="0" w:type="auto"/>
            <w:gridSpan w:val="4"/>
            <w:shd w:val="clear" w:color="auto" w:fill="E6E6E6"/>
            <w:vAlign w:val="center"/>
          </w:tcPr>
          <w:p w:rsidR="008422B2" w:rsidRPr="00876CF3" w:rsidRDefault="004B77A9" w:rsidP="004B77A9">
            <w:pPr>
              <w:spacing w:before="60" w:after="60"/>
              <w:rPr>
                <w:rFonts w:cs="Arial"/>
                <w:b/>
                <w:lang w:val="fr-FR"/>
              </w:rPr>
            </w:pPr>
            <w:r>
              <w:rPr>
                <w:b/>
                <w:lang w:val="fr-FR"/>
              </w:rPr>
              <w:t>Risques institutionnels</w:t>
            </w:r>
            <w:r w:rsidR="008422B2" w:rsidRPr="00876CF3">
              <w:rPr>
                <w:b/>
                <w:lang w:val="fr-FR"/>
              </w:rPr>
              <w:t xml:space="preserve"> (</w:t>
            </w:r>
            <w:r>
              <w:rPr>
                <w:b/>
                <w:lang w:val="fr-FR"/>
              </w:rPr>
              <w:t>risques financiers et stratégiques et risques pour la réputation</w:t>
            </w:r>
            <w:r w:rsidR="008422B2" w:rsidRPr="00876CF3">
              <w:rPr>
                <w:b/>
                <w:lang w:val="fr-FR"/>
              </w:rPr>
              <w:t>)</w:t>
            </w:r>
          </w:p>
        </w:tc>
      </w:tr>
      <w:tr w:rsidR="00382808" w:rsidRPr="001B2505" w:rsidTr="00382808">
        <w:trPr>
          <w:trHeight w:val="838"/>
        </w:trPr>
        <w:tc>
          <w:tcPr>
            <w:tcW w:w="1311" w:type="pct"/>
            <w:shd w:val="clear" w:color="auto" w:fill="A6A6A6"/>
            <w:vAlign w:val="center"/>
          </w:tcPr>
          <w:p w:rsidR="00367029" w:rsidRPr="00876CF3" w:rsidRDefault="00043E58" w:rsidP="000E446E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b/>
                <w:bCs/>
                <w:color w:val="000000"/>
                <w:lang w:val="fr-FR" w:eastAsia="en-GB"/>
              </w:rPr>
              <w:t>Redevabilité</w:t>
            </w:r>
            <w:r w:rsidR="00F42B9B" w:rsidRPr="00876CF3">
              <w:rPr>
                <w:rFonts w:cs="Arial"/>
                <w:b/>
                <w:bCs/>
                <w:color w:val="000000"/>
                <w:lang w:val="fr-FR" w:eastAsia="en-GB"/>
              </w:rPr>
              <w:t>, fraud</w:t>
            </w:r>
            <w:r w:rsidR="000E446E">
              <w:rPr>
                <w:rFonts w:cs="Arial"/>
                <w:b/>
                <w:bCs/>
                <w:color w:val="000000"/>
                <w:lang w:val="fr-FR" w:eastAsia="en-GB"/>
              </w:rPr>
              <w:t xml:space="preserve">e et </w:t>
            </w:r>
            <w:r w:rsidR="00F42B9B" w:rsidRPr="00876CF3">
              <w:rPr>
                <w:rFonts w:cs="Arial"/>
                <w:b/>
                <w:bCs/>
                <w:color w:val="000000"/>
                <w:lang w:val="fr-FR" w:eastAsia="en-GB"/>
              </w:rPr>
              <w:t>c</w:t>
            </w:r>
            <w:r w:rsidR="002C021E" w:rsidRPr="00876CF3">
              <w:rPr>
                <w:rFonts w:cs="Arial"/>
                <w:b/>
                <w:bCs/>
                <w:color w:val="000000"/>
                <w:lang w:val="fr-FR" w:eastAsia="en-GB"/>
              </w:rPr>
              <w:t>orruption</w:t>
            </w:r>
          </w:p>
        </w:tc>
        <w:tc>
          <w:tcPr>
            <w:tcW w:w="457" w:type="pct"/>
            <w:shd w:val="clear" w:color="auto" w:fill="F3F3F3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70" w:type="pct"/>
            <w:shd w:val="clear" w:color="auto" w:fill="E6E6E6"/>
            <w:vAlign w:val="center"/>
          </w:tcPr>
          <w:p w:rsidR="00007385" w:rsidRDefault="00007385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Assurez-vous que les transactions financières sont sécurisées</w:t>
            </w:r>
          </w:p>
          <w:p w:rsidR="00367029" w:rsidRPr="00876CF3" w:rsidRDefault="00007385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Identifiez toute possibilité de fraude à grande échelle</w:t>
            </w:r>
          </w:p>
          <w:p w:rsidR="00367029" w:rsidRPr="00007385" w:rsidRDefault="00007385" w:rsidP="0000738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Identifiez tout risque pour la réputation de l’organisation</w:t>
            </w:r>
          </w:p>
        </w:tc>
      </w:tr>
      <w:tr w:rsidR="00382808" w:rsidRPr="001B2505" w:rsidTr="00382808">
        <w:trPr>
          <w:trHeight w:val="1184"/>
        </w:trPr>
        <w:tc>
          <w:tcPr>
            <w:tcW w:w="1311" w:type="pct"/>
            <w:shd w:val="clear" w:color="auto" w:fill="A6A6A6"/>
            <w:vAlign w:val="center"/>
          </w:tcPr>
          <w:p w:rsidR="00367029" w:rsidRPr="00876CF3" w:rsidRDefault="000E446E" w:rsidP="000E446E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bCs/>
                <w:color w:val="000000"/>
                <w:lang w:val="fr-FR" w:eastAsia="en-GB"/>
              </w:rPr>
              <w:t>Risques stratégiques pour la Société nationale</w:t>
            </w:r>
            <w:r>
              <w:rPr>
                <w:rFonts w:cs="Arial"/>
                <w:b/>
                <w:color w:val="000000"/>
                <w:lang w:val="fr-FR" w:eastAsia="en-GB"/>
              </w:rPr>
              <w:t>/le Mouvement</w:t>
            </w:r>
          </w:p>
        </w:tc>
        <w:tc>
          <w:tcPr>
            <w:tcW w:w="457" w:type="pct"/>
            <w:shd w:val="clear" w:color="auto" w:fill="F3F3F3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i/>
                <w:lang w:val="fr-FR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70" w:type="pct"/>
            <w:shd w:val="clear" w:color="auto" w:fill="E6E6E6"/>
            <w:vAlign w:val="center"/>
          </w:tcPr>
          <w:p w:rsidR="00007385" w:rsidRDefault="00007385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Veillez à ce que les PTM soient conformes aux réglementations nationales</w:t>
            </w:r>
          </w:p>
          <w:p w:rsidR="00367029" w:rsidRPr="00876CF3" w:rsidRDefault="00007385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Veillez à ce que les PTM soient conformes aux réglementations du Mouvement</w:t>
            </w:r>
          </w:p>
          <w:p w:rsidR="00367029" w:rsidRPr="00876CF3" w:rsidRDefault="00CA0FDA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Communiquez l</w:t>
            </w:r>
            <w:r w:rsidR="00007385">
              <w:rPr>
                <w:lang w:val="fr-FR"/>
              </w:rPr>
              <w:t>es procédures opérationnelles normalisées en vigueur à toutes les personnes concernées</w:t>
            </w:r>
          </w:p>
          <w:p w:rsidR="00367029" w:rsidRPr="00007385" w:rsidRDefault="00007385" w:rsidP="00043E5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Harmonisez les procédures de contrôle </w:t>
            </w:r>
            <w:r w:rsidR="00043E58">
              <w:rPr>
                <w:lang w:val="fr-FR"/>
              </w:rPr>
              <w:t>relatives aux transferts monétaires et à</w:t>
            </w:r>
            <w:r>
              <w:rPr>
                <w:lang w:val="fr-FR"/>
              </w:rPr>
              <w:t xml:space="preserve"> l’aide en nature</w:t>
            </w:r>
          </w:p>
        </w:tc>
      </w:tr>
      <w:tr w:rsidR="00382808" w:rsidRPr="001B2505" w:rsidTr="00382808">
        <w:trPr>
          <w:trHeight w:val="573"/>
        </w:trPr>
        <w:tc>
          <w:tcPr>
            <w:tcW w:w="1311" w:type="pct"/>
            <w:shd w:val="clear" w:color="auto" w:fill="A6A6A6"/>
            <w:vAlign w:val="center"/>
          </w:tcPr>
          <w:p w:rsidR="00367029" w:rsidRPr="00876CF3" w:rsidRDefault="00CA0FDA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  <w:r>
              <w:rPr>
                <w:rFonts w:cs="Arial"/>
                <w:b/>
                <w:bCs/>
                <w:color w:val="000000"/>
                <w:lang w:val="fr-FR" w:eastAsia="en-GB"/>
              </w:rPr>
              <w:t>Relations</w:t>
            </w:r>
            <w:r w:rsidR="000E446E">
              <w:rPr>
                <w:rFonts w:cs="Arial"/>
                <w:b/>
                <w:bCs/>
                <w:color w:val="000000"/>
                <w:lang w:val="fr-FR" w:eastAsia="en-GB"/>
              </w:rPr>
              <w:t xml:space="preserve"> avec les autres acteurs</w:t>
            </w:r>
          </w:p>
        </w:tc>
        <w:tc>
          <w:tcPr>
            <w:tcW w:w="457" w:type="pct"/>
            <w:shd w:val="clear" w:color="auto" w:fill="F3F3F3"/>
          </w:tcPr>
          <w:p w:rsidR="00367029" w:rsidRPr="00876CF3" w:rsidRDefault="00367029" w:rsidP="00775D77">
            <w:pPr>
              <w:spacing w:before="20" w:after="20"/>
              <w:contextualSpacing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  <w:bookmarkStart w:id="0" w:name="_GoBack"/>
            <w:bookmarkEnd w:id="0"/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67029" w:rsidRPr="005638AC" w:rsidRDefault="005638AC" w:rsidP="00CA0FDA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Assurez-vous que les </w:t>
            </w:r>
            <w:r w:rsidR="00CA0FDA">
              <w:rPr>
                <w:lang w:val="fr-FR"/>
              </w:rPr>
              <w:t>opérations de transferts monétaires sont en cohérence</w:t>
            </w:r>
            <w:r>
              <w:rPr>
                <w:lang w:val="fr-FR"/>
              </w:rPr>
              <w:t xml:space="preserve"> avec les activités menées par d’autres acteurs humanitaires clés (montant des transferts, mécanismes de distribution, ciblage, etc.)</w:t>
            </w:r>
          </w:p>
        </w:tc>
      </w:tr>
      <w:tr w:rsidR="00382808" w:rsidRPr="00876CF3" w:rsidTr="00382808">
        <w:tc>
          <w:tcPr>
            <w:tcW w:w="1311" w:type="pct"/>
            <w:shd w:val="clear" w:color="auto" w:fill="A6A6A6"/>
            <w:vAlign w:val="center"/>
          </w:tcPr>
          <w:p w:rsidR="00367029" w:rsidRPr="00876CF3" w:rsidRDefault="000E446E" w:rsidP="00382808">
            <w:pPr>
              <w:spacing w:before="360" w:after="24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Autres</w:t>
            </w:r>
          </w:p>
        </w:tc>
        <w:tc>
          <w:tcPr>
            <w:tcW w:w="457" w:type="pct"/>
            <w:shd w:val="clear" w:color="auto" w:fill="F3F3F3"/>
            <w:vAlign w:val="center"/>
          </w:tcPr>
          <w:p w:rsidR="00367029" w:rsidRPr="00876CF3" w:rsidRDefault="00367029" w:rsidP="00382808">
            <w:pPr>
              <w:spacing w:before="360" w:after="240"/>
              <w:jc w:val="left"/>
              <w:rPr>
                <w:rFonts w:cs="Arial"/>
                <w:lang w:val="fr-FR"/>
              </w:rPr>
            </w:pP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876CF3" w:rsidRDefault="00367029" w:rsidP="00382808">
            <w:pPr>
              <w:spacing w:before="360" w:after="24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70" w:type="pct"/>
            <w:shd w:val="clear" w:color="auto" w:fill="E6E6E6"/>
            <w:vAlign w:val="center"/>
          </w:tcPr>
          <w:p w:rsidR="00367029" w:rsidRPr="00876CF3" w:rsidRDefault="00367029" w:rsidP="00382808">
            <w:pPr>
              <w:spacing w:before="360" w:after="240"/>
              <w:jc w:val="left"/>
              <w:rPr>
                <w:rFonts w:cs="Arial"/>
                <w:lang w:val="fr-FR"/>
              </w:rPr>
            </w:pPr>
          </w:p>
        </w:tc>
      </w:tr>
    </w:tbl>
    <w:p w:rsidR="000F5173" w:rsidRPr="00876CF3" w:rsidRDefault="000F5173" w:rsidP="007030E8">
      <w:pPr>
        <w:tabs>
          <w:tab w:val="left" w:pos="6064"/>
        </w:tabs>
        <w:rPr>
          <w:rFonts w:cs="Arial"/>
          <w:lang w:val="fr-FR"/>
        </w:rPr>
      </w:pPr>
    </w:p>
    <w:sectPr w:rsidR="000F5173" w:rsidRPr="00876CF3" w:rsidSect="0026176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956" w:bottom="1080" w:left="1134" w:header="426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0E" w:rsidRDefault="00331A0E" w:rsidP="009F17AC">
      <w:pPr>
        <w:spacing w:after="0"/>
      </w:pPr>
      <w:r>
        <w:separator/>
      </w:r>
    </w:p>
  </w:endnote>
  <w:endnote w:type="continuationSeparator" w:id="0">
    <w:p w:rsidR="00331A0E" w:rsidRDefault="00331A0E" w:rsidP="009F1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4A" w:rsidRDefault="004736B3" w:rsidP="007E65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0B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B4A" w:rsidRDefault="004736B3" w:rsidP="007E65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0B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B4A" w:rsidRDefault="00A10B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1" w:rsidRPr="00B45C74" w:rsidRDefault="004736B3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E43CC1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A0FDA">
      <w:rPr>
        <w:b/>
        <w:noProof/>
        <w:color w:val="808080" w:themeColor="background1" w:themeShade="80"/>
        <w:sz w:val="18"/>
        <w:szCs w:val="18"/>
      </w:rPr>
      <w:t>5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43CC1" w:rsidRPr="00876CF3" w:rsidRDefault="00E43CC1" w:rsidP="00ED1B2B">
    <w:pPr>
      <w:pStyle w:val="Footer"/>
      <w:rPr>
        <w:lang w:val="fr-FR"/>
      </w:rPr>
    </w:pPr>
    <w:r w:rsidRPr="00876CF3">
      <w:rPr>
        <w:b/>
        <w:lang w:val="fr-FR"/>
      </w:rPr>
      <w:t>Module 3.</w:t>
    </w:r>
    <w:r w:rsidR="00876CF3">
      <w:rPr>
        <w:lang w:val="fr-FR"/>
      </w:rPr>
      <w:t xml:space="preserve"> Étape</w:t>
    </w:r>
    <w:r w:rsidRPr="00876CF3">
      <w:rPr>
        <w:lang w:val="fr-FR"/>
      </w:rPr>
      <w:t xml:space="preserve"> 1. </w:t>
    </w:r>
    <w:r w:rsidR="00876CF3">
      <w:rPr>
        <w:lang w:val="fr-FR"/>
      </w:rPr>
      <w:t>Étape subsidiaire</w:t>
    </w:r>
    <w:r w:rsidRPr="00876CF3">
      <w:rPr>
        <w:lang w:val="fr-FR"/>
      </w:rPr>
      <w:t xml:space="preserve"> 4. </w:t>
    </w:r>
    <w:r w:rsidR="00CA0FDA">
      <w:fldChar w:fldCharType="begin"/>
    </w:r>
    <w:r w:rsidR="00CA0FDA">
      <w:instrText xml:space="preserve"> STYLEREF  H1 \t  \* MERGEFORMAT </w:instrText>
    </w:r>
    <w:r w:rsidR="00CA0FDA">
      <w:fldChar w:fldCharType="separate"/>
    </w:r>
    <w:r w:rsidR="00CA0FDA" w:rsidRPr="00CA0FDA">
      <w:rPr>
        <w:bCs/>
        <w:noProof/>
        <w:lang w:val="fr-FR"/>
      </w:rPr>
      <w:t>Modèle</w:t>
    </w:r>
    <w:r w:rsidR="00CA0FDA" w:rsidRPr="00CA0FDA">
      <w:rPr>
        <w:noProof/>
        <w:lang w:val="fr-FR"/>
      </w:rPr>
      <w:t xml:space="preserve"> de matrice des risques liés aux programmes de transferts monétaires</w:t>
    </w:r>
    <w:r w:rsidR="00CA0FDA">
      <w:rPr>
        <w:noProof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35" w:rsidRPr="001B2505" w:rsidRDefault="004736B3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  <w:lang w:val="fr-CH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C70C35" w:rsidRPr="001B2505">
      <w:rPr>
        <w:b/>
        <w:color w:val="808080" w:themeColor="background1" w:themeShade="80"/>
        <w:sz w:val="18"/>
        <w:szCs w:val="18"/>
        <w:lang w:val="fr-CH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61765" w:rsidRPr="001B2505">
      <w:rPr>
        <w:b/>
        <w:noProof/>
        <w:color w:val="808080" w:themeColor="background1" w:themeShade="80"/>
        <w:sz w:val="18"/>
        <w:szCs w:val="18"/>
        <w:lang w:val="fr-CH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C70C35" w:rsidRPr="001B2505" w:rsidRDefault="00C70C35" w:rsidP="00ED1B2B">
    <w:pPr>
      <w:pStyle w:val="Footer"/>
      <w:rPr>
        <w:lang w:val="fr-CH"/>
      </w:rPr>
    </w:pPr>
    <w:r w:rsidRPr="001B2505">
      <w:rPr>
        <w:b/>
        <w:lang w:val="fr-CH"/>
      </w:rPr>
      <w:t>Module 3.</w:t>
    </w:r>
    <w:r w:rsidRPr="001B2505">
      <w:rPr>
        <w:lang w:val="fr-CH"/>
      </w:rPr>
      <w:t xml:space="preserve"> </w:t>
    </w:r>
    <w:proofErr w:type="spellStart"/>
    <w:r w:rsidRPr="001B2505">
      <w:rPr>
        <w:lang w:val="fr-CH"/>
      </w:rPr>
      <w:t>Step</w:t>
    </w:r>
    <w:proofErr w:type="spellEnd"/>
    <w:r w:rsidRPr="001B2505">
      <w:rPr>
        <w:lang w:val="fr-CH"/>
      </w:rPr>
      <w:t xml:space="preserve"> 1. </w:t>
    </w:r>
    <w:proofErr w:type="spellStart"/>
    <w:r w:rsidRPr="001B2505">
      <w:rPr>
        <w:lang w:val="fr-CH"/>
      </w:rPr>
      <w:t>Sub-step</w:t>
    </w:r>
    <w:proofErr w:type="spellEnd"/>
    <w:r w:rsidRPr="001B2505">
      <w:rPr>
        <w:lang w:val="fr-CH"/>
      </w:rPr>
      <w:t xml:space="preserve"> 4. </w:t>
    </w:r>
    <w:r w:rsidR="00CA0FDA">
      <w:fldChar w:fldCharType="begin"/>
    </w:r>
    <w:r w:rsidR="00CA0FDA" w:rsidRPr="001B2505">
      <w:rPr>
        <w:lang w:val="fr-CH"/>
      </w:rPr>
      <w:instrText xml:space="preserve"> STYLEREF  H1 \t  \* MERGEFORMAT </w:instrText>
    </w:r>
    <w:r w:rsidR="00CA0FDA">
      <w:fldChar w:fldCharType="separate"/>
    </w:r>
    <w:r w:rsidR="005C228D" w:rsidRPr="001B2505">
      <w:rPr>
        <w:bCs/>
        <w:noProof/>
        <w:lang w:val="fr-CH"/>
      </w:rPr>
      <w:t>Modèle de matrice des</w:t>
    </w:r>
    <w:r w:rsidR="005C228D" w:rsidRPr="001B2505">
      <w:rPr>
        <w:noProof/>
        <w:lang w:val="fr-CH"/>
      </w:rPr>
      <w:t xml:space="preserve"> risques liés aux programmes de transferts monétaires</w:t>
    </w:r>
    <w:r w:rsidR="00CA0F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0E" w:rsidRDefault="00331A0E" w:rsidP="009F17AC">
      <w:pPr>
        <w:spacing w:after="0"/>
      </w:pPr>
      <w:r>
        <w:separator/>
      </w:r>
    </w:p>
  </w:footnote>
  <w:footnote w:type="continuationSeparator" w:id="0">
    <w:p w:rsidR="00331A0E" w:rsidRDefault="00331A0E" w:rsidP="009F17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65" w:rsidRPr="00876CF3" w:rsidRDefault="00876CF3" w:rsidP="00CA1AB1">
    <w:pPr>
      <w:pStyle w:val="Header"/>
      <w:rPr>
        <w:sz w:val="14"/>
        <w:szCs w:val="14"/>
        <w:lang w:val="fr-FR"/>
      </w:rPr>
    </w:pPr>
    <w:r w:rsidRPr="00876CF3">
      <w:rPr>
        <w:rStyle w:val="Pantone485"/>
        <w:sz w:val="14"/>
        <w:szCs w:val="14"/>
        <w:lang w:val="fr-FR"/>
      </w:rPr>
      <w:t>Mouvement international de la Croix-Rouge et du Croissant-Rouge</w:t>
    </w:r>
    <w:r w:rsidR="00261765" w:rsidRPr="00876CF3">
      <w:rPr>
        <w:rFonts w:cs="Caecilia-Light"/>
        <w:color w:val="FF0000"/>
        <w:sz w:val="14"/>
        <w:szCs w:val="14"/>
        <w:lang w:val="fr-FR"/>
      </w:rPr>
      <w:t xml:space="preserve"> </w:t>
    </w:r>
    <w:r w:rsidR="00261765" w:rsidRPr="00876CF3">
      <w:rPr>
        <w:rStyle w:val="PageNumber"/>
        <w:bCs/>
        <w:sz w:val="14"/>
        <w:szCs w:val="14"/>
        <w:lang w:val="fr-FR"/>
      </w:rPr>
      <w:t>I</w:t>
    </w:r>
    <w:r w:rsidR="00261765" w:rsidRPr="00876CF3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CA1AB1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35" w:rsidRPr="00074036" w:rsidRDefault="00C70C35" w:rsidP="00173FF2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PageNumber"/>
        <w:bCs/>
        <w:szCs w:val="16"/>
      </w:rPr>
      <w:t>I</w:t>
    </w:r>
    <w:r w:rsidRPr="009F6986">
      <w:rPr>
        <w:rStyle w:val="PageNumber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15E"/>
    <w:multiLevelType w:val="hybridMultilevel"/>
    <w:tmpl w:val="201E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33309"/>
    <w:multiLevelType w:val="hybridMultilevel"/>
    <w:tmpl w:val="24DC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25F14"/>
    <w:multiLevelType w:val="hybridMultilevel"/>
    <w:tmpl w:val="BDB6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5CD5"/>
    <w:multiLevelType w:val="hybridMultilevel"/>
    <w:tmpl w:val="384C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F137D"/>
    <w:multiLevelType w:val="hybridMultilevel"/>
    <w:tmpl w:val="A2E6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65A77"/>
    <w:multiLevelType w:val="hybridMultilevel"/>
    <w:tmpl w:val="9A88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47361"/>
    <w:multiLevelType w:val="hybridMultilevel"/>
    <w:tmpl w:val="910E62A4"/>
    <w:lvl w:ilvl="0" w:tplc="A58EB5E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13952"/>
    <w:multiLevelType w:val="hybridMultilevel"/>
    <w:tmpl w:val="6056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F2403"/>
    <w:multiLevelType w:val="hybridMultilevel"/>
    <w:tmpl w:val="5D7817D4"/>
    <w:lvl w:ilvl="0" w:tplc="33825C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37C65"/>
    <w:multiLevelType w:val="hybridMultilevel"/>
    <w:tmpl w:val="5AF28E5C"/>
    <w:lvl w:ilvl="0" w:tplc="03BA573A">
      <w:start w:val="1"/>
      <w:numFmt w:val="decimal"/>
      <w:lvlText w:val="%1."/>
      <w:lvlJc w:val="left"/>
      <w:pPr>
        <w:ind w:left="432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>
    <w:nsid w:val="391110E6"/>
    <w:multiLevelType w:val="hybridMultilevel"/>
    <w:tmpl w:val="D37A6FEA"/>
    <w:lvl w:ilvl="0" w:tplc="04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4A03238D"/>
    <w:multiLevelType w:val="hybridMultilevel"/>
    <w:tmpl w:val="02221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87277"/>
    <w:multiLevelType w:val="hybridMultilevel"/>
    <w:tmpl w:val="DB5607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15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8325C"/>
    <w:multiLevelType w:val="hybridMultilevel"/>
    <w:tmpl w:val="421A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C0EAA"/>
    <w:multiLevelType w:val="hybridMultilevel"/>
    <w:tmpl w:val="7FE6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53405"/>
    <w:multiLevelType w:val="hybridMultilevel"/>
    <w:tmpl w:val="E12A858A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240ED"/>
    <w:multiLevelType w:val="hybridMultilevel"/>
    <w:tmpl w:val="0F8E2298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C0B7C"/>
    <w:multiLevelType w:val="hybridMultilevel"/>
    <w:tmpl w:val="9AC88036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05805"/>
    <w:multiLevelType w:val="hybridMultilevel"/>
    <w:tmpl w:val="100E5942"/>
    <w:lvl w:ilvl="0" w:tplc="E542903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3"/>
  </w:num>
  <w:num w:numId="5">
    <w:abstractNumId w:val="13"/>
  </w:num>
  <w:num w:numId="6">
    <w:abstractNumId w:val="24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7"/>
  </w:num>
  <w:num w:numId="12">
    <w:abstractNumId w:val="16"/>
  </w:num>
  <w:num w:numId="13">
    <w:abstractNumId w:val="21"/>
  </w:num>
  <w:num w:numId="14">
    <w:abstractNumId w:val="1"/>
  </w:num>
  <w:num w:numId="15">
    <w:abstractNumId w:val="14"/>
  </w:num>
  <w:num w:numId="16">
    <w:abstractNumId w:val="5"/>
  </w:num>
  <w:num w:numId="17">
    <w:abstractNumId w:val="22"/>
  </w:num>
  <w:num w:numId="18">
    <w:abstractNumId w:val="0"/>
  </w:num>
  <w:num w:numId="19">
    <w:abstractNumId w:val="3"/>
  </w:num>
  <w:num w:numId="20">
    <w:abstractNumId w:val="4"/>
  </w:num>
  <w:num w:numId="21">
    <w:abstractNumId w:val="15"/>
  </w:num>
  <w:num w:numId="22">
    <w:abstractNumId w:val="9"/>
  </w:num>
  <w:num w:numId="23">
    <w:abstractNumId w:val="18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266"/>
    <w:rsid w:val="00007385"/>
    <w:rsid w:val="00013693"/>
    <w:rsid w:val="000151E2"/>
    <w:rsid w:val="0001528D"/>
    <w:rsid w:val="00016828"/>
    <w:rsid w:val="0002045F"/>
    <w:rsid w:val="00022D60"/>
    <w:rsid w:val="0002379E"/>
    <w:rsid w:val="00031586"/>
    <w:rsid w:val="00032432"/>
    <w:rsid w:val="00035641"/>
    <w:rsid w:val="00035BB4"/>
    <w:rsid w:val="0003766D"/>
    <w:rsid w:val="00037FC8"/>
    <w:rsid w:val="0004307C"/>
    <w:rsid w:val="00043E58"/>
    <w:rsid w:val="000440E6"/>
    <w:rsid w:val="0004447C"/>
    <w:rsid w:val="000454B0"/>
    <w:rsid w:val="0004592F"/>
    <w:rsid w:val="00046589"/>
    <w:rsid w:val="00047047"/>
    <w:rsid w:val="00056DB7"/>
    <w:rsid w:val="0007128C"/>
    <w:rsid w:val="00076CF6"/>
    <w:rsid w:val="00080236"/>
    <w:rsid w:val="00086DFA"/>
    <w:rsid w:val="0008782B"/>
    <w:rsid w:val="00090EA8"/>
    <w:rsid w:val="00092C23"/>
    <w:rsid w:val="00092C4C"/>
    <w:rsid w:val="000A2F9C"/>
    <w:rsid w:val="000A6F67"/>
    <w:rsid w:val="000B108D"/>
    <w:rsid w:val="000B1792"/>
    <w:rsid w:val="000B7123"/>
    <w:rsid w:val="000C1AB6"/>
    <w:rsid w:val="000C7DC3"/>
    <w:rsid w:val="000D4D05"/>
    <w:rsid w:val="000E0B4C"/>
    <w:rsid w:val="000E446E"/>
    <w:rsid w:val="000F467B"/>
    <w:rsid w:val="000F4A06"/>
    <w:rsid w:val="000F5173"/>
    <w:rsid w:val="000F7628"/>
    <w:rsid w:val="0010318B"/>
    <w:rsid w:val="00103AD2"/>
    <w:rsid w:val="00104E1E"/>
    <w:rsid w:val="00110FB0"/>
    <w:rsid w:val="00112D9B"/>
    <w:rsid w:val="00114BA6"/>
    <w:rsid w:val="00122DBE"/>
    <w:rsid w:val="001239B8"/>
    <w:rsid w:val="00126B26"/>
    <w:rsid w:val="00130822"/>
    <w:rsid w:val="001469CE"/>
    <w:rsid w:val="0015023A"/>
    <w:rsid w:val="00153F5F"/>
    <w:rsid w:val="001556E3"/>
    <w:rsid w:val="00162096"/>
    <w:rsid w:val="0016673E"/>
    <w:rsid w:val="001678D3"/>
    <w:rsid w:val="00167F5B"/>
    <w:rsid w:val="00171770"/>
    <w:rsid w:val="001743E5"/>
    <w:rsid w:val="001756CA"/>
    <w:rsid w:val="00175DBF"/>
    <w:rsid w:val="00176459"/>
    <w:rsid w:val="00176F0D"/>
    <w:rsid w:val="00177BBF"/>
    <w:rsid w:val="0018206E"/>
    <w:rsid w:val="0018500F"/>
    <w:rsid w:val="001878E6"/>
    <w:rsid w:val="00190030"/>
    <w:rsid w:val="00197636"/>
    <w:rsid w:val="001A23BE"/>
    <w:rsid w:val="001A503B"/>
    <w:rsid w:val="001A5149"/>
    <w:rsid w:val="001B1307"/>
    <w:rsid w:val="001B1B44"/>
    <w:rsid w:val="001B2505"/>
    <w:rsid w:val="001B37D4"/>
    <w:rsid w:val="001B4811"/>
    <w:rsid w:val="001B6794"/>
    <w:rsid w:val="001C0615"/>
    <w:rsid w:val="001C17D0"/>
    <w:rsid w:val="001D00B7"/>
    <w:rsid w:val="001D2397"/>
    <w:rsid w:val="001D3D8E"/>
    <w:rsid w:val="001D6754"/>
    <w:rsid w:val="001E263C"/>
    <w:rsid w:val="001E3EB2"/>
    <w:rsid w:val="001F115D"/>
    <w:rsid w:val="001F1AD4"/>
    <w:rsid w:val="001F2CEC"/>
    <w:rsid w:val="001F4A01"/>
    <w:rsid w:val="001F6715"/>
    <w:rsid w:val="0020156D"/>
    <w:rsid w:val="002017C8"/>
    <w:rsid w:val="002052CD"/>
    <w:rsid w:val="0020619B"/>
    <w:rsid w:val="002133B9"/>
    <w:rsid w:val="002136D9"/>
    <w:rsid w:val="00213C27"/>
    <w:rsid w:val="00214372"/>
    <w:rsid w:val="00214BE8"/>
    <w:rsid w:val="0021612C"/>
    <w:rsid w:val="00216435"/>
    <w:rsid w:val="00217009"/>
    <w:rsid w:val="00217DE9"/>
    <w:rsid w:val="002232FD"/>
    <w:rsid w:val="002240C9"/>
    <w:rsid w:val="002254BC"/>
    <w:rsid w:val="002266BA"/>
    <w:rsid w:val="00234A56"/>
    <w:rsid w:val="002402B8"/>
    <w:rsid w:val="00241436"/>
    <w:rsid w:val="00242F69"/>
    <w:rsid w:val="002458F6"/>
    <w:rsid w:val="00254999"/>
    <w:rsid w:val="00261765"/>
    <w:rsid w:val="00270868"/>
    <w:rsid w:val="00271F0A"/>
    <w:rsid w:val="002723C8"/>
    <w:rsid w:val="00277D5F"/>
    <w:rsid w:val="00281A8C"/>
    <w:rsid w:val="00282E1F"/>
    <w:rsid w:val="0028435D"/>
    <w:rsid w:val="002925EE"/>
    <w:rsid w:val="002937CF"/>
    <w:rsid w:val="002946C0"/>
    <w:rsid w:val="00296CB4"/>
    <w:rsid w:val="00297E50"/>
    <w:rsid w:val="002A0C8A"/>
    <w:rsid w:val="002A517D"/>
    <w:rsid w:val="002B30FA"/>
    <w:rsid w:val="002B6BB9"/>
    <w:rsid w:val="002C021E"/>
    <w:rsid w:val="002C10C0"/>
    <w:rsid w:val="002C5625"/>
    <w:rsid w:val="002D2E06"/>
    <w:rsid w:val="002D490B"/>
    <w:rsid w:val="002D52D7"/>
    <w:rsid w:val="002E0259"/>
    <w:rsid w:val="002E24F1"/>
    <w:rsid w:val="002E3933"/>
    <w:rsid w:val="002E4A8C"/>
    <w:rsid w:val="002E6505"/>
    <w:rsid w:val="002F17AD"/>
    <w:rsid w:val="002F7239"/>
    <w:rsid w:val="003024EA"/>
    <w:rsid w:val="0030405F"/>
    <w:rsid w:val="00310174"/>
    <w:rsid w:val="00317388"/>
    <w:rsid w:val="00320610"/>
    <w:rsid w:val="003239DC"/>
    <w:rsid w:val="00324B6E"/>
    <w:rsid w:val="00331A0E"/>
    <w:rsid w:val="003321F0"/>
    <w:rsid w:val="00336FDA"/>
    <w:rsid w:val="00337857"/>
    <w:rsid w:val="0034179F"/>
    <w:rsid w:val="00342ABC"/>
    <w:rsid w:val="00344DC9"/>
    <w:rsid w:val="003502B5"/>
    <w:rsid w:val="003550CD"/>
    <w:rsid w:val="00355DB6"/>
    <w:rsid w:val="00360569"/>
    <w:rsid w:val="00360FFB"/>
    <w:rsid w:val="00367029"/>
    <w:rsid w:val="00371EB5"/>
    <w:rsid w:val="003722B7"/>
    <w:rsid w:val="00372795"/>
    <w:rsid w:val="00372CAD"/>
    <w:rsid w:val="0037349E"/>
    <w:rsid w:val="003762AB"/>
    <w:rsid w:val="00376C33"/>
    <w:rsid w:val="00382808"/>
    <w:rsid w:val="00383266"/>
    <w:rsid w:val="0038612B"/>
    <w:rsid w:val="00395FA5"/>
    <w:rsid w:val="00397E8F"/>
    <w:rsid w:val="003A3F05"/>
    <w:rsid w:val="003A4E16"/>
    <w:rsid w:val="003A6859"/>
    <w:rsid w:val="003B403D"/>
    <w:rsid w:val="003B686E"/>
    <w:rsid w:val="003B7F40"/>
    <w:rsid w:val="003C447F"/>
    <w:rsid w:val="003C4FF2"/>
    <w:rsid w:val="003C5DCF"/>
    <w:rsid w:val="003C756E"/>
    <w:rsid w:val="003E615F"/>
    <w:rsid w:val="003E73B1"/>
    <w:rsid w:val="003E7CC6"/>
    <w:rsid w:val="003F08A8"/>
    <w:rsid w:val="003F4D8A"/>
    <w:rsid w:val="003F782F"/>
    <w:rsid w:val="00400E54"/>
    <w:rsid w:val="004024B3"/>
    <w:rsid w:val="004026F7"/>
    <w:rsid w:val="00402C6F"/>
    <w:rsid w:val="00405ECF"/>
    <w:rsid w:val="00406F6D"/>
    <w:rsid w:val="00407E82"/>
    <w:rsid w:val="004109F0"/>
    <w:rsid w:val="00411093"/>
    <w:rsid w:val="00412A67"/>
    <w:rsid w:val="00412D22"/>
    <w:rsid w:val="00421AF7"/>
    <w:rsid w:val="00432501"/>
    <w:rsid w:val="00434784"/>
    <w:rsid w:val="00434ACC"/>
    <w:rsid w:val="00446BA3"/>
    <w:rsid w:val="00452FF5"/>
    <w:rsid w:val="0045564F"/>
    <w:rsid w:val="004557C1"/>
    <w:rsid w:val="00462A11"/>
    <w:rsid w:val="0046343A"/>
    <w:rsid w:val="00465ED0"/>
    <w:rsid w:val="00470EBE"/>
    <w:rsid w:val="004736B3"/>
    <w:rsid w:val="00473D0D"/>
    <w:rsid w:val="00473E42"/>
    <w:rsid w:val="00482005"/>
    <w:rsid w:val="00482168"/>
    <w:rsid w:val="00483C30"/>
    <w:rsid w:val="004863E6"/>
    <w:rsid w:val="004872CC"/>
    <w:rsid w:val="004878C3"/>
    <w:rsid w:val="0049011E"/>
    <w:rsid w:val="00495DCA"/>
    <w:rsid w:val="00496D2E"/>
    <w:rsid w:val="004A1F18"/>
    <w:rsid w:val="004A2255"/>
    <w:rsid w:val="004A43DA"/>
    <w:rsid w:val="004A4497"/>
    <w:rsid w:val="004B236A"/>
    <w:rsid w:val="004B3A3B"/>
    <w:rsid w:val="004B5775"/>
    <w:rsid w:val="004B5B05"/>
    <w:rsid w:val="004B5B94"/>
    <w:rsid w:val="004B77A9"/>
    <w:rsid w:val="004C3CBC"/>
    <w:rsid w:val="004D737B"/>
    <w:rsid w:val="004D7C8E"/>
    <w:rsid w:val="004E03E5"/>
    <w:rsid w:val="004E40F6"/>
    <w:rsid w:val="004E7581"/>
    <w:rsid w:val="004F083A"/>
    <w:rsid w:val="004F27BD"/>
    <w:rsid w:val="004F2F08"/>
    <w:rsid w:val="004F7CB0"/>
    <w:rsid w:val="004F7EB3"/>
    <w:rsid w:val="00502BAC"/>
    <w:rsid w:val="00502CCB"/>
    <w:rsid w:val="00511BCA"/>
    <w:rsid w:val="00511FBB"/>
    <w:rsid w:val="005212AB"/>
    <w:rsid w:val="005236E0"/>
    <w:rsid w:val="00526149"/>
    <w:rsid w:val="0052794C"/>
    <w:rsid w:val="00531F99"/>
    <w:rsid w:val="00535BE6"/>
    <w:rsid w:val="0053757D"/>
    <w:rsid w:val="00540300"/>
    <w:rsid w:val="00540424"/>
    <w:rsid w:val="005411FD"/>
    <w:rsid w:val="00543EB2"/>
    <w:rsid w:val="00545844"/>
    <w:rsid w:val="00547FE2"/>
    <w:rsid w:val="005638AC"/>
    <w:rsid w:val="005713BC"/>
    <w:rsid w:val="00572A94"/>
    <w:rsid w:val="0058137E"/>
    <w:rsid w:val="00581B1F"/>
    <w:rsid w:val="00584D69"/>
    <w:rsid w:val="0059496F"/>
    <w:rsid w:val="005A22F8"/>
    <w:rsid w:val="005A2C3A"/>
    <w:rsid w:val="005C228D"/>
    <w:rsid w:val="005C6185"/>
    <w:rsid w:val="005D0EA9"/>
    <w:rsid w:val="005D1501"/>
    <w:rsid w:val="005D6A87"/>
    <w:rsid w:val="005D73F2"/>
    <w:rsid w:val="005E04A1"/>
    <w:rsid w:val="005E07B3"/>
    <w:rsid w:val="005E0EB6"/>
    <w:rsid w:val="005E1403"/>
    <w:rsid w:val="005E4825"/>
    <w:rsid w:val="005F18D4"/>
    <w:rsid w:val="005F3891"/>
    <w:rsid w:val="005F4ECE"/>
    <w:rsid w:val="005F675D"/>
    <w:rsid w:val="005F7EAC"/>
    <w:rsid w:val="0060753A"/>
    <w:rsid w:val="00607D0F"/>
    <w:rsid w:val="00613114"/>
    <w:rsid w:val="00620C76"/>
    <w:rsid w:val="00621904"/>
    <w:rsid w:val="00622B10"/>
    <w:rsid w:val="00623360"/>
    <w:rsid w:val="00626783"/>
    <w:rsid w:val="0063573C"/>
    <w:rsid w:val="00637F5F"/>
    <w:rsid w:val="00641AB8"/>
    <w:rsid w:val="00645500"/>
    <w:rsid w:val="00660AE7"/>
    <w:rsid w:val="00661ED6"/>
    <w:rsid w:val="00667546"/>
    <w:rsid w:val="00670262"/>
    <w:rsid w:val="00673D27"/>
    <w:rsid w:val="0067469B"/>
    <w:rsid w:val="0067624B"/>
    <w:rsid w:val="0068166B"/>
    <w:rsid w:val="00684DAC"/>
    <w:rsid w:val="006917C8"/>
    <w:rsid w:val="0069550B"/>
    <w:rsid w:val="00695D44"/>
    <w:rsid w:val="006972DE"/>
    <w:rsid w:val="006A730B"/>
    <w:rsid w:val="006B44F0"/>
    <w:rsid w:val="006B6880"/>
    <w:rsid w:val="006C0212"/>
    <w:rsid w:val="006C3B74"/>
    <w:rsid w:val="006C61F0"/>
    <w:rsid w:val="006D1DF0"/>
    <w:rsid w:val="006D2487"/>
    <w:rsid w:val="006D48B6"/>
    <w:rsid w:val="006D7A0E"/>
    <w:rsid w:val="006E214C"/>
    <w:rsid w:val="006E24BC"/>
    <w:rsid w:val="006E28CF"/>
    <w:rsid w:val="006E3FB6"/>
    <w:rsid w:val="006F44C4"/>
    <w:rsid w:val="006F5DE1"/>
    <w:rsid w:val="006F63D2"/>
    <w:rsid w:val="007030E8"/>
    <w:rsid w:val="00706F3F"/>
    <w:rsid w:val="00710172"/>
    <w:rsid w:val="00712BC2"/>
    <w:rsid w:val="00713955"/>
    <w:rsid w:val="00713D86"/>
    <w:rsid w:val="00713DF7"/>
    <w:rsid w:val="007164DF"/>
    <w:rsid w:val="0071750A"/>
    <w:rsid w:val="007234FB"/>
    <w:rsid w:val="0073056C"/>
    <w:rsid w:val="00731896"/>
    <w:rsid w:val="0073217C"/>
    <w:rsid w:val="00732511"/>
    <w:rsid w:val="007348A0"/>
    <w:rsid w:val="007348FE"/>
    <w:rsid w:val="00736322"/>
    <w:rsid w:val="00752782"/>
    <w:rsid w:val="00752D64"/>
    <w:rsid w:val="00753FBF"/>
    <w:rsid w:val="007548AC"/>
    <w:rsid w:val="007579E6"/>
    <w:rsid w:val="0076232E"/>
    <w:rsid w:val="00763397"/>
    <w:rsid w:val="007653A7"/>
    <w:rsid w:val="00767AB8"/>
    <w:rsid w:val="00772E1A"/>
    <w:rsid w:val="0077520C"/>
    <w:rsid w:val="00775D77"/>
    <w:rsid w:val="00777E6D"/>
    <w:rsid w:val="007840D0"/>
    <w:rsid w:val="00784EFC"/>
    <w:rsid w:val="00786605"/>
    <w:rsid w:val="00793A8A"/>
    <w:rsid w:val="00797580"/>
    <w:rsid w:val="0079766B"/>
    <w:rsid w:val="007A0B10"/>
    <w:rsid w:val="007A3E20"/>
    <w:rsid w:val="007A78FA"/>
    <w:rsid w:val="007B087D"/>
    <w:rsid w:val="007B3EFD"/>
    <w:rsid w:val="007B403B"/>
    <w:rsid w:val="007C2B7D"/>
    <w:rsid w:val="007C3B59"/>
    <w:rsid w:val="007C4896"/>
    <w:rsid w:val="007C7360"/>
    <w:rsid w:val="007D2DFA"/>
    <w:rsid w:val="007D380C"/>
    <w:rsid w:val="007E0317"/>
    <w:rsid w:val="007E4A6F"/>
    <w:rsid w:val="007E65CA"/>
    <w:rsid w:val="007E6DC9"/>
    <w:rsid w:val="007F4F14"/>
    <w:rsid w:val="007F5F82"/>
    <w:rsid w:val="007F6987"/>
    <w:rsid w:val="00802D10"/>
    <w:rsid w:val="00805F80"/>
    <w:rsid w:val="00806794"/>
    <w:rsid w:val="0080690B"/>
    <w:rsid w:val="00810406"/>
    <w:rsid w:val="008166A6"/>
    <w:rsid w:val="00825B95"/>
    <w:rsid w:val="008271F7"/>
    <w:rsid w:val="008276E3"/>
    <w:rsid w:val="00830E29"/>
    <w:rsid w:val="00832DEA"/>
    <w:rsid w:val="008362BF"/>
    <w:rsid w:val="00836C92"/>
    <w:rsid w:val="00837ACF"/>
    <w:rsid w:val="00841827"/>
    <w:rsid w:val="008422B2"/>
    <w:rsid w:val="008434EC"/>
    <w:rsid w:val="00843ACA"/>
    <w:rsid w:val="00845503"/>
    <w:rsid w:val="00852F0D"/>
    <w:rsid w:val="00854B40"/>
    <w:rsid w:val="00856A4A"/>
    <w:rsid w:val="008605FD"/>
    <w:rsid w:val="00863A0E"/>
    <w:rsid w:val="008660E0"/>
    <w:rsid w:val="00867114"/>
    <w:rsid w:val="008721EE"/>
    <w:rsid w:val="00873066"/>
    <w:rsid w:val="0087323E"/>
    <w:rsid w:val="0087406F"/>
    <w:rsid w:val="00876CF3"/>
    <w:rsid w:val="00882C05"/>
    <w:rsid w:val="008835AE"/>
    <w:rsid w:val="00886161"/>
    <w:rsid w:val="00897CE8"/>
    <w:rsid w:val="008A45BD"/>
    <w:rsid w:val="008A4E36"/>
    <w:rsid w:val="008B17B7"/>
    <w:rsid w:val="008B587E"/>
    <w:rsid w:val="008C00E7"/>
    <w:rsid w:val="008D1F57"/>
    <w:rsid w:val="008D2EC7"/>
    <w:rsid w:val="008D3533"/>
    <w:rsid w:val="008D3ACB"/>
    <w:rsid w:val="008D3F46"/>
    <w:rsid w:val="008E342F"/>
    <w:rsid w:val="008F3EC6"/>
    <w:rsid w:val="00901212"/>
    <w:rsid w:val="00911887"/>
    <w:rsid w:val="009151A1"/>
    <w:rsid w:val="00915DAB"/>
    <w:rsid w:val="00920B97"/>
    <w:rsid w:val="0092154D"/>
    <w:rsid w:val="00922F01"/>
    <w:rsid w:val="00923ADF"/>
    <w:rsid w:val="00926798"/>
    <w:rsid w:val="009321D1"/>
    <w:rsid w:val="00932314"/>
    <w:rsid w:val="009349F1"/>
    <w:rsid w:val="0094398D"/>
    <w:rsid w:val="0094566E"/>
    <w:rsid w:val="00950738"/>
    <w:rsid w:val="00954188"/>
    <w:rsid w:val="009555FA"/>
    <w:rsid w:val="009572B7"/>
    <w:rsid w:val="00970D84"/>
    <w:rsid w:val="00972CD2"/>
    <w:rsid w:val="00975FCB"/>
    <w:rsid w:val="00976113"/>
    <w:rsid w:val="0097698E"/>
    <w:rsid w:val="00982790"/>
    <w:rsid w:val="009857C1"/>
    <w:rsid w:val="00986D5E"/>
    <w:rsid w:val="009900B1"/>
    <w:rsid w:val="0099024C"/>
    <w:rsid w:val="00990E5B"/>
    <w:rsid w:val="009A2EC6"/>
    <w:rsid w:val="009A4440"/>
    <w:rsid w:val="009A5CF6"/>
    <w:rsid w:val="009A75F5"/>
    <w:rsid w:val="009B0A26"/>
    <w:rsid w:val="009B0BB5"/>
    <w:rsid w:val="009B160A"/>
    <w:rsid w:val="009C501C"/>
    <w:rsid w:val="009C5516"/>
    <w:rsid w:val="009C5D09"/>
    <w:rsid w:val="009C6B35"/>
    <w:rsid w:val="009D22EE"/>
    <w:rsid w:val="009D3133"/>
    <w:rsid w:val="009E2879"/>
    <w:rsid w:val="009F08E2"/>
    <w:rsid w:val="009F17AC"/>
    <w:rsid w:val="009F3462"/>
    <w:rsid w:val="009F64C8"/>
    <w:rsid w:val="009F684E"/>
    <w:rsid w:val="00A01182"/>
    <w:rsid w:val="00A02C98"/>
    <w:rsid w:val="00A106B6"/>
    <w:rsid w:val="00A10B4A"/>
    <w:rsid w:val="00A16318"/>
    <w:rsid w:val="00A1699D"/>
    <w:rsid w:val="00A21928"/>
    <w:rsid w:val="00A21B9F"/>
    <w:rsid w:val="00A27690"/>
    <w:rsid w:val="00A31BD7"/>
    <w:rsid w:val="00A34B61"/>
    <w:rsid w:val="00A36531"/>
    <w:rsid w:val="00A41652"/>
    <w:rsid w:val="00A4677B"/>
    <w:rsid w:val="00A52C93"/>
    <w:rsid w:val="00A53DD4"/>
    <w:rsid w:val="00A53FBF"/>
    <w:rsid w:val="00A558BC"/>
    <w:rsid w:val="00A574BB"/>
    <w:rsid w:val="00A578A6"/>
    <w:rsid w:val="00A6034B"/>
    <w:rsid w:val="00A65477"/>
    <w:rsid w:val="00A75706"/>
    <w:rsid w:val="00A77731"/>
    <w:rsid w:val="00A83FA5"/>
    <w:rsid w:val="00A93BA4"/>
    <w:rsid w:val="00A96A20"/>
    <w:rsid w:val="00AA4421"/>
    <w:rsid w:val="00AA6ADA"/>
    <w:rsid w:val="00AB2C29"/>
    <w:rsid w:val="00AB3D5A"/>
    <w:rsid w:val="00AB5333"/>
    <w:rsid w:val="00AB541B"/>
    <w:rsid w:val="00AC057A"/>
    <w:rsid w:val="00AC34D3"/>
    <w:rsid w:val="00AC43DC"/>
    <w:rsid w:val="00AC5B87"/>
    <w:rsid w:val="00AC70D5"/>
    <w:rsid w:val="00AD0793"/>
    <w:rsid w:val="00AD175F"/>
    <w:rsid w:val="00AD1F78"/>
    <w:rsid w:val="00AD6021"/>
    <w:rsid w:val="00AD64E3"/>
    <w:rsid w:val="00AE4B7B"/>
    <w:rsid w:val="00AE5354"/>
    <w:rsid w:val="00AE6879"/>
    <w:rsid w:val="00B05388"/>
    <w:rsid w:val="00B14E8E"/>
    <w:rsid w:val="00B170C4"/>
    <w:rsid w:val="00B3020B"/>
    <w:rsid w:val="00B3020C"/>
    <w:rsid w:val="00B340F2"/>
    <w:rsid w:val="00B347C5"/>
    <w:rsid w:val="00B37DAA"/>
    <w:rsid w:val="00B428E9"/>
    <w:rsid w:val="00B476AB"/>
    <w:rsid w:val="00B51F34"/>
    <w:rsid w:val="00B62589"/>
    <w:rsid w:val="00B70390"/>
    <w:rsid w:val="00B70FF0"/>
    <w:rsid w:val="00B80700"/>
    <w:rsid w:val="00B812D8"/>
    <w:rsid w:val="00B83C6D"/>
    <w:rsid w:val="00B90334"/>
    <w:rsid w:val="00B9051E"/>
    <w:rsid w:val="00B90DA0"/>
    <w:rsid w:val="00B92719"/>
    <w:rsid w:val="00B927B3"/>
    <w:rsid w:val="00B927CD"/>
    <w:rsid w:val="00B92973"/>
    <w:rsid w:val="00BA0199"/>
    <w:rsid w:val="00BA3B38"/>
    <w:rsid w:val="00BA4E1D"/>
    <w:rsid w:val="00BA65A3"/>
    <w:rsid w:val="00BB16C2"/>
    <w:rsid w:val="00BB2FCF"/>
    <w:rsid w:val="00BB301E"/>
    <w:rsid w:val="00BB3DA2"/>
    <w:rsid w:val="00BC0773"/>
    <w:rsid w:val="00BC236F"/>
    <w:rsid w:val="00BC3B0C"/>
    <w:rsid w:val="00BD1947"/>
    <w:rsid w:val="00BD6F9B"/>
    <w:rsid w:val="00BD7EEB"/>
    <w:rsid w:val="00BE51ED"/>
    <w:rsid w:val="00BE5B5E"/>
    <w:rsid w:val="00BF0E2A"/>
    <w:rsid w:val="00BF634F"/>
    <w:rsid w:val="00C001A7"/>
    <w:rsid w:val="00C0238F"/>
    <w:rsid w:val="00C05B68"/>
    <w:rsid w:val="00C05FF7"/>
    <w:rsid w:val="00C078CD"/>
    <w:rsid w:val="00C11EED"/>
    <w:rsid w:val="00C1526B"/>
    <w:rsid w:val="00C20699"/>
    <w:rsid w:val="00C216AB"/>
    <w:rsid w:val="00C326AA"/>
    <w:rsid w:val="00C33509"/>
    <w:rsid w:val="00C43A8A"/>
    <w:rsid w:val="00C47C80"/>
    <w:rsid w:val="00C50C37"/>
    <w:rsid w:val="00C5309C"/>
    <w:rsid w:val="00C64B7E"/>
    <w:rsid w:val="00C70C35"/>
    <w:rsid w:val="00C70F77"/>
    <w:rsid w:val="00C71F3B"/>
    <w:rsid w:val="00C7201B"/>
    <w:rsid w:val="00C76A3D"/>
    <w:rsid w:val="00C81F6F"/>
    <w:rsid w:val="00C83E75"/>
    <w:rsid w:val="00C92F90"/>
    <w:rsid w:val="00CA0FDA"/>
    <w:rsid w:val="00CA1AB1"/>
    <w:rsid w:val="00CA2D00"/>
    <w:rsid w:val="00CA3A07"/>
    <w:rsid w:val="00CA4FB0"/>
    <w:rsid w:val="00CB0E80"/>
    <w:rsid w:val="00CB62F5"/>
    <w:rsid w:val="00CB671D"/>
    <w:rsid w:val="00CB7352"/>
    <w:rsid w:val="00CB7AFE"/>
    <w:rsid w:val="00CC6A31"/>
    <w:rsid w:val="00CC764C"/>
    <w:rsid w:val="00CD0468"/>
    <w:rsid w:val="00CD1360"/>
    <w:rsid w:val="00CD3F2F"/>
    <w:rsid w:val="00CD6EC0"/>
    <w:rsid w:val="00CD7389"/>
    <w:rsid w:val="00CD7B6C"/>
    <w:rsid w:val="00CE6437"/>
    <w:rsid w:val="00CF2E6D"/>
    <w:rsid w:val="00CF3D12"/>
    <w:rsid w:val="00CF62FC"/>
    <w:rsid w:val="00CF6896"/>
    <w:rsid w:val="00D06411"/>
    <w:rsid w:val="00D0730A"/>
    <w:rsid w:val="00D13EE9"/>
    <w:rsid w:val="00D15999"/>
    <w:rsid w:val="00D15DC8"/>
    <w:rsid w:val="00D2361A"/>
    <w:rsid w:val="00D27064"/>
    <w:rsid w:val="00D27B71"/>
    <w:rsid w:val="00D305D7"/>
    <w:rsid w:val="00D34CC7"/>
    <w:rsid w:val="00D40762"/>
    <w:rsid w:val="00D43EFF"/>
    <w:rsid w:val="00D442C0"/>
    <w:rsid w:val="00D44CFC"/>
    <w:rsid w:val="00D47625"/>
    <w:rsid w:val="00D505FE"/>
    <w:rsid w:val="00D5531F"/>
    <w:rsid w:val="00D61BD6"/>
    <w:rsid w:val="00D62E9B"/>
    <w:rsid w:val="00D63097"/>
    <w:rsid w:val="00D76D0F"/>
    <w:rsid w:val="00D80E35"/>
    <w:rsid w:val="00D81B38"/>
    <w:rsid w:val="00D81BC0"/>
    <w:rsid w:val="00D830AF"/>
    <w:rsid w:val="00D8412D"/>
    <w:rsid w:val="00D84409"/>
    <w:rsid w:val="00D851EF"/>
    <w:rsid w:val="00D864DA"/>
    <w:rsid w:val="00D87EC8"/>
    <w:rsid w:val="00D923AF"/>
    <w:rsid w:val="00D93EC0"/>
    <w:rsid w:val="00D95115"/>
    <w:rsid w:val="00DA0605"/>
    <w:rsid w:val="00DA40FD"/>
    <w:rsid w:val="00DA5809"/>
    <w:rsid w:val="00DA6340"/>
    <w:rsid w:val="00DA7B5F"/>
    <w:rsid w:val="00DB3605"/>
    <w:rsid w:val="00DB4765"/>
    <w:rsid w:val="00DC47AC"/>
    <w:rsid w:val="00DC58A7"/>
    <w:rsid w:val="00DD08C9"/>
    <w:rsid w:val="00DD178D"/>
    <w:rsid w:val="00DE7ECA"/>
    <w:rsid w:val="00DF3B2B"/>
    <w:rsid w:val="00DF3FBA"/>
    <w:rsid w:val="00E02FBA"/>
    <w:rsid w:val="00E0531D"/>
    <w:rsid w:val="00E06D6E"/>
    <w:rsid w:val="00E103DF"/>
    <w:rsid w:val="00E11C47"/>
    <w:rsid w:val="00E12B2F"/>
    <w:rsid w:val="00E13D16"/>
    <w:rsid w:val="00E16AC2"/>
    <w:rsid w:val="00E175AC"/>
    <w:rsid w:val="00E26136"/>
    <w:rsid w:val="00E34938"/>
    <w:rsid w:val="00E35D1E"/>
    <w:rsid w:val="00E43CC1"/>
    <w:rsid w:val="00E4735F"/>
    <w:rsid w:val="00E47E08"/>
    <w:rsid w:val="00E525E4"/>
    <w:rsid w:val="00E619FA"/>
    <w:rsid w:val="00E61E4E"/>
    <w:rsid w:val="00E61F58"/>
    <w:rsid w:val="00E62917"/>
    <w:rsid w:val="00E631E9"/>
    <w:rsid w:val="00E65390"/>
    <w:rsid w:val="00E659F1"/>
    <w:rsid w:val="00E673DF"/>
    <w:rsid w:val="00E71363"/>
    <w:rsid w:val="00E72552"/>
    <w:rsid w:val="00E7482E"/>
    <w:rsid w:val="00E82D9C"/>
    <w:rsid w:val="00E84C4F"/>
    <w:rsid w:val="00E87B51"/>
    <w:rsid w:val="00E91470"/>
    <w:rsid w:val="00E919AD"/>
    <w:rsid w:val="00E92ACD"/>
    <w:rsid w:val="00E9550A"/>
    <w:rsid w:val="00E968BB"/>
    <w:rsid w:val="00E968D8"/>
    <w:rsid w:val="00E96BD6"/>
    <w:rsid w:val="00EA0AFD"/>
    <w:rsid w:val="00EA18CE"/>
    <w:rsid w:val="00EA2E7F"/>
    <w:rsid w:val="00EB1253"/>
    <w:rsid w:val="00EB2D20"/>
    <w:rsid w:val="00EB4469"/>
    <w:rsid w:val="00EB4F5A"/>
    <w:rsid w:val="00EB6410"/>
    <w:rsid w:val="00EB6E99"/>
    <w:rsid w:val="00EC2736"/>
    <w:rsid w:val="00ED7D53"/>
    <w:rsid w:val="00EE23C1"/>
    <w:rsid w:val="00EE2A59"/>
    <w:rsid w:val="00EE2FCA"/>
    <w:rsid w:val="00EF167C"/>
    <w:rsid w:val="00EF26AA"/>
    <w:rsid w:val="00EF333D"/>
    <w:rsid w:val="00EF732F"/>
    <w:rsid w:val="00F11CC1"/>
    <w:rsid w:val="00F14204"/>
    <w:rsid w:val="00F148CD"/>
    <w:rsid w:val="00F16288"/>
    <w:rsid w:val="00F16536"/>
    <w:rsid w:val="00F2280D"/>
    <w:rsid w:val="00F228E3"/>
    <w:rsid w:val="00F243CC"/>
    <w:rsid w:val="00F332B9"/>
    <w:rsid w:val="00F334E4"/>
    <w:rsid w:val="00F35F39"/>
    <w:rsid w:val="00F42B9B"/>
    <w:rsid w:val="00F4405E"/>
    <w:rsid w:val="00F50604"/>
    <w:rsid w:val="00F53F6B"/>
    <w:rsid w:val="00F60208"/>
    <w:rsid w:val="00F613D7"/>
    <w:rsid w:val="00F6176D"/>
    <w:rsid w:val="00F64F72"/>
    <w:rsid w:val="00F7563F"/>
    <w:rsid w:val="00F84D48"/>
    <w:rsid w:val="00F941A8"/>
    <w:rsid w:val="00FA1D12"/>
    <w:rsid w:val="00FA318A"/>
    <w:rsid w:val="00FA71E8"/>
    <w:rsid w:val="00FB74F5"/>
    <w:rsid w:val="00FC05B3"/>
    <w:rsid w:val="00FC09D0"/>
    <w:rsid w:val="00FC5986"/>
    <w:rsid w:val="00FC7BB3"/>
    <w:rsid w:val="00FD0B10"/>
    <w:rsid w:val="00FD5550"/>
    <w:rsid w:val="00FD70E0"/>
    <w:rsid w:val="00FD7A65"/>
    <w:rsid w:val="00FD7B20"/>
    <w:rsid w:val="00FE2FA9"/>
    <w:rsid w:val="00FE6D88"/>
    <w:rsid w:val="00FF15F3"/>
    <w:rsid w:val="00FF1BF5"/>
    <w:rsid w:val="00FF561E"/>
    <w:rsid w:val="00FF5CFC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9E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02379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79E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79E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79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9E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2379E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02379E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79E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2379E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02379E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2379E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02379E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379E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379E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379E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379E"/>
    <w:rPr>
      <w:rFonts w:ascii="Arial" w:eastAsiaTheme="minorEastAsia" w:hAnsi="Arial" w:cs="Times New Roman"/>
      <w:b/>
      <w:szCs w:val="24"/>
    </w:rPr>
  </w:style>
  <w:style w:type="paragraph" w:customStyle="1" w:styleId="Default">
    <w:name w:val="Default"/>
    <w:rsid w:val="00023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37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C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C35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2379E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2379E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37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9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2379E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79E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02379E"/>
    <w:rPr>
      <w:vertAlign w:val="superscript"/>
    </w:rPr>
  </w:style>
  <w:style w:type="paragraph" w:styleId="Revision">
    <w:name w:val="Revision"/>
    <w:hidden/>
    <w:uiPriority w:val="99"/>
    <w:semiHidden/>
    <w:rsid w:val="0002379E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02379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02379E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2379E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02379E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02379E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02379E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02379E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02379E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02379E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02379E"/>
    <w:pPr>
      <w:numPr>
        <w:numId w:val="23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02379E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02379E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02379E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02379E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02379E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2379E"/>
    <w:pPr>
      <w:keepNext/>
      <w:keepLines/>
      <w:framePr w:hSpace="141" w:wrap="around" w:vAnchor="text" w:hAnchor="margin" w:y="402"/>
      <w:numPr>
        <w:numId w:val="25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9E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02379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79E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79E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79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9E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2379E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02379E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79E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2379E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02379E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2379E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02379E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379E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379E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379E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379E"/>
    <w:rPr>
      <w:rFonts w:ascii="Arial" w:eastAsiaTheme="minorEastAsia" w:hAnsi="Arial" w:cs="Times New Roman"/>
      <w:b/>
      <w:szCs w:val="24"/>
    </w:rPr>
  </w:style>
  <w:style w:type="paragraph" w:customStyle="1" w:styleId="Default">
    <w:name w:val="Default"/>
    <w:rsid w:val="00023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37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C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C35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2379E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2379E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37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9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2379E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79E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02379E"/>
    <w:rPr>
      <w:vertAlign w:val="superscript"/>
    </w:rPr>
  </w:style>
  <w:style w:type="paragraph" w:styleId="Revision">
    <w:name w:val="Revision"/>
    <w:hidden/>
    <w:uiPriority w:val="99"/>
    <w:semiHidden/>
    <w:rsid w:val="0002379E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02379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02379E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2379E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02379E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02379E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02379E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02379E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02379E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02379E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02379E"/>
    <w:pPr>
      <w:numPr>
        <w:numId w:val="23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02379E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02379E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02379E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02379E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02379E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2379E"/>
    <w:pPr>
      <w:keepNext/>
      <w:keepLines/>
      <w:framePr w:hSpace="141" w:wrap="around" w:vAnchor="text" w:hAnchor="margin" w:y="402"/>
      <w:numPr>
        <w:numId w:val="25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2B90FF-B123-4F4E-824E-5D64A3C0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344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Holman</dc:creator>
  <cp:lastModifiedBy>Florence MAROT</cp:lastModifiedBy>
  <cp:revision>61</cp:revision>
  <cp:lastPrinted>2015-12-10T13:18:00Z</cp:lastPrinted>
  <dcterms:created xsi:type="dcterms:W3CDTF">2015-05-27T09:15:00Z</dcterms:created>
  <dcterms:modified xsi:type="dcterms:W3CDTF">2016-04-06T09:25:00Z</dcterms:modified>
</cp:coreProperties>
</file>