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272C6" w14:textId="38E4D29C" w:rsidR="00771508" w:rsidRPr="00410C9D" w:rsidRDefault="007955AE" w:rsidP="007F7E04">
      <w:pPr>
        <w:pStyle w:val="H1"/>
        <w:rPr>
          <w:lang w:val="es-ES_tradnl"/>
        </w:rPr>
      </w:pPr>
      <w:r w:rsidRPr="00410C9D">
        <w:rPr>
          <w:lang w:val="es-ES_tradnl"/>
        </w:rPr>
        <w:t>P</w:t>
      </w:r>
      <w:r w:rsidR="00416F20" w:rsidRPr="00410C9D">
        <w:rPr>
          <w:lang w:val="es-ES_tradnl"/>
        </w:rPr>
        <w:t xml:space="preserve">lantilla de DAFO sobre preparación </w:t>
      </w:r>
    </w:p>
    <w:p w14:paraId="24F9B652" w14:textId="7532C03F" w:rsidR="001B5C1D" w:rsidRPr="00410C9D" w:rsidRDefault="00416F20" w:rsidP="00297C21">
      <w:pPr>
        <w:spacing w:after="360"/>
        <w:rPr>
          <w:lang w:val="es-ES_tradnl"/>
        </w:rPr>
      </w:pPr>
      <w:r w:rsidRPr="00410C9D">
        <w:rPr>
          <w:w w:val="102"/>
          <w:lang w:val="es-ES_tradnl"/>
        </w:rPr>
        <w:t xml:space="preserve">Durante el taller de preparación, se debe llevar a cabo </w:t>
      </w:r>
      <w:r w:rsidR="00410C9D" w:rsidRPr="00410C9D">
        <w:rPr>
          <w:w w:val="102"/>
          <w:lang w:val="es-ES_tradnl"/>
        </w:rPr>
        <w:t>un análisis</w:t>
      </w:r>
      <w:r w:rsidRPr="00410C9D">
        <w:rPr>
          <w:w w:val="102"/>
          <w:lang w:val="es-ES_tradnl"/>
        </w:rPr>
        <w:t xml:space="preserve"> de las Fortalezas, Debilidades, Oportunidades, Amenazas (DAFO) de la capacidad </w:t>
      </w:r>
      <w:r w:rsidR="00410C9D" w:rsidRPr="00410C9D">
        <w:rPr>
          <w:w w:val="102"/>
          <w:lang w:val="es-ES_tradnl"/>
        </w:rPr>
        <w:t>en PTE</w:t>
      </w:r>
      <w:r w:rsidRPr="00410C9D">
        <w:rPr>
          <w:w w:val="102"/>
          <w:lang w:val="es-ES_tradnl"/>
        </w:rPr>
        <w:t xml:space="preserve"> de las partes interesadas. Cuando la Sociedad Nacional tiene experiencia en </w:t>
      </w:r>
      <w:r w:rsidR="003D6D93" w:rsidRPr="00410C9D">
        <w:rPr>
          <w:w w:val="102"/>
          <w:lang w:val="es-ES_tradnl"/>
        </w:rPr>
        <w:t>PTE</w:t>
      </w:r>
      <w:r w:rsidRPr="00410C9D">
        <w:rPr>
          <w:w w:val="102"/>
          <w:lang w:val="es-ES_tradnl"/>
        </w:rPr>
        <w:t xml:space="preserve">, puede ser útil para cada departamento preparar un borrador de análisis </w:t>
      </w:r>
      <w:r w:rsidR="003D6D93" w:rsidRPr="00410C9D">
        <w:rPr>
          <w:w w:val="102"/>
          <w:lang w:val="es-ES_tradnl"/>
        </w:rPr>
        <w:t>DAFO</w:t>
      </w:r>
      <w:r w:rsidRPr="00410C9D">
        <w:rPr>
          <w:w w:val="102"/>
          <w:lang w:val="es-ES_tradnl"/>
        </w:rPr>
        <w:t xml:space="preserve"> antes del taller. El ejercicio de análisis </w:t>
      </w:r>
      <w:r w:rsidR="003D6D93" w:rsidRPr="00410C9D">
        <w:rPr>
          <w:w w:val="102"/>
          <w:lang w:val="es-ES_tradnl"/>
        </w:rPr>
        <w:t>DAFO</w:t>
      </w:r>
      <w:r w:rsidRPr="00410C9D">
        <w:rPr>
          <w:w w:val="102"/>
          <w:lang w:val="es-ES_tradnl"/>
        </w:rPr>
        <w:t xml:space="preserve"> puede ayudar a identificar los cuellos de botella críticos y las limitaciones que puedan impedir o limitar la eficacia, la escala o la puntualidad de las posibles intervenciones con </w:t>
      </w:r>
      <w:r w:rsidR="003D6D93" w:rsidRPr="00410C9D">
        <w:rPr>
          <w:w w:val="102"/>
          <w:lang w:val="es-ES_tradnl"/>
        </w:rPr>
        <w:t>PTE</w:t>
      </w:r>
      <w:r w:rsidRPr="00410C9D">
        <w:rPr>
          <w:w w:val="102"/>
          <w:lang w:val="es-ES_tradnl"/>
        </w:rPr>
        <w:t xml:space="preserve">. Si es posible, al describir las debilidades, incluir formas de superarlas. A </w:t>
      </w:r>
      <w:r w:rsidR="00410C9D" w:rsidRPr="00410C9D">
        <w:rPr>
          <w:w w:val="102"/>
          <w:lang w:val="es-ES_tradnl"/>
        </w:rPr>
        <w:t>continuación,</w:t>
      </w:r>
      <w:r w:rsidRPr="00410C9D">
        <w:rPr>
          <w:w w:val="102"/>
          <w:lang w:val="es-ES_tradnl"/>
        </w:rPr>
        <w:t xml:space="preserve"> encontrará un ejemplo adaptado de la preparación para el análisis DAFO.</w:t>
      </w:r>
      <w:r w:rsidR="0054256D" w:rsidRPr="00410C9D">
        <w:rPr>
          <w:lang w:val="es-ES_tradn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02"/>
        <w:gridCol w:w="4826"/>
      </w:tblGrid>
      <w:tr w:rsidR="00CD2F99" w:rsidRPr="00410C9D" w14:paraId="7261FA0E" w14:textId="77777777" w:rsidTr="00E93814">
        <w:tc>
          <w:tcPr>
            <w:tcW w:w="2494" w:type="pct"/>
            <w:tcBorders>
              <w:bottom w:val="single" w:sz="4" w:space="0" w:color="auto"/>
            </w:tcBorders>
            <w:shd w:val="clear" w:color="auto" w:fill="DC281E"/>
          </w:tcPr>
          <w:p w14:paraId="40E2EA9E" w14:textId="66AFC74C" w:rsidR="000A08C2" w:rsidRPr="00410C9D" w:rsidRDefault="00416F20" w:rsidP="00297C21">
            <w:pPr>
              <w:spacing w:before="120"/>
              <w:jc w:val="center"/>
              <w:rPr>
                <w:b/>
                <w:bCs/>
                <w:color w:val="FFFFFF" w:themeColor="background1"/>
                <w:lang w:val="es-ES_tradnl"/>
              </w:rPr>
            </w:pPr>
            <w:r w:rsidRPr="00410C9D">
              <w:rPr>
                <w:b/>
                <w:bCs/>
                <w:color w:val="FFFFFF" w:themeColor="background1"/>
                <w:lang w:val="es-ES_tradnl"/>
              </w:rPr>
              <w:t>Fortalezas</w:t>
            </w:r>
          </w:p>
        </w:tc>
        <w:tc>
          <w:tcPr>
            <w:tcW w:w="2506" w:type="pct"/>
            <w:tcBorders>
              <w:bottom w:val="single" w:sz="4" w:space="0" w:color="auto"/>
            </w:tcBorders>
            <w:shd w:val="clear" w:color="auto" w:fill="DC281E"/>
          </w:tcPr>
          <w:p w14:paraId="5C4F89B0" w14:textId="12CEECCB" w:rsidR="000A08C2" w:rsidRPr="00410C9D" w:rsidRDefault="00416F20" w:rsidP="00416F20">
            <w:pPr>
              <w:spacing w:before="120"/>
              <w:jc w:val="center"/>
              <w:rPr>
                <w:b/>
                <w:bCs/>
                <w:color w:val="FFFFFF" w:themeColor="background1"/>
                <w:lang w:val="es-ES_tradnl"/>
              </w:rPr>
            </w:pPr>
            <w:r w:rsidRPr="00410C9D">
              <w:rPr>
                <w:b/>
                <w:bCs/>
                <w:color w:val="FFFFFF" w:themeColor="background1"/>
                <w:lang w:val="es-ES_tradnl"/>
              </w:rPr>
              <w:t>Debilidades</w:t>
            </w:r>
          </w:p>
        </w:tc>
      </w:tr>
      <w:tr w:rsidR="000A08C2" w:rsidRPr="00410C9D" w14:paraId="5DD66ED0" w14:textId="77777777" w:rsidTr="00E93814">
        <w:tc>
          <w:tcPr>
            <w:tcW w:w="2494" w:type="pct"/>
            <w:shd w:val="clear" w:color="auto" w:fill="A6A6A6"/>
          </w:tcPr>
          <w:p w14:paraId="01A9D1DC" w14:textId="02F3D2F1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>La dirección se ha comprometido a tener en cuenta las transferencias de efectivo como una opción de intervención.</w:t>
            </w:r>
          </w:p>
          <w:p w14:paraId="6AE486A3" w14:textId="5C17978F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 xml:space="preserve">Existen </w:t>
            </w:r>
            <w:r w:rsidR="00410C9D" w:rsidRPr="00410C9D">
              <w:rPr>
                <w:rStyle w:val="Catagory"/>
                <w:sz w:val="20"/>
                <w:szCs w:val="20"/>
                <w:lang w:val="es-ES_tradnl"/>
              </w:rPr>
              <w:t>procedimientos</w:t>
            </w:r>
            <w:r w:rsidRPr="00410C9D">
              <w:rPr>
                <w:rStyle w:val="Catagory"/>
                <w:sz w:val="20"/>
                <w:szCs w:val="20"/>
                <w:lang w:val="es-ES_tradnl"/>
              </w:rPr>
              <w:t xml:space="preserve"> operativos normalizados para la respuesta a desastres y se pueden actualizar para incluir PTE.</w:t>
            </w:r>
          </w:p>
          <w:p w14:paraId="5C0E1160" w14:textId="25AA8F58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 xml:space="preserve">El departamento de </w:t>
            </w:r>
            <w:r w:rsidR="00410C9D">
              <w:rPr>
                <w:rStyle w:val="Catagory"/>
                <w:sz w:val="20"/>
                <w:szCs w:val="20"/>
                <w:lang w:val="es-ES_tradnl"/>
              </w:rPr>
              <w:t>f</w:t>
            </w:r>
            <w:r w:rsidRPr="00410C9D">
              <w:rPr>
                <w:rStyle w:val="Catagory"/>
                <w:sz w:val="20"/>
                <w:szCs w:val="20"/>
                <w:lang w:val="es-ES_tradnl"/>
              </w:rPr>
              <w:t>inanzas está listo para involucrarse, siempre y cuando se hayan establecido procedimientos y estos se sigan.</w:t>
            </w:r>
          </w:p>
          <w:p w14:paraId="22BD867D" w14:textId="1E46A5C0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 xml:space="preserve">El conocimiento sobre </w:t>
            </w:r>
            <w:r w:rsidR="003D6D93" w:rsidRPr="00410C9D">
              <w:rPr>
                <w:rStyle w:val="Catagory"/>
                <w:sz w:val="20"/>
                <w:szCs w:val="20"/>
                <w:lang w:val="es-ES_tradnl"/>
              </w:rPr>
              <w:t>PTE</w:t>
            </w:r>
            <w:r w:rsidRPr="00410C9D">
              <w:rPr>
                <w:rStyle w:val="Catagory"/>
                <w:sz w:val="20"/>
                <w:szCs w:val="20"/>
                <w:lang w:val="es-ES_tradnl"/>
              </w:rPr>
              <w:t xml:space="preserve"> es alto tanto en la sede de la Sociedad Nacional como en las seccionales.</w:t>
            </w:r>
          </w:p>
          <w:p w14:paraId="5BDD317D" w14:textId="2DD471A9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 xml:space="preserve">La SN tiene experiencia </w:t>
            </w:r>
            <w:r w:rsidR="003D6D93" w:rsidRPr="00410C9D">
              <w:rPr>
                <w:rStyle w:val="Catagory"/>
                <w:sz w:val="20"/>
                <w:szCs w:val="20"/>
                <w:lang w:val="es-ES_tradnl"/>
              </w:rPr>
              <w:t>PTE</w:t>
            </w:r>
            <w:r w:rsidRPr="00410C9D">
              <w:rPr>
                <w:rStyle w:val="Catagory"/>
                <w:sz w:val="20"/>
                <w:szCs w:val="20"/>
                <w:lang w:val="es-ES_tradnl"/>
              </w:rPr>
              <w:t xml:space="preserve"> (dinero por trabajo, transferencias en efectivo para vivienda, medios de vida y para necesidades multisectoriales).</w:t>
            </w:r>
          </w:p>
          <w:p w14:paraId="4FC07E92" w14:textId="424F5ED3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 xml:space="preserve">La Sociedad Nacional cuenta con personal y voluntarios con experiencia en la implementación de </w:t>
            </w:r>
            <w:r w:rsidR="003D6D93" w:rsidRPr="00410C9D">
              <w:rPr>
                <w:rStyle w:val="Catagory"/>
                <w:sz w:val="20"/>
                <w:szCs w:val="20"/>
                <w:lang w:val="es-ES_tradnl"/>
              </w:rPr>
              <w:t>PTE</w:t>
            </w:r>
            <w:r w:rsidRPr="00410C9D">
              <w:rPr>
                <w:rStyle w:val="Catagory"/>
                <w:sz w:val="20"/>
                <w:szCs w:val="20"/>
                <w:lang w:val="es-ES_tradnl"/>
              </w:rPr>
              <w:t>.</w:t>
            </w:r>
          </w:p>
          <w:p w14:paraId="26C4920A" w14:textId="0D268F2B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 xml:space="preserve">La Sociedad Nacional tiene experiencia con los proveedores financieros nacionales, </w:t>
            </w:r>
            <w:proofErr w:type="gramStart"/>
            <w:r w:rsidR="00410C9D">
              <w:rPr>
                <w:rStyle w:val="Catagory"/>
                <w:sz w:val="20"/>
                <w:szCs w:val="20"/>
                <w:lang w:val="es-ES_tradnl"/>
              </w:rPr>
              <w:t>como</w:t>
            </w:r>
            <w:proofErr w:type="gramEnd"/>
            <w:r w:rsidRPr="00410C9D">
              <w:rPr>
                <w:rStyle w:val="Catagory"/>
                <w:sz w:val="20"/>
                <w:szCs w:val="20"/>
                <w:lang w:val="es-ES_tradnl"/>
              </w:rPr>
              <w:t xml:space="preserve"> por ejemplo, con empresas de remesas.</w:t>
            </w:r>
          </w:p>
          <w:p w14:paraId="5E234BCB" w14:textId="60F320BE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 xml:space="preserve">Las experiencias de </w:t>
            </w:r>
            <w:r w:rsidR="003D6D93" w:rsidRPr="00410C9D">
              <w:rPr>
                <w:rStyle w:val="Catagory"/>
                <w:sz w:val="20"/>
                <w:szCs w:val="20"/>
                <w:lang w:val="es-ES_tradnl"/>
              </w:rPr>
              <w:t>PTE</w:t>
            </w:r>
            <w:r w:rsidRPr="00410C9D">
              <w:rPr>
                <w:rStyle w:val="Catagory"/>
                <w:sz w:val="20"/>
                <w:szCs w:val="20"/>
                <w:lang w:val="es-ES_tradnl"/>
              </w:rPr>
              <w:t xml:space="preserve"> hasta la fecha están bien documentadas.</w:t>
            </w:r>
          </w:p>
          <w:p w14:paraId="0B1F9380" w14:textId="75D9345D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>Las comunidades están bien organizadas y son participativas.</w:t>
            </w:r>
          </w:p>
          <w:p w14:paraId="556A466D" w14:textId="2432A713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>Existe información secundaria fiable.</w:t>
            </w:r>
          </w:p>
          <w:p w14:paraId="691CB4E3" w14:textId="03CC5B98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>Existe apoyo técnico por parte de la FICR y de los socios de la Sociedad Nacional.</w:t>
            </w:r>
          </w:p>
          <w:p w14:paraId="0D545AE2" w14:textId="6F1F044D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>La Sociedad Nacional contacta y comparte el aprendizaje con otras organizaciones humanitarias.</w:t>
            </w:r>
          </w:p>
          <w:p w14:paraId="782F5196" w14:textId="437D2F5E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>Los beneficiarios son muy receptivos a las transferencias de efectivo.</w:t>
            </w:r>
          </w:p>
          <w:p w14:paraId="0D5C8C87" w14:textId="30BE0AFB" w:rsidR="000A08C2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sz w:val="20"/>
                <w:szCs w:val="20"/>
                <w:lang w:val="es-ES_tradnl"/>
              </w:rPr>
              <w:t>Las comunidades valoran la flexibilidad del dinero en efectivo.</w:t>
            </w:r>
          </w:p>
        </w:tc>
        <w:tc>
          <w:tcPr>
            <w:tcW w:w="2506" w:type="pct"/>
            <w:shd w:val="clear" w:color="auto" w:fill="E6E6E6"/>
          </w:tcPr>
          <w:p w14:paraId="301B2E9D" w14:textId="77777777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jc w:val="left"/>
              <w:rPr>
                <w:rStyle w:val="Catagory"/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 xml:space="preserve">La capacidad de los proveedores individuales de servicios financieros no permite una respuesta rápida a escala. Considere trabajar con más de una. </w:t>
            </w:r>
          </w:p>
          <w:p w14:paraId="25B31628" w14:textId="77777777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jc w:val="left"/>
              <w:rPr>
                <w:rStyle w:val="Catagory"/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 xml:space="preserve">Los procesos de aprobación interna pueden retrasar el cobro de efectivo a gran escala. Este problema se debe considerar al actualizar los procedimientos operativos normalizados </w:t>
            </w:r>
          </w:p>
          <w:p w14:paraId="469F8F32" w14:textId="2A0F96D5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jc w:val="left"/>
              <w:rPr>
                <w:rStyle w:val="Catagory"/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 xml:space="preserve">Las habilidades en </w:t>
            </w:r>
            <w:r w:rsidR="003D6D93"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>PTE</w:t>
            </w:r>
            <w:r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 xml:space="preserve"> entre el personal de la Sociedad Nacional y los voluntarios son limitadas. Considere la posibilidad de formación y </w:t>
            </w:r>
            <w:r w:rsid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>“</w:t>
            </w:r>
            <w:r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>coaching</w:t>
            </w:r>
            <w:r w:rsid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>”</w:t>
            </w:r>
            <w:r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 xml:space="preserve">. </w:t>
            </w:r>
          </w:p>
          <w:p w14:paraId="71B5A305" w14:textId="656072FC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jc w:val="left"/>
              <w:rPr>
                <w:rStyle w:val="Catagory"/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 xml:space="preserve">Los hogares beneficiarios pueden tener problemas para acceder a las transferencias en efectivo (por ejemplo, costes adicionales para el transporte, la seguridad, el acceso a los mercados y el acceso al proveedor financiero). El diseño de </w:t>
            </w:r>
            <w:r w:rsidR="003D6D93"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>PTE</w:t>
            </w:r>
            <w:r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 xml:space="preserve"> debe abordar estas cuestiones. </w:t>
            </w:r>
          </w:p>
          <w:p w14:paraId="53B69368" w14:textId="51B60E0A" w:rsidR="00D468DF" w:rsidRPr="00410C9D" w:rsidRDefault="00D468DF" w:rsidP="00D468DF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jc w:val="left"/>
              <w:rPr>
                <w:lang w:val="es-ES_tradnl"/>
              </w:rPr>
            </w:pPr>
            <w:r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>Las evaluaciones de necesidades de la S</w:t>
            </w:r>
            <w:r w:rsid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>ociedad Nacional y el diseño de</w:t>
            </w:r>
            <w:bookmarkStart w:id="0" w:name="_GoBack"/>
            <w:bookmarkEnd w:id="0"/>
            <w:r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 xml:space="preserve"> programas no contemplan los PTE. </w:t>
            </w:r>
            <w:r w:rsidR="003D6D93"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>PTE</w:t>
            </w:r>
            <w:r w:rsidRPr="00410C9D">
              <w:rPr>
                <w:rStyle w:val="Catagory"/>
                <w:rFonts w:asciiTheme="minorHAnsi" w:hAnsiTheme="minorHAnsi"/>
                <w:sz w:val="20"/>
                <w:szCs w:val="20"/>
                <w:lang w:val="es-ES_tradnl"/>
              </w:rPr>
              <w:t xml:space="preserve"> debe integrarse en los sistemas y las herramientas de la Sociedad Nacional (por ejemplo, el plan de contingencia, los cuestionarios de evaluaciones de necesidades, los procedimientos operativos normalizados).</w:t>
            </w:r>
            <w:r w:rsidRPr="00410C9D">
              <w:rPr>
                <w:rStyle w:val="Catagory"/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1E41D007" w14:textId="3BDFA947" w:rsidR="000A08C2" w:rsidRPr="00410C9D" w:rsidRDefault="000A08C2" w:rsidP="00D468DF">
            <w:pPr>
              <w:spacing w:before="40" w:after="40"/>
              <w:ind w:left="357"/>
              <w:jc w:val="left"/>
              <w:rPr>
                <w:lang w:val="es-ES_tradnl"/>
              </w:rPr>
            </w:pPr>
          </w:p>
        </w:tc>
      </w:tr>
      <w:tr w:rsidR="00CD2F99" w:rsidRPr="00410C9D" w14:paraId="1584770A" w14:textId="77777777" w:rsidTr="00E93814">
        <w:tc>
          <w:tcPr>
            <w:tcW w:w="2494" w:type="pct"/>
            <w:tcBorders>
              <w:bottom w:val="single" w:sz="4" w:space="0" w:color="auto"/>
            </w:tcBorders>
            <w:shd w:val="clear" w:color="auto" w:fill="DC281E"/>
          </w:tcPr>
          <w:p w14:paraId="06660C57" w14:textId="48980995" w:rsidR="000A08C2" w:rsidRPr="00410C9D" w:rsidRDefault="00297C21" w:rsidP="00D468DF">
            <w:pPr>
              <w:spacing w:before="120"/>
              <w:jc w:val="center"/>
              <w:rPr>
                <w:b/>
                <w:bCs/>
                <w:color w:val="FFFFFF" w:themeColor="background1"/>
                <w:lang w:val="es-ES_tradnl"/>
              </w:rPr>
            </w:pPr>
            <w:r w:rsidRPr="00410C9D">
              <w:rPr>
                <w:lang w:val="es-ES_tradnl"/>
              </w:rPr>
              <w:br w:type="page"/>
            </w:r>
            <w:r w:rsidR="00D468DF" w:rsidRPr="00410C9D">
              <w:rPr>
                <w:b/>
                <w:bCs/>
                <w:color w:val="FFFFFF" w:themeColor="background1"/>
                <w:lang w:val="es-ES_tradnl"/>
              </w:rPr>
              <w:t>Op</w:t>
            </w:r>
            <w:r w:rsidR="000A08C2" w:rsidRPr="00410C9D">
              <w:rPr>
                <w:b/>
                <w:bCs/>
                <w:color w:val="FFFFFF" w:themeColor="background1"/>
                <w:lang w:val="es-ES_tradnl"/>
              </w:rPr>
              <w:t>ortuni</w:t>
            </w:r>
            <w:r w:rsidR="00D468DF" w:rsidRPr="00410C9D">
              <w:rPr>
                <w:b/>
                <w:bCs/>
                <w:color w:val="FFFFFF" w:themeColor="background1"/>
                <w:lang w:val="es-ES_tradnl"/>
              </w:rPr>
              <w:t xml:space="preserve">dades </w:t>
            </w:r>
          </w:p>
        </w:tc>
        <w:tc>
          <w:tcPr>
            <w:tcW w:w="2506" w:type="pct"/>
            <w:tcBorders>
              <w:bottom w:val="single" w:sz="4" w:space="0" w:color="auto"/>
            </w:tcBorders>
            <w:shd w:val="clear" w:color="auto" w:fill="DC281E"/>
          </w:tcPr>
          <w:p w14:paraId="13F412DD" w14:textId="4227CF99" w:rsidR="000A08C2" w:rsidRPr="00410C9D" w:rsidRDefault="00D468DF" w:rsidP="00D468DF">
            <w:pPr>
              <w:spacing w:before="120"/>
              <w:jc w:val="center"/>
              <w:rPr>
                <w:b/>
                <w:bCs/>
                <w:color w:val="FFFFFF" w:themeColor="background1"/>
                <w:lang w:val="es-ES_tradnl"/>
              </w:rPr>
            </w:pPr>
            <w:r w:rsidRPr="00410C9D">
              <w:rPr>
                <w:b/>
                <w:bCs/>
                <w:color w:val="FFFFFF" w:themeColor="background1"/>
                <w:lang w:val="es-ES_tradnl"/>
              </w:rPr>
              <w:t>Amenazas</w:t>
            </w:r>
          </w:p>
        </w:tc>
      </w:tr>
      <w:tr w:rsidR="000A08C2" w:rsidRPr="00410C9D" w14:paraId="1DE69B18" w14:textId="77777777" w:rsidTr="00E93814">
        <w:tc>
          <w:tcPr>
            <w:tcW w:w="2494" w:type="pct"/>
            <w:shd w:val="clear" w:color="auto" w:fill="A6A6A6"/>
          </w:tcPr>
          <w:p w14:paraId="5FEC0C31" w14:textId="591EC3ED" w:rsidR="00D468DF" w:rsidRPr="00410C9D" w:rsidRDefault="00D468DF" w:rsidP="00D468D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Con </w:t>
            </w:r>
            <w:r w:rsidR="003D6D93" w:rsidRPr="00410C9D">
              <w:rPr>
                <w:rFonts w:asciiTheme="minorHAnsi" w:hAnsiTheme="minorHAnsi"/>
                <w:szCs w:val="20"/>
                <w:lang w:val="es-ES_tradnl"/>
              </w:rPr>
              <w:t>PTE</w:t>
            </w: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, los beneficiarios tienen más posibilidades de elección. </w:t>
            </w:r>
          </w:p>
          <w:p w14:paraId="3935BA14" w14:textId="559D6DA2" w:rsidR="00D468DF" w:rsidRPr="00410C9D" w:rsidRDefault="00D468DF" w:rsidP="00D468D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Los </w:t>
            </w:r>
            <w:r w:rsidR="003D6D93" w:rsidRPr="00410C9D">
              <w:rPr>
                <w:rFonts w:asciiTheme="minorHAnsi" w:hAnsiTheme="minorHAnsi"/>
                <w:szCs w:val="20"/>
                <w:lang w:val="es-ES_tradnl"/>
              </w:rPr>
              <w:t>PTE</w:t>
            </w: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 permiten un método más rentable de asistencia humanitaria. </w:t>
            </w:r>
          </w:p>
          <w:p w14:paraId="6AEC0268" w14:textId="431AE312" w:rsidR="00D468DF" w:rsidRPr="00410C9D" w:rsidRDefault="00D468DF" w:rsidP="00D468D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10C9D">
              <w:rPr>
                <w:rFonts w:asciiTheme="minorHAnsi" w:hAnsiTheme="minorHAnsi"/>
                <w:szCs w:val="20"/>
                <w:lang w:val="es-ES_tradnl"/>
              </w:rPr>
              <w:lastRenderedPageBreak/>
              <w:t xml:space="preserve">Una vez que existen sistemas y procedimientos, los </w:t>
            </w:r>
            <w:r w:rsidR="003D6D93" w:rsidRPr="00410C9D">
              <w:rPr>
                <w:rFonts w:asciiTheme="minorHAnsi" w:hAnsiTheme="minorHAnsi"/>
                <w:szCs w:val="20"/>
                <w:lang w:val="es-ES_tradnl"/>
              </w:rPr>
              <w:t>PTE</w:t>
            </w: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 pueden ser un método más rápido  </w:t>
            </w:r>
          </w:p>
          <w:p w14:paraId="2429A6D4" w14:textId="264AA5C1" w:rsidR="00D468DF" w:rsidRPr="00410C9D" w:rsidRDefault="00D468DF" w:rsidP="00D468D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La SN tiene el potencial de convertirse en un líder de </w:t>
            </w:r>
            <w:r w:rsidR="003D6D93" w:rsidRPr="00410C9D">
              <w:rPr>
                <w:rFonts w:asciiTheme="minorHAnsi" w:hAnsiTheme="minorHAnsi"/>
                <w:szCs w:val="20"/>
                <w:lang w:val="es-ES_tradnl"/>
              </w:rPr>
              <w:t>PTE</w:t>
            </w: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 en el contexto nacional y en el Movimiento. </w:t>
            </w:r>
          </w:p>
          <w:p w14:paraId="357BAF10" w14:textId="7367878D" w:rsidR="00D468DF" w:rsidRPr="00410C9D" w:rsidRDefault="00D468DF" w:rsidP="00D468D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Los </w:t>
            </w:r>
            <w:r w:rsidR="003D6D93" w:rsidRPr="00410C9D">
              <w:rPr>
                <w:rFonts w:asciiTheme="minorHAnsi" w:hAnsiTheme="minorHAnsi"/>
                <w:szCs w:val="20"/>
                <w:lang w:val="es-ES_tradnl"/>
              </w:rPr>
              <w:t>PTE</w:t>
            </w: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 pueden contribuir al desarrollo profesional del personal y de los voluntarios de la SN </w:t>
            </w:r>
          </w:p>
          <w:p w14:paraId="4FCE2A0D" w14:textId="4B62E316" w:rsidR="00D468DF" w:rsidRPr="00410C9D" w:rsidRDefault="00D468DF" w:rsidP="00D468D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Los </w:t>
            </w:r>
            <w:r w:rsidR="003D6D93" w:rsidRPr="00410C9D">
              <w:rPr>
                <w:rFonts w:asciiTheme="minorHAnsi" w:hAnsiTheme="minorHAnsi"/>
                <w:szCs w:val="20"/>
                <w:lang w:val="es-ES_tradnl"/>
              </w:rPr>
              <w:t>PTE</w:t>
            </w: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 pueden contribuir a las comunicaciones de la SN con historias y datos de seguimiento. </w:t>
            </w:r>
          </w:p>
          <w:p w14:paraId="4CE6CCE0" w14:textId="64814C06" w:rsidR="000A08C2" w:rsidRPr="00410C9D" w:rsidRDefault="00D468DF" w:rsidP="00D468D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Los </w:t>
            </w:r>
            <w:r w:rsidR="003D6D93" w:rsidRPr="00410C9D">
              <w:rPr>
                <w:rFonts w:asciiTheme="minorHAnsi" w:hAnsiTheme="minorHAnsi"/>
                <w:szCs w:val="20"/>
                <w:lang w:val="es-ES_tradnl"/>
              </w:rPr>
              <w:t>PTE</w:t>
            </w: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 pueden aumentar las oportunidades de recaudación de fondos.</w:t>
            </w:r>
          </w:p>
        </w:tc>
        <w:tc>
          <w:tcPr>
            <w:tcW w:w="2506" w:type="pct"/>
            <w:shd w:val="clear" w:color="auto" w:fill="E6E6E6"/>
          </w:tcPr>
          <w:p w14:paraId="2332D233" w14:textId="77777777" w:rsidR="003D6D93" w:rsidRPr="00410C9D" w:rsidRDefault="003D6D93" w:rsidP="003D6D93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10C9D">
              <w:rPr>
                <w:rFonts w:asciiTheme="minorHAnsi" w:hAnsiTheme="minorHAnsi"/>
                <w:szCs w:val="20"/>
                <w:lang w:val="es-ES_tradnl"/>
              </w:rPr>
              <w:lastRenderedPageBreak/>
              <w:t xml:space="preserve">Los recursos pueden ser desviados - internamente / externamente. </w:t>
            </w:r>
          </w:p>
          <w:p w14:paraId="17C55156" w14:textId="77777777" w:rsidR="003D6D93" w:rsidRPr="00410C9D" w:rsidRDefault="003D6D93" w:rsidP="003D6D93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Existe la posibilidad de pérdida de visibilidad de la Sociedad Nacional. </w:t>
            </w:r>
          </w:p>
          <w:p w14:paraId="41DFF6B8" w14:textId="77777777" w:rsidR="003D6D93" w:rsidRPr="00410C9D" w:rsidRDefault="003D6D93" w:rsidP="003D6D93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10C9D">
              <w:rPr>
                <w:rFonts w:asciiTheme="minorHAnsi" w:hAnsiTheme="minorHAnsi"/>
                <w:szCs w:val="20"/>
                <w:lang w:val="es-ES_tradnl"/>
              </w:rPr>
              <w:lastRenderedPageBreak/>
              <w:t xml:space="preserve">Los PTE pueden aumentar la inseguridad de los hogares beneficiarios. </w:t>
            </w:r>
          </w:p>
          <w:p w14:paraId="2FA83481" w14:textId="77777777" w:rsidR="003D6D93" w:rsidRPr="00410C9D" w:rsidRDefault="003D6D93" w:rsidP="003D6D93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10C9D">
              <w:rPr>
                <w:rFonts w:asciiTheme="minorHAnsi" w:hAnsiTheme="minorHAnsi"/>
                <w:szCs w:val="20"/>
                <w:lang w:val="es-ES_tradnl"/>
              </w:rPr>
              <w:t xml:space="preserve">Los proveedores de servicios financieros pueden carecer de la capacidad o voluntad para entregar PTE. </w:t>
            </w:r>
          </w:p>
          <w:p w14:paraId="64153D89" w14:textId="678FAE19" w:rsidR="000A08C2" w:rsidRPr="00410C9D" w:rsidRDefault="003D6D93" w:rsidP="003D6D93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10C9D">
              <w:rPr>
                <w:rFonts w:asciiTheme="minorHAnsi" w:hAnsiTheme="minorHAnsi"/>
                <w:szCs w:val="20"/>
                <w:lang w:val="es-ES_tradnl"/>
              </w:rPr>
              <w:t>El personal de la Sociedad Nacional y voluntarios con experiencia en PTE no continúan trabajando a medio plazo con la Sociedad Nacional.</w:t>
            </w:r>
          </w:p>
        </w:tc>
      </w:tr>
    </w:tbl>
    <w:p w14:paraId="3909F535" w14:textId="77777777" w:rsidR="001B5C1D" w:rsidRPr="00410C9D" w:rsidRDefault="001B5C1D" w:rsidP="00D1344B">
      <w:pPr>
        <w:rPr>
          <w:lang w:val="es-ES_tradnl"/>
        </w:rPr>
      </w:pPr>
    </w:p>
    <w:sectPr w:rsidR="001B5C1D" w:rsidRPr="00410C9D" w:rsidSect="00CD2F9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65E2" w14:textId="77777777" w:rsidR="005535A0" w:rsidRDefault="005535A0" w:rsidP="005540AA">
      <w:pPr>
        <w:spacing w:after="0"/>
      </w:pPr>
      <w:r>
        <w:separator/>
      </w:r>
    </w:p>
  </w:endnote>
  <w:endnote w:type="continuationSeparator" w:id="0">
    <w:p w14:paraId="35CB4D78" w14:textId="77777777" w:rsidR="005535A0" w:rsidRDefault="005535A0" w:rsidP="00554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BC28" w14:textId="6875198D" w:rsidR="007F7E04" w:rsidRPr="00B45C74" w:rsidRDefault="007F7E0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10C9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EB51A54" w14:textId="21931607" w:rsidR="007F7E04" w:rsidRPr="007F7E04" w:rsidRDefault="003D6D93" w:rsidP="00ED1B2B">
    <w:pPr>
      <w:pStyle w:val="Footer"/>
      <w:rPr>
        <w:b/>
      </w:rPr>
    </w:pPr>
    <w:proofErr w:type="spellStart"/>
    <w:r>
      <w:rPr>
        <w:b/>
      </w:rPr>
      <w:t>Módulo</w:t>
    </w:r>
    <w:proofErr w:type="spellEnd"/>
    <w:r w:rsidR="007F7E04" w:rsidRPr="00107E15">
      <w:rPr>
        <w:b/>
      </w:rPr>
      <w:t xml:space="preserve"> </w:t>
    </w:r>
    <w:r w:rsidR="007F7E04">
      <w:rPr>
        <w:b/>
      </w:rPr>
      <w:t>1</w:t>
    </w:r>
    <w:r w:rsidR="007F7E04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7F7E04" w:rsidRPr="00107E15">
      <w:t xml:space="preserve"> </w:t>
    </w:r>
    <w:r w:rsidR="00D72EAA">
      <w:t>1</w:t>
    </w:r>
    <w:r w:rsidR="007F7E04" w:rsidRPr="00107E15">
      <w:t>.</w:t>
    </w:r>
    <w:r w:rsidR="007F7E04">
      <w:t xml:space="preserve"> Sub-</w:t>
    </w:r>
    <w:r>
      <w:t>etapa</w:t>
    </w:r>
    <w:r w:rsidR="007F7E04">
      <w:t xml:space="preserve"> </w:t>
    </w:r>
    <w:r w:rsidR="00D72EAA">
      <w:t>5</w:t>
    </w:r>
    <w:r w:rsidR="007F7E04">
      <w:t xml:space="preserve">. </w:t>
    </w:r>
    <w:r w:rsidR="005535A0">
      <w:fldChar w:fldCharType="begin"/>
    </w:r>
    <w:r w:rsidR="005535A0">
      <w:instrText xml:space="preserve"> STYLEREF  H1 \t  \* MERGEFORMAT </w:instrText>
    </w:r>
    <w:r w:rsidR="005535A0">
      <w:fldChar w:fldCharType="separate"/>
    </w:r>
    <w:r w:rsidR="00410C9D" w:rsidRPr="00410C9D">
      <w:rPr>
        <w:bCs/>
        <w:noProof/>
      </w:rPr>
      <w:t>Plantilla de DAFO</w:t>
    </w:r>
    <w:r w:rsidR="00410C9D">
      <w:rPr>
        <w:noProof/>
      </w:rPr>
      <w:t xml:space="preserve"> sobre preparación</w:t>
    </w:r>
    <w:r w:rsidR="005535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2120" w14:textId="77777777" w:rsidR="005535A0" w:rsidRDefault="005535A0" w:rsidP="005540AA">
      <w:pPr>
        <w:spacing w:after="0"/>
      </w:pPr>
      <w:r>
        <w:separator/>
      </w:r>
    </w:p>
  </w:footnote>
  <w:footnote w:type="continuationSeparator" w:id="0">
    <w:p w14:paraId="6C4D95C3" w14:textId="77777777" w:rsidR="005535A0" w:rsidRDefault="005535A0" w:rsidP="005540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ED44" w14:textId="29E14215" w:rsidR="00A618F0" w:rsidRDefault="00A618F0" w:rsidP="00A618F0">
    <w:pPr>
      <w:pStyle w:val="Header"/>
      <w:rPr>
        <w:szCs w:val="16"/>
      </w:rPr>
    </w:pPr>
    <w:proofErr w:type="spellStart"/>
    <w:r>
      <w:rPr>
        <w:rStyle w:val="Pantone485"/>
      </w:rPr>
      <w:t>Movimiento</w:t>
    </w:r>
    <w:proofErr w:type="spellEnd"/>
    <w:r>
      <w:rPr>
        <w:rStyle w:val="Pantone485"/>
      </w:rPr>
      <w:t xml:space="preserve"> International de la Cruz Roja y </w:t>
    </w:r>
    <w:r w:rsidR="00410C9D">
      <w:rPr>
        <w:rStyle w:val="Pantone485"/>
      </w:rPr>
      <w:t xml:space="preserve">de </w:t>
    </w:r>
    <w:r>
      <w:rPr>
        <w:rStyle w:val="Pantone485"/>
      </w:rPr>
      <w:t xml:space="preserve">la Media Luna Roja </w:t>
    </w:r>
    <w:r>
      <w:rPr>
        <w:rStyle w:val="PageNumber"/>
        <w:bCs/>
      </w:rPr>
      <w:t>I</w:t>
    </w:r>
    <w:r>
      <w:rPr>
        <w:rStyle w:val="PageNumber"/>
        <w:color w:val="FF0000"/>
      </w:rPr>
      <w:t xml:space="preserve"> </w:t>
    </w:r>
    <w:proofErr w:type="spellStart"/>
    <w:r>
      <w:rPr>
        <w:b/>
        <w:szCs w:val="16"/>
      </w:rPr>
      <w:t>Caja</w:t>
    </w:r>
    <w:proofErr w:type="spellEnd"/>
    <w:r>
      <w:rPr>
        <w:b/>
        <w:szCs w:val="16"/>
      </w:rPr>
      <w:t xml:space="preserve"> de </w:t>
    </w:r>
    <w:proofErr w:type="spellStart"/>
    <w:r>
      <w:rPr>
        <w:b/>
        <w:szCs w:val="16"/>
      </w:rPr>
      <w:t>herramientas</w:t>
    </w:r>
    <w:proofErr w:type="spellEnd"/>
    <w:r>
      <w:rPr>
        <w:b/>
        <w:szCs w:val="16"/>
      </w:rPr>
      <w:t xml:space="preserve"> para PTE </w:t>
    </w:r>
    <w:proofErr w:type="spellStart"/>
    <w:r>
      <w:rPr>
        <w:b/>
        <w:szCs w:val="16"/>
      </w:rPr>
      <w:t>en</w:t>
    </w:r>
    <w:proofErr w:type="spellEnd"/>
    <w:r>
      <w:rPr>
        <w:b/>
        <w:szCs w:val="16"/>
      </w:rPr>
      <w:t xml:space="preserve"> </w:t>
    </w:r>
    <w:proofErr w:type="spellStart"/>
    <w:r>
      <w:rPr>
        <w:b/>
        <w:szCs w:val="16"/>
      </w:rPr>
      <w:t>emergencias</w:t>
    </w:r>
    <w:proofErr w:type="spellEnd"/>
    <w:r>
      <w:rPr>
        <w:b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FB0"/>
    <w:multiLevelType w:val="hybridMultilevel"/>
    <w:tmpl w:val="B2B07C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36CB"/>
    <w:multiLevelType w:val="hybridMultilevel"/>
    <w:tmpl w:val="7DC0BF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10E0"/>
    <w:multiLevelType w:val="hybridMultilevel"/>
    <w:tmpl w:val="A45E33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F48892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C5A04"/>
    <w:multiLevelType w:val="hybridMultilevel"/>
    <w:tmpl w:val="49C6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20044"/>
    <w:multiLevelType w:val="hybridMultilevel"/>
    <w:tmpl w:val="E3024B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B"/>
    <w:rsid w:val="00040BB1"/>
    <w:rsid w:val="000A08C2"/>
    <w:rsid w:val="000A10CE"/>
    <w:rsid w:val="0011445F"/>
    <w:rsid w:val="001A34A4"/>
    <w:rsid w:val="001A4D17"/>
    <w:rsid w:val="001B5C1D"/>
    <w:rsid w:val="001D0F03"/>
    <w:rsid w:val="00277416"/>
    <w:rsid w:val="00297C21"/>
    <w:rsid w:val="002A2BDF"/>
    <w:rsid w:val="00314731"/>
    <w:rsid w:val="0039068D"/>
    <w:rsid w:val="003C0945"/>
    <w:rsid w:val="003C7AB3"/>
    <w:rsid w:val="003D6D93"/>
    <w:rsid w:val="003E662C"/>
    <w:rsid w:val="00410C9D"/>
    <w:rsid w:val="00416F20"/>
    <w:rsid w:val="004A0ABD"/>
    <w:rsid w:val="004B06CB"/>
    <w:rsid w:val="00541004"/>
    <w:rsid w:val="0054256D"/>
    <w:rsid w:val="005535A0"/>
    <w:rsid w:val="005540AA"/>
    <w:rsid w:val="00580E8F"/>
    <w:rsid w:val="005C0EAF"/>
    <w:rsid w:val="005C6BEE"/>
    <w:rsid w:val="00625061"/>
    <w:rsid w:val="006E5DE5"/>
    <w:rsid w:val="00755265"/>
    <w:rsid w:val="00771508"/>
    <w:rsid w:val="007955AE"/>
    <w:rsid w:val="007973AA"/>
    <w:rsid w:val="007D3732"/>
    <w:rsid w:val="007E675F"/>
    <w:rsid w:val="007F7E04"/>
    <w:rsid w:val="00A14B6D"/>
    <w:rsid w:val="00A618F0"/>
    <w:rsid w:val="00A70E2A"/>
    <w:rsid w:val="00AC5E37"/>
    <w:rsid w:val="00B27310"/>
    <w:rsid w:val="00BE18EF"/>
    <w:rsid w:val="00C443FD"/>
    <w:rsid w:val="00C51C25"/>
    <w:rsid w:val="00CC16E3"/>
    <w:rsid w:val="00CD2F99"/>
    <w:rsid w:val="00D1344B"/>
    <w:rsid w:val="00D22263"/>
    <w:rsid w:val="00D468DF"/>
    <w:rsid w:val="00D61F69"/>
    <w:rsid w:val="00D72EAA"/>
    <w:rsid w:val="00DC20C2"/>
    <w:rsid w:val="00E33E37"/>
    <w:rsid w:val="00E93814"/>
    <w:rsid w:val="00E94CC6"/>
    <w:rsid w:val="00EB6F3B"/>
    <w:rsid w:val="00F11655"/>
    <w:rsid w:val="00F843E6"/>
    <w:rsid w:val="00FA2380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EA35B"/>
  <w15:docId w15:val="{AAB4DBAA-792F-4BAA-9353-5FEF4C44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81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E9381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381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81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7E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814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93814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Catagory">
    <w:name w:val="Catagory"/>
    <w:basedOn w:val="DefaultParagraphFont"/>
    <w:uiPriority w:val="1"/>
    <w:qFormat/>
    <w:rsid w:val="005C0EAF"/>
    <w:rPr>
      <w:sz w:val="10"/>
      <w:szCs w:val="1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3814"/>
    <w:rPr>
      <w:rFonts w:ascii="Arial" w:hAnsi="Arial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81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3814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81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3814"/>
    <w:rPr>
      <w:rFonts w:ascii="Arial" w:eastAsiaTheme="minorEastAsia" w:hAnsi="Arial" w:cs="Times New Roman"/>
      <w:sz w:val="16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E9381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14"/>
    <w:rPr>
      <w:rFonts w:ascii="Lucida Grande" w:eastAsiaTheme="minorEastAsia" w:hAnsi="Lucida Grande" w:cs="Lucida Grande"/>
      <w:sz w:val="18"/>
      <w:szCs w:val="18"/>
      <w:lang w:val="en-US"/>
    </w:rPr>
  </w:style>
  <w:style w:type="paragraph" w:customStyle="1" w:styleId="Bullet1">
    <w:name w:val="Bullet 1"/>
    <w:basedOn w:val="Normal"/>
    <w:rsid w:val="00E93814"/>
    <w:pPr>
      <w:numPr>
        <w:numId w:val="6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E93814"/>
    <w:pPr>
      <w:numPr>
        <w:numId w:val="7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938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0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04"/>
    <w:rPr>
      <w:rFonts w:ascii="Arial" w:eastAsiaTheme="minorEastAsia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9381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93814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E93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3814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E93814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E93814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E93814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814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3814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93814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F7E04"/>
    <w:rPr>
      <w:rFonts w:asciiTheme="majorHAnsi" w:eastAsiaTheme="majorEastAsia" w:hAnsiTheme="majorHAnsi" w:cstheme="majorBidi"/>
      <w:bCs/>
      <w:i/>
      <w:iCs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E9381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E93814"/>
    <w:rPr>
      <w:b/>
    </w:rPr>
  </w:style>
  <w:style w:type="character" w:customStyle="1" w:styleId="Pantone485">
    <w:name w:val="Pantone 485"/>
    <w:basedOn w:val="DefaultParagraphFont"/>
    <w:uiPriority w:val="1"/>
    <w:qFormat/>
    <w:rsid w:val="00E93814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E9381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93814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E93814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E9381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814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93814"/>
    <w:rPr>
      <w:vertAlign w:val="superscript"/>
    </w:rPr>
  </w:style>
  <w:style w:type="paragraph" w:styleId="Revision">
    <w:name w:val="Revision"/>
    <w:hidden/>
    <w:uiPriority w:val="99"/>
    <w:semiHidden/>
    <w:rsid w:val="00E93814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ListNumber1">
    <w:name w:val="List Number 1"/>
    <w:basedOn w:val="Normal"/>
    <w:rsid w:val="00E93814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93814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93814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9381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9381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93814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123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DELO</dc:creator>
  <cp:lastModifiedBy>Ines DALMAU i GUTSENS</cp:lastModifiedBy>
  <cp:revision>5</cp:revision>
  <cp:lastPrinted>2015-09-09T12:23:00Z</cp:lastPrinted>
  <dcterms:created xsi:type="dcterms:W3CDTF">2016-01-14T17:43:00Z</dcterms:created>
  <dcterms:modified xsi:type="dcterms:W3CDTF">2016-02-10T08:47:00Z</dcterms:modified>
</cp:coreProperties>
</file>