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ACAF4" w14:textId="15DBD6B5" w:rsidR="00996780" w:rsidRPr="00771111" w:rsidRDefault="006B35B1" w:rsidP="006B35B1">
      <w:pPr>
        <w:pStyle w:val="H1"/>
        <w:rPr>
          <w:rFonts w:cs="Arial"/>
          <w:lang w:val="fr-FR"/>
        </w:rPr>
      </w:pPr>
      <w:r w:rsidRPr="00771111">
        <w:rPr>
          <w:rFonts w:cs="Arial"/>
          <w:lang w:val="fr-FR"/>
        </w:rPr>
        <w:t>Feuille de route pour l’évaluation</w:t>
      </w:r>
      <w:r w:rsidR="00752615" w:rsidRPr="00771111">
        <w:rPr>
          <w:rFonts w:cs="Arial"/>
          <w:lang w:val="fr-FR"/>
        </w:rPr>
        <w:t xml:space="preserve"> </w:t>
      </w:r>
    </w:p>
    <w:p w14:paraId="53D22EAA" w14:textId="77777777" w:rsidR="00CC4944" w:rsidRPr="00771111" w:rsidRDefault="00CC4944" w:rsidP="00935B48">
      <w:pPr>
        <w:pStyle w:val="H1"/>
        <w:rPr>
          <w:rFonts w:cs="Arial"/>
          <w:lang w:val="fr-FR"/>
        </w:rPr>
      </w:pPr>
    </w:p>
    <w:p w14:paraId="32326DF2" w14:textId="77777777" w:rsidR="007D1A58" w:rsidRPr="00771111" w:rsidRDefault="007D1A58" w:rsidP="00935B48">
      <w:pPr>
        <w:pStyle w:val="Heading2"/>
        <w:rPr>
          <w:rFonts w:cs="Arial"/>
          <w:lang w:val="fr-FR"/>
        </w:rPr>
      </w:pPr>
      <w:r w:rsidRPr="00771111">
        <w:rPr>
          <w:rFonts w:cs="Arial"/>
          <w:lang w:val="fr-FR"/>
        </w:rPr>
        <w:t>INTRODUCTION</w:t>
      </w:r>
    </w:p>
    <w:p w14:paraId="53B0A751" w14:textId="723B5EB1" w:rsidR="00A74426" w:rsidRPr="006B0917" w:rsidRDefault="00771111" w:rsidP="004C53E5">
      <w:pPr>
        <w:rPr>
          <w:rFonts w:cs="Arial"/>
          <w:lang w:val="fr-FR"/>
        </w:rPr>
      </w:pPr>
      <w:r w:rsidRPr="00771111">
        <w:rPr>
          <w:rFonts w:cs="Arial"/>
          <w:lang w:val="fr-FR"/>
        </w:rPr>
        <w:t xml:space="preserve">Pour que les transferts monétaires puissent être envisagés comme une </w:t>
      </w:r>
      <w:r w:rsidR="004C53E5">
        <w:rPr>
          <w:rFonts w:cs="Arial"/>
          <w:lang w:val="fr-FR"/>
        </w:rPr>
        <w:t>solution</w:t>
      </w:r>
      <w:r w:rsidRPr="00771111">
        <w:rPr>
          <w:rFonts w:cs="Arial"/>
          <w:lang w:val="fr-FR"/>
        </w:rPr>
        <w:t xml:space="preserve"> d’intervention, </w:t>
      </w:r>
      <w:r>
        <w:rPr>
          <w:rFonts w:cs="Arial"/>
          <w:lang w:val="fr-FR"/>
        </w:rPr>
        <w:t xml:space="preserve">l’évaluation doit tenir compte </w:t>
      </w:r>
      <w:r w:rsidRPr="006B2C07">
        <w:rPr>
          <w:rFonts w:cs="Arial"/>
          <w:lang w:val="fr-FR"/>
        </w:rPr>
        <w:t xml:space="preserve">des </w:t>
      </w:r>
      <w:r w:rsidR="006B2C07" w:rsidRPr="006B2C07">
        <w:rPr>
          <w:rFonts w:cs="Arial"/>
          <w:lang w:val="fr-FR"/>
        </w:rPr>
        <w:t>éléments</w:t>
      </w:r>
      <w:r w:rsidRPr="006B2C07">
        <w:rPr>
          <w:rFonts w:cs="Arial"/>
          <w:lang w:val="fr-FR"/>
        </w:rPr>
        <w:t xml:space="preserve"> liés </w:t>
      </w:r>
      <w:r w:rsidR="006B2C07" w:rsidRPr="006B2C07">
        <w:rPr>
          <w:rFonts w:cs="Arial"/>
          <w:lang w:val="fr-FR"/>
        </w:rPr>
        <w:t>aux transferts monétaires</w:t>
      </w:r>
      <w:r w:rsidR="006B0917">
        <w:rPr>
          <w:rFonts w:cs="Arial"/>
          <w:lang w:val="fr-FR"/>
        </w:rPr>
        <w:t>.</w:t>
      </w:r>
      <w:r w:rsidR="00970049" w:rsidRPr="00771111">
        <w:rPr>
          <w:rFonts w:cs="Arial"/>
          <w:lang w:val="fr-FR"/>
        </w:rPr>
        <w:t xml:space="preserve"> </w:t>
      </w:r>
      <w:r w:rsidR="006B0917" w:rsidRPr="006B0917">
        <w:rPr>
          <w:rFonts w:cs="Arial"/>
          <w:lang w:val="fr-FR"/>
        </w:rPr>
        <w:t xml:space="preserve">Le module de la Boîte à outils </w:t>
      </w:r>
      <w:r w:rsidR="006B2C07">
        <w:rPr>
          <w:rFonts w:cs="Arial"/>
          <w:lang w:val="fr-FR"/>
        </w:rPr>
        <w:t>consacré à</w:t>
      </w:r>
      <w:r w:rsidR="006B0917" w:rsidRPr="006B0917">
        <w:rPr>
          <w:rFonts w:cs="Arial"/>
          <w:lang w:val="fr-FR"/>
        </w:rPr>
        <w:t xml:space="preserve"> l’évaluation </w:t>
      </w:r>
      <w:r w:rsidR="006B2C07">
        <w:rPr>
          <w:rFonts w:cs="Arial"/>
          <w:lang w:val="fr-FR"/>
        </w:rPr>
        <w:t>doit</w:t>
      </w:r>
      <w:r w:rsidR="006B0917" w:rsidRPr="006B0917">
        <w:rPr>
          <w:rFonts w:cs="Arial"/>
          <w:lang w:val="fr-FR"/>
        </w:rPr>
        <w:t xml:space="preserve"> avant tout aider les </w:t>
      </w:r>
      <w:r w:rsidR="006B0917">
        <w:rPr>
          <w:rFonts w:cs="Arial"/>
          <w:lang w:val="fr-FR"/>
        </w:rPr>
        <w:t xml:space="preserve">praticiens à intégrer les </w:t>
      </w:r>
      <w:r w:rsidR="006B2C07">
        <w:rPr>
          <w:rFonts w:cs="Arial"/>
          <w:lang w:val="fr-FR"/>
        </w:rPr>
        <w:t>éléments</w:t>
      </w:r>
      <w:r w:rsidR="006B0917">
        <w:rPr>
          <w:rFonts w:cs="Arial"/>
          <w:lang w:val="fr-FR"/>
        </w:rPr>
        <w:t xml:space="preserve"> </w:t>
      </w:r>
      <w:r w:rsidR="006B0917" w:rsidRPr="006B2C07">
        <w:rPr>
          <w:rFonts w:cs="Arial"/>
          <w:lang w:val="fr-FR"/>
        </w:rPr>
        <w:t xml:space="preserve">liés </w:t>
      </w:r>
      <w:r w:rsidR="006B2C07">
        <w:rPr>
          <w:rFonts w:cs="Arial"/>
          <w:lang w:val="fr-FR"/>
        </w:rPr>
        <w:t>aux transferts monétaires</w:t>
      </w:r>
      <w:r w:rsidR="006B0917">
        <w:rPr>
          <w:rFonts w:cs="Arial"/>
          <w:lang w:val="fr-FR"/>
        </w:rPr>
        <w:t xml:space="preserve"> dans leurs processus et outils habituels d’évaluation</w:t>
      </w:r>
      <w:r w:rsidR="006B0917" w:rsidRPr="006B0917">
        <w:rPr>
          <w:rFonts w:cs="Arial"/>
          <w:lang w:val="fr-FR"/>
        </w:rPr>
        <w:t xml:space="preserve"> </w:t>
      </w:r>
      <w:r w:rsidR="006B0917">
        <w:rPr>
          <w:rFonts w:cs="Arial"/>
          <w:lang w:val="fr-FR"/>
        </w:rPr>
        <w:t>de</w:t>
      </w:r>
      <w:r w:rsidR="007F4DC6">
        <w:rPr>
          <w:rFonts w:cs="Arial"/>
          <w:lang w:val="fr-FR"/>
        </w:rPr>
        <w:t>s</w:t>
      </w:r>
      <w:r w:rsidR="006B0917">
        <w:rPr>
          <w:rFonts w:cs="Arial"/>
          <w:lang w:val="fr-FR"/>
        </w:rPr>
        <w:t xml:space="preserve"> situations d’urgence. Les informations recueillies dans le cadre de l’évaluation </w:t>
      </w:r>
      <w:r w:rsidR="00C15492">
        <w:rPr>
          <w:rFonts w:cs="Arial"/>
          <w:lang w:val="fr-FR"/>
        </w:rPr>
        <w:t>serviront de base à</w:t>
      </w:r>
      <w:r w:rsidR="006B0917">
        <w:rPr>
          <w:rFonts w:cs="Arial"/>
          <w:lang w:val="fr-FR"/>
        </w:rPr>
        <w:t xml:space="preserve"> </w:t>
      </w:r>
      <w:r w:rsidR="00C15492">
        <w:rPr>
          <w:rFonts w:cs="Arial"/>
          <w:lang w:val="fr-FR"/>
        </w:rPr>
        <w:t>l’analyse</w:t>
      </w:r>
      <w:r w:rsidR="006B0917">
        <w:rPr>
          <w:rFonts w:cs="Arial"/>
          <w:lang w:val="fr-FR"/>
        </w:rPr>
        <w:t xml:space="preserve"> de l’intervention.</w:t>
      </w:r>
    </w:p>
    <w:p w14:paraId="1D6EF0A2" w14:textId="1ADBC8C7" w:rsidR="00461C1A" w:rsidRPr="00ED1D49" w:rsidRDefault="006B0917" w:rsidP="004C53E5">
      <w:pPr>
        <w:rPr>
          <w:rFonts w:cs="Arial"/>
          <w:lang w:val="fr-FR"/>
        </w:rPr>
      </w:pPr>
      <w:r w:rsidRPr="0021593C">
        <w:rPr>
          <w:rFonts w:cs="Arial"/>
          <w:lang w:val="fr-FR"/>
        </w:rPr>
        <w:t>Les étapes et étapes</w:t>
      </w:r>
      <w:r w:rsidR="004C53E5">
        <w:rPr>
          <w:rFonts w:cs="Arial"/>
          <w:lang w:val="fr-FR"/>
        </w:rPr>
        <w:t xml:space="preserve"> subsidiaires</w:t>
      </w:r>
      <w:r w:rsidRPr="0021593C">
        <w:rPr>
          <w:rFonts w:cs="Arial"/>
          <w:lang w:val="fr-FR"/>
        </w:rPr>
        <w:t xml:space="preserve"> </w:t>
      </w:r>
      <w:r w:rsidR="004C53E5">
        <w:rPr>
          <w:rFonts w:cs="Arial"/>
          <w:lang w:val="fr-FR"/>
        </w:rPr>
        <w:t>proposées</w:t>
      </w:r>
      <w:r w:rsidRPr="0021593C">
        <w:rPr>
          <w:rFonts w:cs="Arial"/>
          <w:lang w:val="fr-FR"/>
        </w:rPr>
        <w:t xml:space="preserve"> </w:t>
      </w:r>
      <w:r w:rsidR="0021593C" w:rsidRPr="0021593C">
        <w:rPr>
          <w:rFonts w:cs="Arial"/>
          <w:lang w:val="fr-FR"/>
        </w:rPr>
        <w:t>ne sont pas nécessairement successives et peuvent m</w:t>
      </w:r>
      <w:r w:rsidR="0021593C">
        <w:rPr>
          <w:rFonts w:cs="Arial"/>
          <w:lang w:val="fr-FR"/>
        </w:rPr>
        <w:t xml:space="preserve">ême se dérouler simultanément. </w:t>
      </w:r>
      <w:r w:rsidR="0021593C" w:rsidRPr="0021593C">
        <w:rPr>
          <w:rFonts w:cs="Arial"/>
          <w:lang w:val="fr-FR"/>
        </w:rPr>
        <w:t>Chaque étape</w:t>
      </w:r>
      <w:r w:rsidR="004C53E5">
        <w:rPr>
          <w:rFonts w:cs="Arial"/>
          <w:lang w:val="fr-FR"/>
        </w:rPr>
        <w:t xml:space="preserve"> subsidiaire</w:t>
      </w:r>
      <w:r w:rsidR="0021593C" w:rsidRPr="0021593C">
        <w:rPr>
          <w:rFonts w:cs="Arial"/>
          <w:lang w:val="fr-FR"/>
        </w:rPr>
        <w:t xml:space="preserve"> est associée à des outils, et les résultats obtenus </w:t>
      </w:r>
      <w:r w:rsidR="0021593C">
        <w:rPr>
          <w:rFonts w:cs="Arial"/>
          <w:lang w:val="fr-FR"/>
        </w:rPr>
        <w:t>tout au long</w:t>
      </w:r>
      <w:r w:rsidR="00C86EB1">
        <w:rPr>
          <w:rFonts w:cs="Arial"/>
          <w:lang w:val="fr-FR"/>
        </w:rPr>
        <w:t xml:space="preserve"> </w:t>
      </w:r>
      <w:r w:rsidR="000709C0">
        <w:rPr>
          <w:rFonts w:cs="Arial"/>
          <w:lang w:val="fr-FR"/>
        </w:rPr>
        <w:t xml:space="preserve">du processus </w:t>
      </w:r>
      <w:r w:rsidR="00C86EB1">
        <w:rPr>
          <w:rFonts w:cs="Arial"/>
          <w:lang w:val="fr-FR"/>
        </w:rPr>
        <w:t xml:space="preserve">s’alimenteront mutuellement. </w:t>
      </w:r>
      <w:r w:rsidR="00C86EB1" w:rsidRPr="00C86EB1">
        <w:rPr>
          <w:rFonts w:cs="Arial"/>
          <w:lang w:val="fr-FR"/>
        </w:rPr>
        <w:t xml:space="preserve">En particulier, les informations recueillies au niveau communautaire seront </w:t>
      </w:r>
      <w:r w:rsidR="00C86EB1">
        <w:rPr>
          <w:rFonts w:cs="Arial"/>
          <w:lang w:val="fr-FR"/>
        </w:rPr>
        <w:t xml:space="preserve">très </w:t>
      </w:r>
      <w:r w:rsidR="00C86EB1" w:rsidRPr="00C86EB1">
        <w:rPr>
          <w:rFonts w:cs="Arial"/>
          <w:lang w:val="fr-FR"/>
        </w:rPr>
        <w:t xml:space="preserve">utiles pour </w:t>
      </w:r>
      <w:r w:rsidR="00C86EB1">
        <w:rPr>
          <w:rFonts w:cs="Arial"/>
          <w:lang w:val="fr-FR"/>
        </w:rPr>
        <w:t>l’évaluation</w:t>
      </w:r>
      <w:r w:rsidR="00C86EB1" w:rsidRPr="00C86EB1">
        <w:rPr>
          <w:rFonts w:cs="Arial"/>
          <w:lang w:val="fr-FR"/>
        </w:rPr>
        <w:t xml:space="preserve"> de</w:t>
      </w:r>
      <w:r w:rsidR="00C86EB1">
        <w:rPr>
          <w:rFonts w:cs="Arial"/>
          <w:lang w:val="fr-FR"/>
        </w:rPr>
        <w:t>s</w:t>
      </w:r>
      <w:r w:rsidR="00C86EB1" w:rsidRPr="00C86EB1">
        <w:rPr>
          <w:rFonts w:cs="Arial"/>
          <w:lang w:val="fr-FR"/>
        </w:rPr>
        <w:t xml:space="preserve"> marché</w:t>
      </w:r>
      <w:r w:rsidR="00442DF0">
        <w:rPr>
          <w:rFonts w:cs="Arial"/>
          <w:lang w:val="fr-FR"/>
        </w:rPr>
        <w:t>s</w:t>
      </w:r>
      <w:r w:rsidR="00C86EB1" w:rsidRPr="00C86EB1">
        <w:rPr>
          <w:rFonts w:cs="Arial"/>
          <w:lang w:val="fr-FR"/>
        </w:rPr>
        <w:t xml:space="preserve"> </w:t>
      </w:r>
      <w:r w:rsidR="00C86EB1">
        <w:rPr>
          <w:rFonts w:cs="Arial"/>
          <w:lang w:val="fr-FR"/>
        </w:rPr>
        <w:t>et l’analyse financière.</w:t>
      </w:r>
      <w:r w:rsidR="0021593C" w:rsidRPr="00C86EB1">
        <w:rPr>
          <w:rFonts w:cs="Arial"/>
          <w:lang w:val="fr-FR"/>
        </w:rPr>
        <w:t xml:space="preserve"> </w:t>
      </w:r>
    </w:p>
    <w:p w14:paraId="3B0FB66D" w14:textId="4A847616" w:rsidR="0014319C" w:rsidRPr="003B15BE" w:rsidRDefault="00C86EB1" w:rsidP="004C53E5">
      <w:pPr>
        <w:rPr>
          <w:rFonts w:cs="Arial"/>
          <w:szCs w:val="22"/>
          <w:lang w:val="fr-FR"/>
        </w:rPr>
      </w:pPr>
      <w:r w:rsidRPr="00C86EB1">
        <w:rPr>
          <w:rFonts w:cs="Arial"/>
          <w:color w:val="000000"/>
          <w:szCs w:val="22"/>
          <w:shd w:val="clear" w:color="auto" w:fill="FFFFFF"/>
          <w:lang w:val="fr-FR" w:eastAsia="it-IT"/>
        </w:rPr>
        <w:t>Les étapes</w:t>
      </w:r>
      <w:r w:rsidR="00FC3568" w:rsidRPr="00C86EB1">
        <w:rPr>
          <w:rFonts w:cs="Arial"/>
          <w:color w:val="000000"/>
          <w:szCs w:val="22"/>
          <w:shd w:val="clear" w:color="auto" w:fill="FFFFFF"/>
          <w:lang w:val="fr-FR" w:eastAsia="it-IT"/>
        </w:rPr>
        <w:t>,</w:t>
      </w:r>
      <w:r w:rsidRPr="00C86EB1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 les </w:t>
      </w:r>
      <w:r w:rsidR="004C53E5" w:rsidRPr="004C53E5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étapes subsidiaires </w:t>
      </w:r>
      <w:r w:rsidRPr="00C86EB1">
        <w:rPr>
          <w:rFonts w:cs="Arial"/>
          <w:color w:val="000000"/>
          <w:szCs w:val="22"/>
          <w:shd w:val="clear" w:color="auto" w:fill="FFFFFF"/>
          <w:lang w:val="fr-FR" w:eastAsia="it-IT"/>
        </w:rPr>
        <w:t>et les outils peuvent être adaptés pour être utilisés dans différents types d’évaluation et de contexte, et par des</w:t>
      </w:r>
      <w:r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 </w:t>
      </w:r>
      <w:r w:rsidRPr="00C86EB1">
        <w:rPr>
          <w:rFonts w:cs="Arial"/>
          <w:color w:val="000000"/>
          <w:szCs w:val="22"/>
          <w:shd w:val="clear" w:color="auto" w:fill="FFFFFF"/>
          <w:lang w:val="fr-FR" w:eastAsia="it-IT"/>
        </w:rPr>
        <w:t>organisations différent</w:t>
      </w:r>
      <w:r>
        <w:rPr>
          <w:rFonts w:cs="Arial"/>
          <w:color w:val="000000"/>
          <w:szCs w:val="22"/>
          <w:shd w:val="clear" w:color="auto" w:fill="FFFFFF"/>
          <w:lang w:val="fr-FR" w:eastAsia="it-IT"/>
        </w:rPr>
        <w:t>e</w:t>
      </w:r>
      <w:r w:rsidRPr="00C86EB1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s. </w:t>
      </w:r>
      <w:r w:rsidR="00976F45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La première étape </w:t>
      </w:r>
      <w:r w:rsidR="00442DF0">
        <w:rPr>
          <w:rFonts w:cs="Arial"/>
          <w:color w:val="000000"/>
          <w:szCs w:val="22"/>
          <w:shd w:val="clear" w:color="auto" w:fill="FFFFFF"/>
          <w:lang w:val="fr-FR" w:eastAsia="it-IT"/>
        </w:rPr>
        <w:t>doit</w:t>
      </w:r>
      <w:r w:rsidR="00976F45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 faciliter la planification et la préparation d’une évaluation tenant compte </w:t>
      </w:r>
      <w:r w:rsidR="00976F45" w:rsidRPr="00442DF0">
        <w:rPr>
          <w:rFonts w:cs="Arial"/>
          <w:color w:val="000000"/>
          <w:szCs w:val="22"/>
          <w:shd w:val="clear" w:color="auto" w:fill="FFFFFF"/>
          <w:lang w:val="fr-FR" w:eastAsia="it-IT"/>
        </w:rPr>
        <w:t>des aspects liés aux transferts monétaires</w:t>
      </w:r>
      <w:r w:rsidR="00976F45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. </w:t>
      </w:r>
      <w:r w:rsidR="00976F45" w:rsidRPr="00E62749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La deuxième étape a pour but d’appuyer la collecte </w:t>
      </w:r>
      <w:r w:rsidR="00E62749" w:rsidRPr="00E62749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d’informations </w:t>
      </w:r>
      <w:r w:rsidR="003E3CAB">
        <w:rPr>
          <w:rFonts w:cs="Arial"/>
          <w:color w:val="000000"/>
          <w:szCs w:val="22"/>
          <w:shd w:val="clear" w:color="auto" w:fill="FFFFFF"/>
          <w:lang w:val="fr-FR" w:eastAsia="it-IT"/>
        </w:rPr>
        <w:t>relatives</w:t>
      </w:r>
      <w:r w:rsidR="00E62749" w:rsidRPr="00442DF0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 aux transferts monétaires</w:t>
      </w:r>
      <w:r w:rsidR="00E62749" w:rsidRPr="00E62749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 </w:t>
      </w:r>
      <w:r w:rsidR="00442DF0">
        <w:rPr>
          <w:rFonts w:cs="Arial"/>
          <w:color w:val="000000"/>
          <w:szCs w:val="22"/>
          <w:shd w:val="clear" w:color="auto" w:fill="FFFFFF"/>
          <w:lang w:val="fr-FR" w:eastAsia="it-IT"/>
        </w:rPr>
        <w:t>au sein des</w:t>
      </w:r>
      <w:r w:rsidR="00E62749" w:rsidRPr="00E62749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 communautés et </w:t>
      </w:r>
      <w:r w:rsidR="00442DF0">
        <w:rPr>
          <w:rFonts w:cs="Arial"/>
          <w:color w:val="000000"/>
          <w:szCs w:val="22"/>
          <w:shd w:val="clear" w:color="auto" w:fill="FFFFFF"/>
          <w:lang w:val="fr-FR" w:eastAsia="it-IT"/>
        </w:rPr>
        <w:t>des</w:t>
      </w:r>
      <w:r w:rsidR="00E62749" w:rsidRPr="00E62749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 ménages touchés par un choc. La troisième étape </w:t>
      </w:r>
      <w:r w:rsidR="00646779">
        <w:rPr>
          <w:rFonts w:cs="Arial"/>
          <w:color w:val="000000"/>
          <w:szCs w:val="22"/>
          <w:shd w:val="clear" w:color="auto" w:fill="FFFFFF"/>
          <w:lang w:val="fr-FR" w:eastAsia="it-IT"/>
        </w:rPr>
        <w:t>vise à</w:t>
      </w:r>
      <w:r w:rsidR="00E62749" w:rsidRPr="00E62749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 faciliter la réalisation d’une évaluation rapide de</w:t>
      </w:r>
      <w:r w:rsidR="00E62749">
        <w:rPr>
          <w:rFonts w:cs="Arial"/>
          <w:color w:val="000000"/>
          <w:szCs w:val="22"/>
          <w:shd w:val="clear" w:color="auto" w:fill="FFFFFF"/>
          <w:lang w:val="fr-FR" w:eastAsia="it-IT"/>
        </w:rPr>
        <w:t>s</w:t>
      </w:r>
      <w:r w:rsidR="00E62749" w:rsidRPr="00E62749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 marché</w:t>
      </w:r>
      <w:r w:rsidR="00E62749">
        <w:rPr>
          <w:rFonts w:cs="Arial"/>
          <w:color w:val="000000"/>
          <w:szCs w:val="22"/>
          <w:shd w:val="clear" w:color="auto" w:fill="FFFFFF"/>
          <w:lang w:val="fr-FR" w:eastAsia="it-IT"/>
        </w:rPr>
        <w:t>s</w:t>
      </w:r>
      <w:r w:rsidR="00E62749" w:rsidRPr="00E62749">
        <w:rPr>
          <w:rFonts w:cs="Arial"/>
          <w:color w:val="000000"/>
          <w:szCs w:val="22"/>
          <w:shd w:val="clear" w:color="auto" w:fill="FFFFFF"/>
          <w:lang w:val="fr-FR" w:eastAsia="it-IT"/>
        </w:rPr>
        <w:t xml:space="preserve">. </w:t>
      </w:r>
      <w:r w:rsidR="00E62749" w:rsidRPr="003B15BE">
        <w:rPr>
          <w:rFonts w:eastAsia="+mn-ea" w:cs="Arial"/>
          <w:iCs/>
          <w:color w:val="000000"/>
          <w:kern w:val="24"/>
          <w:szCs w:val="22"/>
          <w:lang w:val="fr-FR"/>
        </w:rPr>
        <w:t xml:space="preserve">La quatrième et dernière étape, quant à elle, est </w:t>
      </w:r>
      <w:r w:rsidR="003B15BE">
        <w:rPr>
          <w:rFonts w:eastAsia="+mn-ea" w:cs="Arial"/>
          <w:iCs/>
          <w:color w:val="000000"/>
          <w:kern w:val="24"/>
          <w:szCs w:val="22"/>
          <w:lang w:val="fr-FR"/>
        </w:rPr>
        <w:t>conçue pour favoriser</w:t>
      </w:r>
      <w:r w:rsidR="003B15BE" w:rsidRPr="003B15BE">
        <w:rPr>
          <w:rFonts w:eastAsia="+mn-ea" w:cs="Arial"/>
          <w:iCs/>
          <w:color w:val="000000"/>
          <w:kern w:val="24"/>
          <w:szCs w:val="22"/>
          <w:lang w:val="fr-FR"/>
        </w:rPr>
        <w:t xml:space="preserve"> la </w:t>
      </w:r>
      <w:r w:rsidR="003B15BE">
        <w:rPr>
          <w:rFonts w:eastAsia="+mn-ea" w:cs="Arial"/>
          <w:iCs/>
          <w:color w:val="000000"/>
          <w:kern w:val="24"/>
          <w:szCs w:val="22"/>
          <w:lang w:val="fr-FR"/>
        </w:rPr>
        <w:t>compré</w:t>
      </w:r>
      <w:r w:rsidR="003B15BE" w:rsidRPr="003B15BE">
        <w:rPr>
          <w:rFonts w:eastAsia="+mn-ea" w:cs="Arial"/>
          <w:iCs/>
          <w:color w:val="000000"/>
          <w:kern w:val="24"/>
          <w:szCs w:val="22"/>
          <w:lang w:val="fr-FR"/>
        </w:rPr>
        <w:t xml:space="preserve">hension </w:t>
      </w:r>
      <w:r w:rsidR="003B15BE">
        <w:rPr>
          <w:rFonts w:eastAsia="+mn-ea" w:cs="Arial"/>
          <w:iCs/>
          <w:color w:val="000000"/>
          <w:kern w:val="24"/>
          <w:szCs w:val="22"/>
          <w:lang w:val="fr-FR"/>
        </w:rPr>
        <w:t>des capacités existantes en matière de mise en œuvre d’opérations de transfert</w:t>
      </w:r>
      <w:r w:rsidR="00CF687D">
        <w:rPr>
          <w:rFonts w:eastAsia="+mn-ea" w:cs="Arial"/>
          <w:iCs/>
          <w:color w:val="000000"/>
          <w:kern w:val="24"/>
          <w:szCs w:val="22"/>
          <w:lang w:val="fr-FR"/>
        </w:rPr>
        <w:t>s</w:t>
      </w:r>
      <w:r w:rsidR="003B15BE">
        <w:rPr>
          <w:rFonts w:eastAsia="+mn-ea" w:cs="Arial"/>
          <w:iCs/>
          <w:color w:val="000000"/>
          <w:kern w:val="24"/>
          <w:szCs w:val="22"/>
          <w:lang w:val="fr-FR"/>
        </w:rPr>
        <w:t xml:space="preserve"> monétaire</w:t>
      </w:r>
      <w:r w:rsidR="00CF687D">
        <w:rPr>
          <w:rFonts w:eastAsia="+mn-ea" w:cs="Arial"/>
          <w:iCs/>
          <w:color w:val="000000"/>
          <w:kern w:val="24"/>
          <w:szCs w:val="22"/>
          <w:lang w:val="fr-FR"/>
        </w:rPr>
        <w:t>s</w:t>
      </w:r>
      <w:r w:rsidR="003B15BE">
        <w:rPr>
          <w:rFonts w:eastAsia="+mn-ea" w:cs="Arial"/>
          <w:iCs/>
          <w:color w:val="000000"/>
          <w:kern w:val="24"/>
          <w:szCs w:val="22"/>
          <w:lang w:val="fr-FR"/>
        </w:rPr>
        <w:t>, et des risques associés à ce type d’intervention.</w:t>
      </w:r>
    </w:p>
    <w:p w14:paraId="0BCAAD53" w14:textId="644BA5B2" w:rsidR="00D24E98" w:rsidRPr="003B15BE" w:rsidRDefault="003B15BE" w:rsidP="004C53E5">
      <w:pPr>
        <w:spacing w:before="240" w:after="240"/>
        <w:rPr>
          <w:rFonts w:cs="Arial"/>
          <w:lang w:val="fr-FR"/>
        </w:rPr>
      </w:pPr>
      <w:r w:rsidRPr="003B15BE">
        <w:rPr>
          <w:rFonts w:eastAsia="+mn-ea" w:cs="Arial"/>
          <w:iCs/>
          <w:color w:val="000000"/>
          <w:kern w:val="24"/>
          <w:szCs w:val="22"/>
          <w:lang w:val="fr-FR"/>
        </w:rPr>
        <w:t xml:space="preserve">Lorsque vous adaptez les outils à votre contexte et </w:t>
      </w:r>
      <w:r w:rsidR="00C452A0">
        <w:rPr>
          <w:rFonts w:eastAsia="+mn-ea" w:cs="Arial"/>
          <w:iCs/>
          <w:color w:val="000000"/>
          <w:kern w:val="24"/>
          <w:szCs w:val="22"/>
          <w:lang w:val="fr-FR"/>
        </w:rPr>
        <w:t xml:space="preserve">à </w:t>
      </w:r>
      <w:r w:rsidRPr="003B15BE">
        <w:rPr>
          <w:rFonts w:eastAsia="+mn-ea" w:cs="Arial"/>
          <w:iCs/>
          <w:color w:val="000000"/>
          <w:kern w:val="24"/>
          <w:szCs w:val="22"/>
          <w:lang w:val="fr-FR"/>
        </w:rPr>
        <w:t>vos besoins</w:t>
      </w:r>
      <w:r>
        <w:rPr>
          <w:rFonts w:eastAsia="+mn-ea" w:cs="Arial"/>
          <w:iCs/>
          <w:color w:val="000000"/>
          <w:kern w:val="24"/>
          <w:szCs w:val="22"/>
          <w:lang w:val="fr-FR"/>
        </w:rPr>
        <w:t xml:space="preserve">, vous pouvez consulter les orientations détaillées </w:t>
      </w:r>
      <w:r w:rsidR="004C53E5">
        <w:rPr>
          <w:rFonts w:eastAsia="+mn-ea" w:cs="Arial"/>
          <w:iCs/>
          <w:color w:val="000000"/>
          <w:kern w:val="24"/>
          <w:szCs w:val="22"/>
          <w:lang w:val="fr-FR"/>
        </w:rPr>
        <w:t>contenues dans</w:t>
      </w:r>
      <w:r>
        <w:rPr>
          <w:rFonts w:eastAsia="+mn-ea" w:cs="Arial"/>
          <w:iCs/>
          <w:color w:val="000000"/>
          <w:kern w:val="24"/>
          <w:szCs w:val="22"/>
          <w:lang w:val="fr-FR"/>
        </w:rPr>
        <w:t xml:space="preserve"> les documents de référence suggérés aux niveaux du module et des étapes. </w:t>
      </w:r>
    </w:p>
    <w:p w14:paraId="0D120B9A" w14:textId="6A1130CD" w:rsidR="001B79C9" w:rsidRPr="00CC4944" w:rsidRDefault="003B15BE" w:rsidP="003B15BE">
      <w:pPr>
        <w:pStyle w:val="Heading2"/>
      </w:pPr>
      <w:r>
        <w:t>Normes minimales</w:t>
      </w:r>
    </w:p>
    <w:p w14:paraId="0853DB41" w14:textId="669819D4" w:rsidR="001A7AD5" w:rsidRPr="00ED1D49" w:rsidRDefault="003B15BE" w:rsidP="005625F5">
      <w:pPr>
        <w:pStyle w:val="Bullet1"/>
        <w:rPr>
          <w:lang w:val="fr-FR"/>
        </w:rPr>
      </w:pPr>
      <w:r w:rsidRPr="003B15BE">
        <w:rPr>
          <w:lang w:val="fr-FR"/>
        </w:rPr>
        <w:t xml:space="preserve">Les informations </w:t>
      </w:r>
      <w:r w:rsidR="005625F5">
        <w:rPr>
          <w:lang w:val="fr-FR"/>
        </w:rPr>
        <w:t>relatives aux</w:t>
      </w:r>
      <w:r w:rsidRPr="003B15BE">
        <w:rPr>
          <w:lang w:val="fr-FR"/>
        </w:rPr>
        <w:t xml:space="preserve"> transferts monétaires doivent être prise</w:t>
      </w:r>
      <w:r w:rsidR="00F3670B">
        <w:rPr>
          <w:lang w:val="fr-FR"/>
        </w:rPr>
        <w:t>s</w:t>
      </w:r>
      <w:r w:rsidRPr="003B15BE">
        <w:rPr>
          <w:lang w:val="fr-FR"/>
        </w:rPr>
        <w:t xml:space="preserve"> en compte dans toute évaluation de situation d’urgence. </w:t>
      </w:r>
    </w:p>
    <w:p w14:paraId="51510C7B" w14:textId="7E0C85EA" w:rsidR="00BC241B" w:rsidRPr="003B15BE" w:rsidRDefault="003B15BE" w:rsidP="005625F5">
      <w:pPr>
        <w:pStyle w:val="Bullet1"/>
        <w:rPr>
          <w:color w:val="000000" w:themeColor="text1"/>
          <w:lang w:val="fr-FR"/>
        </w:rPr>
      </w:pPr>
      <w:r w:rsidRPr="003B15BE">
        <w:rPr>
          <w:lang w:val="fr-FR"/>
        </w:rPr>
        <w:t>Di</w:t>
      </w:r>
      <w:r w:rsidR="00C452A0">
        <w:rPr>
          <w:lang w:val="fr-FR"/>
        </w:rPr>
        <w:t>ver</w:t>
      </w:r>
      <w:r w:rsidRPr="003B15BE">
        <w:rPr>
          <w:lang w:val="fr-FR"/>
        </w:rPr>
        <w:t>s département</w:t>
      </w:r>
      <w:r w:rsidR="00C452A0">
        <w:rPr>
          <w:lang w:val="fr-FR"/>
        </w:rPr>
        <w:t>s</w:t>
      </w:r>
      <w:r w:rsidRPr="003B15BE">
        <w:rPr>
          <w:lang w:val="fr-FR"/>
        </w:rPr>
        <w:t>, en particulier ceux de la logistique et des finances, doivent collaborer dans le cadre des évaluations d</w:t>
      </w:r>
      <w:r>
        <w:rPr>
          <w:lang w:val="fr-FR"/>
        </w:rPr>
        <w:t xml:space="preserve">e situations d’urgence, comme le prévoient les procédures opérationnelles normalisées </w:t>
      </w:r>
      <w:r w:rsidR="005625F5">
        <w:rPr>
          <w:lang w:val="fr-FR"/>
        </w:rPr>
        <w:t>relatives aux programmes de</w:t>
      </w:r>
      <w:r>
        <w:rPr>
          <w:lang w:val="fr-FR"/>
        </w:rPr>
        <w:t xml:space="preserve"> transferts monétaires</w:t>
      </w:r>
      <w:r w:rsidR="005625F5">
        <w:rPr>
          <w:lang w:val="fr-FR"/>
        </w:rPr>
        <w:t xml:space="preserve"> (PTM)</w:t>
      </w:r>
      <w:r>
        <w:rPr>
          <w:lang w:val="fr-FR"/>
        </w:rPr>
        <w:t>.</w:t>
      </w:r>
      <w:r w:rsidR="00BC241B" w:rsidRPr="003B15BE">
        <w:rPr>
          <w:lang w:val="fr-FR"/>
        </w:rPr>
        <w:t xml:space="preserve"> </w:t>
      </w:r>
    </w:p>
    <w:p w14:paraId="279560D1" w14:textId="4F37013F" w:rsidR="00BC241B" w:rsidRPr="003B15BE" w:rsidRDefault="003B15BE" w:rsidP="00095A58">
      <w:pPr>
        <w:pStyle w:val="Bullet1"/>
        <w:rPr>
          <w:lang w:val="fr-FR"/>
        </w:rPr>
      </w:pPr>
      <w:r w:rsidRPr="00EB4D39">
        <w:rPr>
          <w:lang w:val="fr-FR"/>
        </w:rPr>
        <w:t xml:space="preserve">Les décisions relatives à la faisabilité </w:t>
      </w:r>
      <w:r w:rsidR="00095A58">
        <w:rPr>
          <w:lang w:val="fr-FR"/>
        </w:rPr>
        <w:t xml:space="preserve">d’un PTM dans une situation d’urgence </w:t>
      </w:r>
      <w:r w:rsidRPr="00EB4D39">
        <w:rPr>
          <w:lang w:val="fr-FR"/>
        </w:rPr>
        <w:t xml:space="preserve">doivent être prises par des employés </w:t>
      </w:r>
      <w:r>
        <w:rPr>
          <w:lang w:val="fr-FR"/>
        </w:rPr>
        <w:t>disposant</w:t>
      </w:r>
      <w:r w:rsidRPr="00EB4D39">
        <w:rPr>
          <w:lang w:val="fr-FR"/>
        </w:rPr>
        <w:t xml:space="preserve"> d’une expérience</w:t>
      </w:r>
      <w:r>
        <w:rPr>
          <w:lang w:val="fr-FR"/>
        </w:rPr>
        <w:t xml:space="preserve"> et de connaissances techniques et doivent être confirmées dans les phases ultérieures de l’évaluation et </w:t>
      </w:r>
      <w:r w:rsidR="00A04BD0">
        <w:rPr>
          <w:lang w:val="fr-FR"/>
        </w:rPr>
        <w:t>lors de l’analyse de l’intervention.</w:t>
      </w:r>
    </w:p>
    <w:p w14:paraId="20241147" w14:textId="12BC07EE" w:rsidR="00105565" w:rsidRPr="00ED1D49" w:rsidRDefault="008E0D2C" w:rsidP="006E3407">
      <w:pPr>
        <w:pStyle w:val="Bullet1"/>
        <w:rPr>
          <w:color w:val="000000" w:themeColor="text1"/>
          <w:lang w:val="fr-FR"/>
        </w:rPr>
      </w:pPr>
      <w:r w:rsidRPr="008E0D2C">
        <w:rPr>
          <w:lang w:val="fr-FR"/>
        </w:rPr>
        <w:t xml:space="preserve">Les informations relatives </w:t>
      </w:r>
      <w:r w:rsidRPr="0095402D">
        <w:rPr>
          <w:lang w:val="fr-FR"/>
        </w:rPr>
        <w:t>aux transferts monétaires</w:t>
      </w:r>
      <w:r w:rsidRPr="008E0D2C">
        <w:rPr>
          <w:lang w:val="fr-FR"/>
        </w:rPr>
        <w:t xml:space="preserve"> </w:t>
      </w:r>
      <w:r w:rsidR="006E3407">
        <w:rPr>
          <w:lang w:val="fr-FR"/>
        </w:rPr>
        <w:t>collectées</w:t>
      </w:r>
      <w:r w:rsidRPr="008E0D2C">
        <w:rPr>
          <w:lang w:val="fr-FR"/>
        </w:rPr>
        <w:t xml:space="preserve"> aux niveaux des communautés et des ménages doivent </w:t>
      </w:r>
      <w:r w:rsidR="006E3407">
        <w:rPr>
          <w:lang w:val="fr-FR"/>
        </w:rPr>
        <w:t>comprendre</w:t>
      </w:r>
      <w:r w:rsidRPr="008E0D2C">
        <w:rPr>
          <w:lang w:val="fr-FR"/>
        </w:rPr>
        <w:t xml:space="preserve"> des données sur </w:t>
      </w:r>
      <w:r w:rsidR="00C452A0">
        <w:rPr>
          <w:lang w:val="fr-FR"/>
        </w:rPr>
        <w:t xml:space="preserve">l’accès </w:t>
      </w:r>
      <w:r w:rsidR="000D1B92">
        <w:rPr>
          <w:lang w:val="fr-FR"/>
        </w:rPr>
        <w:t xml:space="preserve">et </w:t>
      </w:r>
      <w:r w:rsidR="006E3407">
        <w:rPr>
          <w:lang w:val="fr-FR"/>
        </w:rPr>
        <w:t>le recours à</w:t>
      </w:r>
      <w:r w:rsidR="00C452A0">
        <w:rPr>
          <w:lang w:val="fr-FR"/>
        </w:rPr>
        <w:t xml:space="preserve"> l’argent</w:t>
      </w:r>
      <w:r w:rsidR="000D1B92">
        <w:rPr>
          <w:lang w:val="fr-FR"/>
        </w:rPr>
        <w:t>,</w:t>
      </w:r>
      <w:r w:rsidR="00C452A0">
        <w:rPr>
          <w:lang w:val="fr-FR"/>
        </w:rPr>
        <w:t xml:space="preserve"> </w:t>
      </w:r>
      <w:r w:rsidR="000D1B92">
        <w:rPr>
          <w:lang w:val="fr-FR"/>
        </w:rPr>
        <w:t>aux</w:t>
      </w:r>
      <w:r w:rsidRPr="008E0D2C">
        <w:rPr>
          <w:lang w:val="fr-FR"/>
        </w:rPr>
        <w:t xml:space="preserve"> marchés et </w:t>
      </w:r>
      <w:r w:rsidR="000D1B92">
        <w:rPr>
          <w:lang w:val="fr-FR"/>
        </w:rPr>
        <w:t>aux</w:t>
      </w:r>
      <w:r w:rsidRPr="008E0D2C">
        <w:rPr>
          <w:lang w:val="fr-FR"/>
        </w:rPr>
        <w:t xml:space="preserve"> services financiers, les préférences des bénéficiaires et les risques </w:t>
      </w:r>
      <w:r w:rsidR="006E3407">
        <w:rPr>
          <w:lang w:val="fr-FR"/>
        </w:rPr>
        <w:t>potentiels</w:t>
      </w:r>
      <w:r>
        <w:rPr>
          <w:lang w:val="fr-FR"/>
        </w:rPr>
        <w:t xml:space="preserve"> liés aux transferts monétaires. </w:t>
      </w:r>
    </w:p>
    <w:p w14:paraId="22B79415" w14:textId="4D1DFA9A" w:rsidR="00105565" w:rsidRPr="00022B2A" w:rsidRDefault="00C0514C" w:rsidP="00C0514C">
      <w:pPr>
        <w:pStyle w:val="Bullet1"/>
        <w:rPr>
          <w:color w:val="000000" w:themeColor="text1"/>
          <w:lang w:val="fr-FR"/>
        </w:rPr>
      </w:pPr>
      <w:r w:rsidRPr="00C0514C">
        <w:rPr>
          <w:lang w:val="fr-FR"/>
        </w:rPr>
        <w:t>Les besoins prioritaires de la population touché</w:t>
      </w:r>
      <w:r w:rsidR="00C452A0">
        <w:rPr>
          <w:lang w:val="fr-FR"/>
        </w:rPr>
        <w:t>e</w:t>
      </w:r>
      <w:r w:rsidRPr="00C0514C">
        <w:rPr>
          <w:lang w:val="fr-FR"/>
        </w:rPr>
        <w:t xml:space="preserve"> par le choc doivent être identifiés et quantifiés en termes monétaires, sur la base des prix locaux.</w:t>
      </w:r>
    </w:p>
    <w:p w14:paraId="37FE8CCF" w14:textId="77777777" w:rsidR="00022B2A" w:rsidRDefault="00022B2A" w:rsidP="00022B2A">
      <w:pPr>
        <w:pStyle w:val="Bullet1"/>
        <w:numPr>
          <w:ilvl w:val="0"/>
          <w:numId w:val="0"/>
        </w:numPr>
        <w:ind w:left="714"/>
        <w:rPr>
          <w:lang w:val="fr-FR"/>
        </w:rPr>
      </w:pPr>
    </w:p>
    <w:p w14:paraId="3B6C9FD7" w14:textId="77777777" w:rsidR="00022B2A" w:rsidRDefault="00022B2A" w:rsidP="00022B2A">
      <w:pPr>
        <w:pStyle w:val="Bullet1"/>
        <w:numPr>
          <w:ilvl w:val="0"/>
          <w:numId w:val="0"/>
        </w:numPr>
        <w:ind w:left="714"/>
        <w:rPr>
          <w:lang w:val="fr-FR"/>
        </w:rPr>
      </w:pPr>
    </w:p>
    <w:p w14:paraId="513CCF40" w14:textId="77777777" w:rsidR="00022B2A" w:rsidRPr="00C0514C" w:rsidRDefault="00022B2A" w:rsidP="00022B2A">
      <w:pPr>
        <w:pStyle w:val="Bullet1"/>
        <w:numPr>
          <w:ilvl w:val="0"/>
          <w:numId w:val="0"/>
        </w:numPr>
        <w:ind w:left="714"/>
        <w:rPr>
          <w:color w:val="000000" w:themeColor="text1"/>
          <w:lang w:val="fr-FR"/>
        </w:rPr>
      </w:pPr>
    </w:p>
    <w:p w14:paraId="77B8A173" w14:textId="57261775" w:rsidR="00FD30C8" w:rsidRPr="00C0514C" w:rsidRDefault="00C0514C" w:rsidP="009E0E97">
      <w:pPr>
        <w:pStyle w:val="Bullet1"/>
        <w:rPr>
          <w:color w:val="000000" w:themeColor="text1"/>
          <w:lang w:val="fr-FR"/>
        </w:rPr>
      </w:pPr>
      <w:r w:rsidRPr="00C0514C">
        <w:rPr>
          <w:lang w:val="fr-FR"/>
        </w:rPr>
        <w:t>L’analyse de marché doit être axée sur les produits de base, les services et les marchés</w:t>
      </w:r>
      <w:r w:rsidR="00FD30C8" w:rsidRPr="00C0514C">
        <w:rPr>
          <w:lang w:val="fr-FR"/>
        </w:rPr>
        <w:t xml:space="preserve"> </w:t>
      </w:r>
      <w:r>
        <w:rPr>
          <w:lang w:val="fr-FR"/>
        </w:rPr>
        <w:t xml:space="preserve">qui répondent aux besoins </w:t>
      </w:r>
      <w:r w:rsidR="009E0E97">
        <w:rPr>
          <w:lang w:val="fr-FR"/>
        </w:rPr>
        <w:t xml:space="preserve">prioritaires </w:t>
      </w:r>
      <w:r>
        <w:rPr>
          <w:lang w:val="fr-FR"/>
        </w:rPr>
        <w:t>des ménages et leur permettent de renforcer leurs moyens de subsistance.</w:t>
      </w:r>
    </w:p>
    <w:p w14:paraId="01169EFC" w14:textId="7912E3E1" w:rsidR="00456081" w:rsidRPr="00C0514C" w:rsidRDefault="00C0514C" w:rsidP="00B249A4">
      <w:pPr>
        <w:pStyle w:val="Bullet1"/>
        <w:rPr>
          <w:color w:val="000000" w:themeColor="text1"/>
          <w:lang w:val="fr-FR"/>
        </w:rPr>
      </w:pPr>
      <w:r w:rsidRPr="00C0514C">
        <w:rPr>
          <w:color w:val="000000" w:themeColor="text1"/>
          <w:lang w:val="fr-FR"/>
        </w:rPr>
        <w:t xml:space="preserve">L’évaluation des capacités des prestataires de services </w:t>
      </w:r>
      <w:r w:rsidR="009E0E97">
        <w:rPr>
          <w:color w:val="000000" w:themeColor="text1"/>
          <w:lang w:val="fr-FR"/>
        </w:rPr>
        <w:t xml:space="preserve">financiers </w:t>
      </w:r>
      <w:r w:rsidRPr="00C0514C">
        <w:rPr>
          <w:color w:val="000000" w:themeColor="text1"/>
          <w:lang w:val="fr-FR"/>
        </w:rPr>
        <w:t xml:space="preserve">doit se concentrer sur les services </w:t>
      </w:r>
      <w:r w:rsidR="003C399B">
        <w:rPr>
          <w:color w:val="000000" w:themeColor="text1"/>
          <w:lang w:val="fr-FR"/>
        </w:rPr>
        <w:t>proposé</w:t>
      </w:r>
      <w:r w:rsidRPr="00C0514C">
        <w:rPr>
          <w:color w:val="000000" w:themeColor="text1"/>
          <w:lang w:val="fr-FR"/>
        </w:rPr>
        <w:t>s, la couverture, l’acc</w:t>
      </w:r>
      <w:r>
        <w:rPr>
          <w:color w:val="000000" w:themeColor="text1"/>
          <w:lang w:val="fr-FR"/>
        </w:rPr>
        <w:t xml:space="preserve">essibilité et les aspects </w:t>
      </w:r>
      <w:r w:rsidR="00B249A4">
        <w:rPr>
          <w:color w:val="000000" w:themeColor="text1"/>
          <w:lang w:val="fr-FR"/>
        </w:rPr>
        <w:t>liés au</w:t>
      </w:r>
      <w:r>
        <w:rPr>
          <w:color w:val="000000" w:themeColor="text1"/>
          <w:lang w:val="fr-FR"/>
        </w:rPr>
        <w:t xml:space="preserve"> coût et </w:t>
      </w:r>
      <w:r w:rsidR="00B249A4">
        <w:rPr>
          <w:color w:val="000000" w:themeColor="text1"/>
          <w:lang w:val="fr-FR"/>
        </w:rPr>
        <w:t>à la</w:t>
      </w:r>
      <w:r>
        <w:rPr>
          <w:color w:val="000000" w:themeColor="text1"/>
          <w:lang w:val="fr-FR"/>
        </w:rPr>
        <w:t xml:space="preserve"> </w:t>
      </w:r>
      <w:r w:rsidR="003C399B">
        <w:rPr>
          <w:color w:val="000000" w:themeColor="text1"/>
          <w:lang w:val="fr-FR"/>
        </w:rPr>
        <w:t>réglementation.</w:t>
      </w:r>
    </w:p>
    <w:p w14:paraId="5BDDD3BB" w14:textId="7ACAF6E9" w:rsidR="00687489" w:rsidRPr="003C399B" w:rsidRDefault="003C399B" w:rsidP="00B249A4">
      <w:pPr>
        <w:pStyle w:val="Bullet1"/>
        <w:rPr>
          <w:color w:val="000000" w:themeColor="text1"/>
          <w:lang w:val="fr-FR"/>
        </w:rPr>
      </w:pPr>
      <w:r w:rsidRPr="003C399B">
        <w:rPr>
          <w:color w:val="000000" w:themeColor="text1"/>
          <w:lang w:val="fr-FR"/>
        </w:rPr>
        <w:t xml:space="preserve">La capacité des Sociétés nationales et de leurs partenaires </w:t>
      </w:r>
      <w:r w:rsidR="000A1964">
        <w:rPr>
          <w:color w:val="000000" w:themeColor="text1"/>
          <w:lang w:val="fr-FR"/>
        </w:rPr>
        <w:t>de</w:t>
      </w:r>
      <w:r w:rsidRPr="003C399B">
        <w:rPr>
          <w:color w:val="000000" w:themeColor="text1"/>
          <w:lang w:val="fr-FR"/>
        </w:rPr>
        <w:t xml:space="preserve"> mettre en œuvre des </w:t>
      </w:r>
      <w:r w:rsidR="00B249A4">
        <w:rPr>
          <w:color w:val="000000" w:themeColor="text1"/>
          <w:lang w:val="fr-FR"/>
        </w:rPr>
        <w:t>PTM</w:t>
      </w:r>
      <w:r>
        <w:rPr>
          <w:color w:val="000000" w:themeColor="text1"/>
          <w:lang w:val="fr-FR"/>
        </w:rPr>
        <w:t xml:space="preserve"> de manière opportune et à l’échelle souhaitée doit être évaluée.</w:t>
      </w:r>
    </w:p>
    <w:p w14:paraId="52E22FC9" w14:textId="2B1F17B2" w:rsidR="00F57C12" w:rsidRPr="003C399B" w:rsidRDefault="003C399B" w:rsidP="0073725D">
      <w:pPr>
        <w:pStyle w:val="Bullet1"/>
        <w:rPr>
          <w:lang w:val="fr-FR"/>
        </w:rPr>
      </w:pPr>
      <w:r w:rsidRPr="003C399B">
        <w:rPr>
          <w:lang w:val="fr-FR"/>
        </w:rPr>
        <w:t xml:space="preserve">L’évaluation des risques doit au moins comprendre l’identification des risques </w:t>
      </w:r>
      <w:r>
        <w:rPr>
          <w:lang w:val="fr-FR"/>
        </w:rPr>
        <w:t xml:space="preserve">contextuels, institutionnels et </w:t>
      </w:r>
      <w:r w:rsidR="00B249A4">
        <w:rPr>
          <w:lang w:val="fr-FR"/>
        </w:rPr>
        <w:t>liés aux programmes</w:t>
      </w:r>
      <w:r>
        <w:rPr>
          <w:lang w:val="fr-FR"/>
        </w:rPr>
        <w:t xml:space="preserve"> </w:t>
      </w:r>
      <w:r w:rsidR="0042246D">
        <w:rPr>
          <w:lang w:val="fr-FR"/>
        </w:rPr>
        <w:t xml:space="preserve">associés à une éventuelle </w:t>
      </w:r>
      <w:r w:rsidR="0073725D">
        <w:rPr>
          <w:lang w:val="fr-FR"/>
        </w:rPr>
        <w:t>opération de</w:t>
      </w:r>
      <w:r w:rsidR="0042246D">
        <w:rPr>
          <w:lang w:val="fr-FR"/>
        </w:rPr>
        <w:t xml:space="preserve"> transferts monétaires. </w:t>
      </w:r>
    </w:p>
    <w:p w14:paraId="4A50221D" w14:textId="2B24ECC8" w:rsidR="00D528AB" w:rsidRPr="00ED1D49" w:rsidRDefault="009E0E97" w:rsidP="00701A04">
      <w:pPr>
        <w:pStyle w:val="Heading2"/>
        <w:rPr>
          <w:lang w:val="fr-FR"/>
        </w:rPr>
      </w:pPr>
      <w:r>
        <w:rPr>
          <w:lang w:val="fr-FR"/>
        </w:rPr>
        <w:t>ÉTAPES ET ÉTAPES</w:t>
      </w:r>
      <w:r w:rsidR="00701A04">
        <w:rPr>
          <w:lang w:val="fr-FR"/>
        </w:rPr>
        <w:t xml:space="preserve"> SUBSIDIAIRES</w:t>
      </w:r>
    </w:p>
    <w:p w14:paraId="7F39822E" w14:textId="77596823" w:rsidR="00105565" w:rsidRPr="00ED1D49" w:rsidRDefault="00871433" w:rsidP="00022B2A">
      <w:pPr>
        <w:rPr>
          <w:rFonts w:cs="Arial"/>
          <w:szCs w:val="22"/>
          <w:lang w:val="fr-FR"/>
        </w:rPr>
      </w:pPr>
      <w:r w:rsidRPr="00871433">
        <w:rPr>
          <w:rFonts w:cs="Arial"/>
          <w:szCs w:val="22"/>
          <w:lang w:val="fr-FR"/>
        </w:rPr>
        <w:t xml:space="preserve">La Boîte à outils propose quatre étapes </w:t>
      </w:r>
      <w:r>
        <w:rPr>
          <w:rFonts w:cs="Arial"/>
          <w:szCs w:val="22"/>
          <w:lang w:val="fr-FR"/>
        </w:rPr>
        <w:t xml:space="preserve">pour </w:t>
      </w:r>
      <w:r w:rsidRPr="00871433">
        <w:rPr>
          <w:rFonts w:cs="Arial"/>
          <w:szCs w:val="22"/>
          <w:lang w:val="fr-FR"/>
        </w:rPr>
        <w:t xml:space="preserve">intégrer les </w:t>
      </w:r>
      <w:r w:rsidR="00022B2A" w:rsidRPr="00022B2A">
        <w:rPr>
          <w:rFonts w:cs="Arial"/>
          <w:szCs w:val="22"/>
          <w:lang w:val="fr-FR"/>
        </w:rPr>
        <w:t>éléments liés</w:t>
      </w:r>
      <w:r w:rsidRPr="00022B2A">
        <w:rPr>
          <w:rFonts w:cs="Arial"/>
          <w:szCs w:val="22"/>
          <w:lang w:val="fr-FR"/>
        </w:rPr>
        <w:t xml:space="preserve"> aux transferts monétaires</w:t>
      </w:r>
      <w:r w:rsidRPr="00871433">
        <w:rPr>
          <w:rFonts w:cs="Arial"/>
          <w:szCs w:val="22"/>
          <w:lang w:val="fr-FR"/>
        </w:rPr>
        <w:t xml:space="preserve"> dans le processus d’évaluation</w:t>
      </w:r>
      <w:r>
        <w:rPr>
          <w:rFonts w:cs="Arial"/>
          <w:szCs w:val="22"/>
          <w:lang w:val="fr-FR"/>
        </w:rPr>
        <w:t xml:space="preserve"> et fournit des ressources pertinentes.</w:t>
      </w:r>
      <w:r w:rsidR="004E5BB5" w:rsidRPr="00871433">
        <w:rPr>
          <w:rFonts w:cs="Arial"/>
          <w:szCs w:val="22"/>
          <w:lang w:val="fr-FR"/>
        </w:rPr>
        <w:t xml:space="preserve"> </w:t>
      </w:r>
    </w:p>
    <w:p w14:paraId="5C442222" w14:textId="6B04B317" w:rsidR="008C2CBC" w:rsidRPr="00C217B0" w:rsidRDefault="00105565" w:rsidP="00871433">
      <w:pPr>
        <w:pStyle w:val="Heading3"/>
        <w:rPr>
          <w:shd w:val="clear" w:color="auto" w:fill="FFFFFF"/>
          <w:lang w:val="fr-FR" w:eastAsia="it-IT"/>
        </w:rPr>
      </w:pPr>
      <w:r w:rsidRPr="00C217B0">
        <w:rPr>
          <w:shd w:val="clear" w:color="auto" w:fill="FFFFFF"/>
          <w:lang w:val="fr-FR" w:eastAsia="it-IT"/>
        </w:rPr>
        <w:t>Plan</w:t>
      </w:r>
      <w:r w:rsidR="00871433" w:rsidRPr="00C217B0">
        <w:rPr>
          <w:shd w:val="clear" w:color="auto" w:fill="FFFFFF"/>
          <w:lang w:val="fr-FR" w:eastAsia="it-IT"/>
        </w:rPr>
        <w:t>ifier et préparer</w:t>
      </w:r>
    </w:p>
    <w:p w14:paraId="2D9C4DE9" w14:textId="1178C0F7" w:rsidR="005C34AD" w:rsidRPr="003C643E" w:rsidRDefault="00871433" w:rsidP="0073725D">
      <w:pPr>
        <w:rPr>
          <w:lang w:val="fr-FR"/>
        </w:rPr>
      </w:pPr>
      <w:r w:rsidRPr="00C217B0">
        <w:rPr>
          <w:lang w:val="fr-FR"/>
        </w:rPr>
        <w:t>Les décisions</w:t>
      </w:r>
      <w:r w:rsidR="000806E4">
        <w:rPr>
          <w:lang w:val="fr-FR"/>
        </w:rPr>
        <w:t xml:space="preserve"> initiales</w:t>
      </w:r>
      <w:r w:rsidRPr="00C217B0">
        <w:rPr>
          <w:lang w:val="fr-FR"/>
        </w:rPr>
        <w:t xml:space="preserve"> relatives au recours à des </w:t>
      </w:r>
      <w:r w:rsidRPr="002F28BC">
        <w:rPr>
          <w:lang w:val="fr-FR"/>
        </w:rPr>
        <w:t>transferts monétaires</w:t>
      </w:r>
      <w:r w:rsidRPr="00C217B0">
        <w:rPr>
          <w:lang w:val="fr-FR"/>
        </w:rPr>
        <w:t xml:space="preserve"> peuvent être prises immédiatement après le choc par des employés disposant d’une expérience et de connaissances techniques, sur la base des informations </w:t>
      </w:r>
      <w:r w:rsidR="0073725D">
        <w:rPr>
          <w:lang w:val="fr-FR"/>
        </w:rPr>
        <w:t>collectées</w:t>
      </w:r>
      <w:r w:rsidRPr="00C217B0">
        <w:rPr>
          <w:lang w:val="fr-FR"/>
        </w:rPr>
        <w:t xml:space="preserve"> </w:t>
      </w:r>
      <w:r w:rsidR="00C217B0" w:rsidRPr="00C217B0">
        <w:rPr>
          <w:lang w:val="fr-FR"/>
        </w:rPr>
        <w:t xml:space="preserve">durant les </w:t>
      </w:r>
      <w:r w:rsidR="009E0E97">
        <w:rPr>
          <w:lang w:val="fr-FR"/>
        </w:rPr>
        <w:t xml:space="preserve">premières </w:t>
      </w:r>
      <w:r w:rsidR="00C217B0" w:rsidRPr="00C217B0">
        <w:rPr>
          <w:lang w:val="fr-FR"/>
        </w:rPr>
        <w:t xml:space="preserve">visites de terrain et les réunions de coordination, ou </w:t>
      </w:r>
      <w:r w:rsidR="0073725D">
        <w:rPr>
          <w:lang w:val="fr-FR"/>
        </w:rPr>
        <w:t>contenues dans</w:t>
      </w:r>
      <w:r w:rsidR="00C217B0" w:rsidRPr="00C217B0">
        <w:rPr>
          <w:lang w:val="fr-FR"/>
        </w:rPr>
        <w:t xml:space="preserve"> les plans d’urgence. </w:t>
      </w:r>
      <w:r w:rsidR="00C217B0" w:rsidRPr="00C217B0">
        <w:rPr>
          <w:shd w:val="clear" w:color="auto" w:fill="FFFFFF"/>
          <w:lang w:val="fr-FR"/>
        </w:rPr>
        <w:t>Il est important de garder à l’esprit le fait que, quelle que soit la décision initiale, seule</w:t>
      </w:r>
      <w:r w:rsidR="009E0E97">
        <w:rPr>
          <w:shd w:val="clear" w:color="auto" w:fill="FFFFFF"/>
          <w:lang w:val="fr-FR"/>
        </w:rPr>
        <w:t>s</w:t>
      </w:r>
      <w:r w:rsidR="00C217B0" w:rsidRPr="00C217B0">
        <w:rPr>
          <w:shd w:val="clear" w:color="auto" w:fill="FFFFFF"/>
          <w:lang w:val="fr-FR"/>
        </w:rPr>
        <w:t xml:space="preserve"> une évaluation ultérieure et une analyse de l’intervention</w:t>
      </w:r>
      <w:r w:rsidR="00C217B0" w:rsidRPr="006D6F5D">
        <w:rPr>
          <w:shd w:val="clear" w:color="auto" w:fill="FFFFFF"/>
          <w:lang w:val="fr-FR"/>
        </w:rPr>
        <w:t xml:space="preserve"> pourront confirmer si les </w:t>
      </w:r>
      <w:r w:rsidR="0073725D">
        <w:rPr>
          <w:shd w:val="clear" w:color="auto" w:fill="FFFFFF"/>
          <w:lang w:val="fr-FR"/>
        </w:rPr>
        <w:t>PTM</w:t>
      </w:r>
      <w:r w:rsidR="00C217B0" w:rsidRPr="006D6F5D">
        <w:rPr>
          <w:shd w:val="clear" w:color="auto" w:fill="FFFFFF"/>
          <w:lang w:val="fr-FR"/>
        </w:rPr>
        <w:t xml:space="preserve"> </w:t>
      </w:r>
      <w:r w:rsidR="00C217B0">
        <w:rPr>
          <w:shd w:val="clear" w:color="auto" w:fill="FFFFFF"/>
          <w:lang w:val="fr-FR"/>
        </w:rPr>
        <w:t>sont</w:t>
      </w:r>
      <w:r w:rsidR="00C217B0" w:rsidRPr="006D6F5D">
        <w:rPr>
          <w:shd w:val="clear" w:color="auto" w:fill="FFFFFF"/>
          <w:lang w:val="fr-FR"/>
        </w:rPr>
        <w:t xml:space="preserve"> le meilleur moyen de répondre aux besoins de</w:t>
      </w:r>
      <w:r w:rsidR="000806E4">
        <w:rPr>
          <w:shd w:val="clear" w:color="auto" w:fill="FFFFFF"/>
          <w:lang w:val="fr-FR"/>
        </w:rPr>
        <w:t xml:space="preserve"> la population touchée</w:t>
      </w:r>
      <w:r w:rsidR="00C217B0">
        <w:rPr>
          <w:shd w:val="clear" w:color="auto" w:fill="FFFFFF"/>
          <w:lang w:val="fr-FR"/>
        </w:rPr>
        <w:t xml:space="preserve"> dans les phases suivantes. </w:t>
      </w:r>
      <w:r w:rsidR="00C217B0" w:rsidRPr="00C217B0">
        <w:rPr>
          <w:shd w:val="clear" w:color="auto" w:fill="FFFFFF"/>
          <w:lang w:val="fr-FR"/>
        </w:rPr>
        <w:t xml:space="preserve">Lorsque vous choisissez une méthode et des outils d’évaluation, </w:t>
      </w:r>
      <w:r w:rsidR="00C217B0">
        <w:rPr>
          <w:shd w:val="clear" w:color="auto" w:fill="FFFFFF"/>
          <w:lang w:val="fr-FR"/>
        </w:rPr>
        <w:t>prenez en</w:t>
      </w:r>
      <w:r w:rsidR="00C217B0" w:rsidRPr="00C217B0">
        <w:rPr>
          <w:shd w:val="clear" w:color="auto" w:fill="FFFFFF"/>
          <w:lang w:val="fr-FR"/>
        </w:rPr>
        <w:t xml:space="preserve"> </w:t>
      </w:r>
      <w:r w:rsidR="00C217B0">
        <w:rPr>
          <w:shd w:val="clear" w:color="auto" w:fill="FFFFFF"/>
          <w:lang w:val="fr-FR"/>
        </w:rPr>
        <w:t>considération</w:t>
      </w:r>
      <w:r w:rsidR="00C217B0" w:rsidRPr="00C217B0">
        <w:rPr>
          <w:shd w:val="clear" w:color="auto" w:fill="FFFFFF"/>
          <w:lang w:val="fr-FR"/>
        </w:rPr>
        <w:t xml:space="preserve"> </w:t>
      </w:r>
      <w:r w:rsidR="00C217B0">
        <w:rPr>
          <w:shd w:val="clear" w:color="auto" w:fill="FFFFFF"/>
          <w:lang w:val="fr-FR"/>
        </w:rPr>
        <w:t>le</w:t>
      </w:r>
      <w:r w:rsidR="00C217B0" w:rsidRPr="00C217B0">
        <w:rPr>
          <w:shd w:val="clear" w:color="auto" w:fill="FFFFFF"/>
          <w:lang w:val="fr-FR"/>
        </w:rPr>
        <w:t xml:space="preserve"> fait que la plupart d’entre eux </w:t>
      </w:r>
      <w:r w:rsidR="00C217B0">
        <w:rPr>
          <w:shd w:val="clear" w:color="auto" w:fill="FFFFFF"/>
          <w:lang w:val="fr-FR"/>
        </w:rPr>
        <w:t>ne tiennent pas compte</w:t>
      </w:r>
      <w:r w:rsidR="00D22D3B">
        <w:rPr>
          <w:shd w:val="clear" w:color="auto" w:fill="FFFFFF"/>
          <w:lang w:val="fr-FR"/>
        </w:rPr>
        <w:t xml:space="preserve"> des</w:t>
      </w:r>
      <w:r w:rsidR="00C217B0">
        <w:rPr>
          <w:shd w:val="clear" w:color="auto" w:fill="FFFFFF"/>
          <w:lang w:val="fr-FR"/>
        </w:rPr>
        <w:t xml:space="preserve"> </w:t>
      </w:r>
      <w:r w:rsidR="002F28BC" w:rsidRPr="002F28BC">
        <w:rPr>
          <w:shd w:val="clear" w:color="auto" w:fill="FFFFFF"/>
          <w:lang w:val="fr-FR"/>
        </w:rPr>
        <w:t>éléments liés</w:t>
      </w:r>
      <w:r w:rsidR="00C217B0" w:rsidRPr="002F28BC">
        <w:rPr>
          <w:shd w:val="clear" w:color="auto" w:fill="FFFFFF"/>
          <w:lang w:val="fr-FR"/>
        </w:rPr>
        <w:t xml:space="preserve"> aux transferts monétaires</w:t>
      </w:r>
      <w:r w:rsidR="00C217B0">
        <w:rPr>
          <w:shd w:val="clear" w:color="auto" w:fill="FFFFFF"/>
          <w:lang w:val="fr-FR"/>
        </w:rPr>
        <w:t xml:space="preserve">. </w:t>
      </w:r>
      <w:r w:rsidR="00C217B0" w:rsidRPr="007777A9">
        <w:rPr>
          <w:shd w:val="clear" w:color="auto" w:fill="FFFFFF"/>
          <w:lang w:val="fr-FR"/>
        </w:rPr>
        <w:t xml:space="preserve">Si vous n’avez pas déjà intégré ces </w:t>
      </w:r>
      <w:r w:rsidR="002F28BC">
        <w:rPr>
          <w:shd w:val="clear" w:color="auto" w:fill="FFFFFF"/>
          <w:lang w:val="fr-FR"/>
        </w:rPr>
        <w:t>éléments</w:t>
      </w:r>
      <w:r w:rsidR="00C217B0" w:rsidRPr="007777A9">
        <w:rPr>
          <w:shd w:val="clear" w:color="auto" w:fill="FFFFFF"/>
          <w:lang w:val="fr-FR"/>
        </w:rPr>
        <w:t xml:space="preserve"> dans la phase de </w:t>
      </w:r>
      <w:r w:rsidR="007777A9" w:rsidRPr="007777A9">
        <w:rPr>
          <w:shd w:val="clear" w:color="auto" w:fill="FFFFFF"/>
          <w:lang w:val="fr-FR"/>
        </w:rPr>
        <w:t xml:space="preserve">préparation, il est probable que vous deviez le faire </w:t>
      </w:r>
      <w:r w:rsidR="007777A9">
        <w:rPr>
          <w:shd w:val="clear" w:color="auto" w:fill="FFFFFF"/>
          <w:lang w:val="fr-FR"/>
        </w:rPr>
        <w:t xml:space="preserve">au </w:t>
      </w:r>
      <w:r w:rsidR="007777A9" w:rsidRPr="00605D4B">
        <w:rPr>
          <w:shd w:val="clear" w:color="auto" w:fill="FFFFFF"/>
          <w:lang w:val="fr-FR"/>
        </w:rPr>
        <w:t xml:space="preserve">moment de planifier et de préparer l’évaluation. Lorsque vous cherchez des données secondaires, veillez à vérifier quelles sources de données secondaires </w:t>
      </w:r>
      <w:r w:rsidR="00605D4B" w:rsidRPr="00605D4B">
        <w:rPr>
          <w:shd w:val="clear" w:color="auto" w:fill="FFFFFF"/>
          <w:lang w:val="fr-FR"/>
        </w:rPr>
        <w:t>tenant compte de</w:t>
      </w:r>
      <w:r w:rsidR="00CD716A">
        <w:rPr>
          <w:shd w:val="clear" w:color="auto" w:fill="FFFFFF"/>
          <w:lang w:val="fr-FR"/>
        </w:rPr>
        <w:t xml:space="preserve"> ce</w:t>
      </w:r>
      <w:r w:rsidR="00605D4B" w:rsidRPr="00605D4B">
        <w:rPr>
          <w:shd w:val="clear" w:color="auto" w:fill="FFFFFF"/>
          <w:lang w:val="fr-FR"/>
        </w:rPr>
        <w:t xml:space="preserve">s éléments </w:t>
      </w:r>
      <w:r w:rsidR="007777A9" w:rsidRPr="00605D4B">
        <w:rPr>
          <w:shd w:val="clear" w:color="auto" w:fill="FFFFFF"/>
          <w:lang w:val="fr-FR"/>
        </w:rPr>
        <w:t>sont disponibles. Enfin, lorsque vous</w:t>
      </w:r>
      <w:r w:rsidR="003C643E" w:rsidRPr="00605D4B">
        <w:rPr>
          <w:shd w:val="clear" w:color="auto" w:fill="FFFFFF"/>
          <w:lang w:val="fr-FR"/>
        </w:rPr>
        <w:t xml:space="preserve"> établissez une cartographie d</w:t>
      </w:r>
      <w:r w:rsidR="007777A9" w:rsidRPr="00605D4B">
        <w:rPr>
          <w:shd w:val="clear" w:color="auto" w:fill="FFFFFF"/>
          <w:lang w:val="fr-FR"/>
        </w:rPr>
        <w:t xml:space="preserve">es parties prenantes, prenez en </w:t>
      </w:r>
      <w:r w:rsidR="003C643E" w:rsidRPr="007777A9">
        <w:rPr>
          <w:shd w:val="clear" w:color="auto" w:fill="FFFFFF"/>
          <w:lang w:val="fr-FR"/>
        </w:rPr>
        <w:t>considération</w:t>
      </w:r>
      <w:r w:rsidR="007777A9" w:rsidRPr="007777A9">
        <w:rPr>
          <w:shd w:val="clear" w:color="auto" w:fill="FFFFFF"/>
          <w:lang w:val="fr-FR"/>
        </w:rPr>
        <w:t xml:space="preserve"> </w:t>
      </w:r>
      <w:r w:rsidR="007777A9">
        <w:rPr>
          <w:shd w:val="clear" w:color="auto" w:fill="FFFFFF"/>
          <w:lang w:val="fr-FR"/>
        </w:rPr>
        <w:t>celles</w:t>
      </w:r>
      <w:r w:rsidR="007777A9" w:rsidRPr="007777A9">
        <w:rPr>
          <w:shd w:val="clear" w:color="auto" w:fill="FFFFFF"/>
          <w:lang w:val="fr-FR"/>
        </w:rPr>
        <w:t xml:space="preserve"> qui peuvent </w:t>
      </w:r>
      <w:r w:rsidR="007777A9">
        <w:rPr>
          <w:shd w:val="clear" w:color="auto" w:fill="FFFFFF"/>
          <w:lang w:val="fr-FR"/>
        </w:rPr>
        <w:t xml:space="preserve">avoir une influence </w:t>
      </w:r>
      <w:r w:rsidR="003C643E">
        <w:rPr>
          <w:shd w:val="clear" w:color="auto" w:fill="FFFFFF"/>
          <w:lang w:val="fr-FR"/>
        </w:rPr>
        <w:t>significative</w:t>
      </w:r>
      <w:r w:rsidR="007777A9">
        <w:rPr>
          <w:shd w:val="clear" w:color="auto" w:fill="FFFFFF"/>
          <w:lang w:val="fr-FR"/>
        </w:rPr>
        <w:t xml:space="preserve"> sur le succès d’une éventuelle </w:t>
      </w:r>
      <w:r w:rsidR="0073725D" w:rsidRPr="0073725D">
        <w:rPr>
          <w:shd w:val="clear" w:color="auto" w:fill="FFFFFF"/>
          <w:lang w:val="fr-FR"/>
        </w:rPr>
        <w:t xml:space="preserve">opération de </w:t>
      </w:r>
      <w:r w:rsidR="006F1576">
        <w:rPr>
          <w:shd w:val="clear" w:color="auto" w:fill="FFFFFF"/>
          <w:lang w:val="fr-FR"/>
        </w:rPr>
        <w:t xml:space="preserve">transferts monétaires </w:t>
      </w:r>
      <w:r w:rsidR="007777A9">
        <w:rPr>
          <w:shd w:val="clear" w:color="auto" w:fill="FFFFFF"/>
          <w:lang w:val="fr-FR"/>
        </w:rPr>
        <w:t xml:space="preserve">ou </w:t>
      </w:r>
      <w:r w:rsidR="003C643E">
        <w:rPr>
          <w:shd w:val="clear" w:color="auto" w:fill="FFFFFF"/>
          <w:lang w:val="fr-FR"/>
        </w:rPr>
        <w:t>jouer un rôle important à cet égard</w:t>
      </w:r>
      <w:r w:rsidR="007777A9">
        <w:rPr>
          <w:shd w:val="clear" w:color="auto" w:fill="FFFFFF"/>
          <w:lang w:val="fr-FR"/>
        </w:rPr>
        <w:t>.</w:t>
      </w:r>
      <w:r w:rsidR="007777A9" w:rsidRPr="007777A9">
        <w:rPr>
          <w:shd w:val="clear" w:color="auto" w:fill="FFFFFF"/>
          <w:lang w:val="fr-FR"/>
        </w:rPr>
        <w:t xml:space="preserve"> </w:t>
      </w:r>
    </w:p>
    <w:p w14:paraId="3A931DA4" w14:textId="45E43ABB" w:rsidR="00E10038" w:rsidRPr="003C643E" w:rsidRDefault="003C643E" w:rsidP="00D1120A">
      <w:pPr>
        <w:pStyle w:val="Heading3"/>
        <w:rPr>
          <w:lang w:val="fr-FR"/>
        </w:rPr>
      </w:pPr>
      <w:r w:rsidRPr="003C643E">
        <w:rPr>
          <w:lang w:val="fr-FR"/>
        </w:rPr>
        <w:t xml:space="preserve">Évaluation des communautés </w:t>
      </w:r>
      <w:r w:rsidRPr="006F1576">
        <w:rPr>
          <w:lang w:val="fr-FR"/>
        </w:rPr>
        <w:t xml:space="preserve">tenant compte des </w:t>
      </w:r>
      <w:r w:rsidR="00D1120A">
        <w:rPr>
          <w:lang w:val="fr-FR"/>
        </w:rPr>
        <w:t>éléments</w:t>
      </w:r>
      <w:r w:rsidRPr="006F1576">
        <w:rPr>
          <w:lang w:val="fr-FR"/>
        </w:rPr>
        <w:t xml:space="preserve"> liés aux transferts monétaires</w:t>
      </w:r>
    </w:p>
    <w:p w14:paraId="209F776E" w14:textId="0D6AB568" w:rsidR="005C34AD" w:rsidRPr="00ED1D49" w:rsidRDefault="006D4298" w:rsidP="0073725D">
      <w:pPr>
        <w:spacing w:before="240"/>
        <w:rPr>
          <w:rFonts w:cs="Arial"/>
          <w:szCs w:val="22"/>
          <w:lang w:val="fr-FR"/>
        </w:rPr>
      </w:pPr>
      <w:r w:rsidRPr="006D4298">
        <w:rPr>
          <w:lang w:val="fr-FR"/>
        </w:rPr>
        <w:t xml:space="preserve">Pour </w:t>
      </w:r>
      <w:r w:rsidR="004560DE">
        <w:rPr>
          <w:lang w:val="fr-FR"/>
        </w:rPr>
        <w:t>mener</w:t>
      </w:r>
      <w:r w:rsidRPr="006D4298">
        <w:rPr>
          <w:lang w:val="fr-FR"/>
        </w:rPr>
        <w:t xml:space="preserve"> une évaluation qui tienne compte des </w:t>
      </w:r>
      <w:r w:rsidR="00D1120A">
        <w:rPr>
          <w:lang w:val="fr-FR"/>
        </w:rPr>
        <w:t>éléments</w:t>
      </w:r>
      <w:r w:rsidRPr="00D1120A">
        <w:rPr>
          <w:lang w:val="fr-FR"/>
        </w:rPr>
        <w:t xml:space="preserve"> liés aux transferts monétaires</w:t>
      </w:r>
      <w:r w:rsidRPr="006D4298">
        <w:rPr>
          <w:lang w:val="fr-FR"/>
        </w:rPr>
        <w:t xml:space="preserve">, </w:t>
      </w:r>
      <w:r w:rsidR="004560DE">
        <w:rPr>
          <w:lang w:val="fr-FR"/>
        </w:rPr>
        <w:t>vous devez</w:t>
      </w:r>
      <w:r w:rsidRPr="006D4298">
        <w:rPr>
          <w:lang w:val="fr-FR"/>
        </w:rPr>
        <w:t xml:space="preserve"> collecter des informations </w:t>
      </w:r>
      <w:r w:rsidR="00D1120A">
        <w:rPr>
          <w:lang w:val="fr-FR"/>
        </w:rPr>
        <w:t>sur ces éléments</w:t>
      </w:r>
      <w:r w:rsidRPr="006D4298">
        <w:rPr>
          <w:lang w:val="fr-FR"/>
        </w:rPr>
        <w:t xml:space="preserve"> au</w:t>
      </w:r>
      <w:r w:rsidR="00D1120A">
        <w:rPr>
          <w:lang w:val="fr-FR"/>
        </w:rPr>
        <w:t>x</w:t>
      </w:r>
      <w:r w:rsidRPr="006D4298">
        <w:rPr>
          <w:lang w:val="fr-FR"/>
        </w:rPr>
        <w:t xml:space="preserve"> niveaux des communautés et des ménages.</w:t>
      </w:r>
      <w:r w:rsidR="00CE2630">
        <w:rPr>
          <w:lang w:val="fr-FR"/>
        </w:rPr>
        <w:t xml:space="preserve"> </w:t>
      </w:r>
      <w:r w:rsidR="00CE2630" w:rsidRPr="00CE2630">
        <w:rPr>
          <w:lang w:val="fr-FR"/>
        </w:rPr>
        <w:t xml:space="preserve">Il est particulièrement important de se faire une idée de </w:t>
      </w:r>
      <w:r w:rsidR="00CE2630" w:rsidRPr="00D1120A">
        <w:rPr>
          <w:lang w:val="fr-FR"/>
        </w:rPr>
        <w:t>l’accès des communautés et des ménages à l’argent</w:t>
      </w:r>
      <w:r w:rsidR="00CE2630" w:rsidRPr="00CE2630">
        <w:rPr>
          <w:lang w:val="fr-FR"/>
        </w:rPr>
        <w:t>, aux marchés et aux services financiers</w:t>
      </w:r>
      <w:r w:rsidR="00CE2630">
        <w:rPr>
          <w:lang w:val="fr-FR"/>
        </w:rPr>
        <w:t>, de l’utilisation qu’ils en font</w:t>
      </w:r>
      <w:r w:rsidR="00556F87">
        <w:rPr>
          <w:lang w:val="fr-FR"/>
        </w:rPr>
        <w:t>,</w:t>
      </w:r>
      <w:r w:rsidR="00CE2630">
        <w:rPr>
          <w:lang w:val="fr-FR"/>
        </w:rPr>
        <w:t xml:space="preserve"> de leurs préférences en matière </w:t>
      </w:r>
      <w:r w:rsidR="00D1120A">
        <w:rPr>
          <w:lang w:val="fr-FR"/>
        </w:rPr>
        <w:t>d’aide</w:t>
      </w:r>
      <w:r w:rsidR="00556F87">
        <w:rPr>
          <w:lang w:val="fr-FR"/>
        </w:rPr>
        <w:t xml:space="preserve"> et des risques </w:t>
      </w:r>
      <w:r w:rsidR="0073725D">
        <w:rPr>
          <w:lang w:val="fr-FR"/>
        </w:rPr>
        <w:t>potentiels</w:t>
      </w:r>
      <w:r w:rsidR="00556F87">
        <w:rPr>
          <w:lang w:val="fr-FR"/>
        </w:rPr>
        <w:t xml:space="preserve"> qui y sont associés.</w:t>
      </w:r>
      <w:r w:rsidR="00CE2630">
        <w:rPr>
          <w:lang w:val="fr-FR"/>
        </w:rPr>
        <w:t xml:space="preserve"> </w:t>
      </w:r>
      <w:r w:rsidR="009100E5">
        <w:rPr>
          <w:lang w:val="fr-FR"/>
        </w:rPr>
        <w:t xml:space="preserve">Un autre aspect important de toute évaluation des communautés </w:t>
      </w:r>
      <w:r w:rsidR="00D1120A">
        <w:rPr>
          <w:lang w:val="fr-FR"/>
        </w:rPr>
        <w:t xml:space="preserve">tenant compte des éléments </w:t>
      </w:r>
      <w:r w:rsidR="00D1120A" w:rsidRPr="00D1120A">
        <w:rPr>
          <w:lang w:val="fr-FR"/>
        </w:rPr>
        <w:t>liés</w:t>
      </w:r>
      <w:r w:rsidR="009100E5" w:rsidRPr="00D1120A">
        <w:rPr>
          <w:lang w:val="fr-FR"/>
        </w:rPr>
        <w:t xml:space="preserve"> aux transferts monétaires</w:t>
      </w:r>
      <w:r w:rsidR="009100E5">
        <w:rPr>
          <w:lang w:val="fr-FR"/>
        </w:rPr>
        <w:t xml:space="preserve"> est la quantification en termes monétaires des besoins prioritaires de la population touchée par un choc, sur la base des prix locaux. </w:t>
      </w:r>
      <w:r w:rsidR="009100E5" w:rsidRPr="004560DE">
        <w:rPr>
          <w:lang w:val="fr-FR"/>
        </w:rPr>
        <w:t xml:space="preserve">Pour quantifier les besoins identifiés </w:t>
      </w:r>
      <w:r w:rsidR="004560DE">
        <w:rPr>
          <w:lang w:val="fr-FR"/>
        </w:rPr>
        <w:t>lors de l’évaluation des besoins</w:t>
      </w:r>
      <w:r w:rsidR="009100E5" w:rsidRPr="004560DE">
        <w:rPr>
          <w:lang w:val="fr-FR"/>
        </w:rPr>
        <w:t>,</w:t>
      </w:r>
      <w:r w:rsidR="004560DE" w:rsidRPr="004560DE">
        <w:rPr>
          <w:lang w:val="fr-FR"/>
        </w:rPr>
        <w:t xml:space="preserve"> </w:t>
      </w:r>
      <w:r w:rsidR="004560DE">
        <w:rPr>
          <w:lang w:val="fr-FR"/>
        </w:rPr>
        <w:t>vous dev</w:t>
      </w:r>
      <w:r w:rsidR="008E5649">
        <w:rPr>
          <w:lang w:val="fr-FR"/>
        </w:rPr>
        <w:t>r</w:t>
      </w:r>
      <w:r w:rsidR="004560DE">
        <w:rPr>
          <w:lang w:val="fr-FR"/>
        </w:rPr>
        <w:t>ez suivre l</w:t>
      </w:r>
      <w:r w:rsidR="00CA77DF">
        <w:rPr>
          <w:lang w:val="fr-FR"/>
        </w:rPr>
        <w:t>es pri</w:t>
      </w:r>
      <w:r w:rsidR="00701224">
        <w:rPr>
          <w:lang w:val="fr-FR"/>
        </w:rPr>
        <w:t xml:space="preserve">x du </w:t>
      </w:r>
      <w:r w:rsidR="00D335EA">
        <w:rPr>
          <w:lang w:val="fr-FR"/>
        </w:rPr>
        <w:t>marché (étape suivante) et</w:t>
      </w:r>
      <w:r w:rsidR="00CA77DF">
        <w:rPr>
          <w:lang w:val="fr-FR"/>
        </w:rPr>
        <w:t xml:space="preserve">/ou mener des consultations auprès des communautés. </w:t>
      </w:r>
      <w:r w:rsidR="008E5649">
        <w:rPr>
          <w:lang w:val="fr-FR"/>
        </w:rPr>
        <w:t xml:space="preserve">Pour terminer, les </w:t>
      </w:r>
      <w:r w:rsidR="00CA77DF" w:rsidRPr="00701224">
        <w:rPr>
          <w:lang w:val="fr-FR"/>
        </w:rPr>
        <w:t>informations relatives aux transferts monétaires</w:t>
      </w:r>
      <w:r w:rsidR="00CA77DF">
        <w:rPr>
          <w:lang w:val="fr-FR"/>
        </w:rPr>
        <w:t xml:space="preserve"> recueillies auprès</w:t>
      </w:r>
      <w:r w:rsidR="008E5649">
        <w:rPr>
          <w:lang w:val="fr-FR"/>
        </w:rPr>
        <w:t xml:space="preserve"> des communautés ser</w:t>
      </w:r>
      <w:r w:rsidR="00CA77DF">
        <w:rPr>
          <w:lang w:val="fr-FR"/>
        </w:rPr>
        <w:t xml:space="preserve">ont consolidées et intégrées </w:t>
      </w:r>
      <w:r w:rsidR="0073725D">
        <w:rPr>
          <w:lang w:val="fr-FR"/>
        </w:rPr>
        <w:t>dans le</w:t>
      </w:r>
      <w:r w:rsidR="00CA77DF">
        <w:rPr>
          <w:lang w:val="fr-FR"/>
        </w:rPr>
        <w:t xml:space="preserve"> rapport d’évaluation standard</w:t>
      </w:r>
      <w:r w:rsidR="008E5649">
        <w:rPr>
          <w:lang w:val="fr-FR"/>
        </w:rPr>
        <w:t>.</w:t>
      </w:r>
      <w:r w:rsidR="004560DE" w:rsidRPr="004560DE">
        <w:rPr>
          <w:lang w:val="fr-FR"/>
        </w:rPr>
        <w:t xml:space="preserve"> </w:t>
      </w:r>
    </w:p>
    <w:p w14:paraId="423E7F02" w14:textId="085B1563" w:rsidR="00D25E2D" w:rsidRPr="008E5649" w:rsidRDefault="008E5649" w:rsidP="008E5649">
      <w:pPr>
        <w:pStyle w:val="Heading3"/>
        <w:rPr>
          <w:lang w:val="fr-FR"/>
        </w:rPr>
      </w:pPr>
      <w:r w:rsidRPr="008E5649">
        <w:rPr>
          <w:lang w:val="fr-FR"/>
        </w:rPr>
        <w:t>Évaluation rapide des marchés</w:t>
      </w:r>
    </w:p>
    <w:p w14:paraId="70FED6BC" w14:textId="3C86AD3A" w:rsidR="005C34AD" w:rsidRDefault="008E5649" w:rsidP="00BC2058">
      <w:pPr>
        <w:rPr>
          <w:rFonts w:cs="Arial"/>
          <w:szCs w:val="22"/>
          <w:lang w:val="fr-FR"/>
        </w:rPr>
      </w:pPr>
      <w:r w:rsidRPr="008E5649">
        <w:rPr>
          <w:lang w:val="fr-FR"/>
        </w:rPr>
        <w:t>Une évaluation rapide des marchés commence par l’identification des produits de base et marchés clés qui jouent un r</w:t>
      </w:r>
      <w:r>
        <w:rPr>
          <w:lang w:val="fr-FR"/>
        </w:rPr>
        <w:t xml:space="preserve">ôle important pour la population touchée. </w:t>
      </w:r>
      <w:r w:rsidRPr="008E5649">
        <w:rPr>
          <w:lang w:val="fr-FR"/>
        </w:rPr>
        <w:t xml:space="preserve">Les informations recueillies à propos des marchés doivent être recoupées avec les données secondaires collectées </w:t>
      </w:r>
      <w:r>
        <w:rPr>
          <w:lang w:val="fr-FR"/>
        </w:rPr>
        <w:t xml:space="preserve">durant la planification et la préparation, ainsi qu’avec les informations recueillies </w:t>
      </w:r>
      <w:r w:rsidRPr="008E5649">
        <w:rPr>
          <w:lang w:val="fr-FR"/>
        </w:rPr>
        <w:t>aux niveaux des communautés et des ménages.</w:t>
      </w:r>
      <w:r w:rsidR="005C34AD" w:rsidRPr="008E5649">
        <w:rPr>
          <w:rFonts w:cs="Arial"/>
          <w:szCs w:val="22"/>
          <w:lang w:val="fr-FR"/>
        </w:rPr>
        <w:t xml:space="preserve"> </w:t>
      </w:r>
      <w:r w:rsidR="00A46166">
        <w:rPr>
          <w:rFonts w:cs="Arial"/>
          <w:szCs w:val="22"/>
          <w:lang w:val="fr-FR"/>
        </w:rPr>
        <w:t>La cartographie des</w:t>
      </w:r>
      <w:r w:rsidR="001D191A" w:rsidRPr="00B130C3">
        <w:rPr>
          <w:rFonts w:cs="Arial"/>
          <w:szCs w:val="22"/>
          <w:lang w:val="fr-FR"/>
        </w:rPr>
        <w:t xml:space="preserve"> </w:t>
      </w:r>
      <w:r w:rsidR="000A1964">
        <w:rPr>
          <w:rFonts w:cs="Arial"/>
          <w:szCs w:val="22"/>
          <w:lang w:val="fr-FR"/>
        </w:rPr>
        <w:t>marché</w:t>
      </w:r>
      <w:r w:rsidR="00B130C3" w:rsidRPr="00B130C3">
        <w:rPr>
          <w:rFonts w:cs="Arial"/>
          <w:szCs w:val="22"/>
          <w:lang w:val="fr-FR"/>
        </w:rPr>
        <w:t xml:space="preserve">s </w:t>
      </w:r>
      <w:r w:rsidR="00A46166">
        <w:rPr>
          <w:rFonts w:cs="Arial"/>
          <w:szCs w:val="22"/>
          <w:lang w:val="fr-FR"/>
        </w:rPr>
        <w:t>est</w:t>
      </w:r>
      <w:r w:rsidR="00B130C3" w:rsidRPr="00B130C3">
        <w:rPr>
          <w:rFonts w:cs="Arial"/>
          <w:szCs w:val="22"/>
          <w:lang w:val="fr-FR"/>
        </w:rPr>
        <w:t xml:space="preserve"> un </w:t>
      </w:r>
      <w:r w:rsidR="000A1964">
        <w:rPr>
          <w:rFonts w:cs="Arial"/>
          <w:szCs w:val="22"/>
          <w:lang w:val="fr-FR"/>
        </w:rPr>
        <w:t xml:space="preserve">bon </w:t>
      </w:r>
      <w:r w:rsidR="00B130C3" w:rsidRPr="00B130C3">
        <w:rPr>
          <w:rFonts w:cs="Arial"/>
          <w:szCs w:val="22"/>
          <w:lang w:val="fr-FR"/>
        </w:rPr>
        <w:t>moyen de représenter et de comprendre la structure d’un système de marché.</w:t>
      </w:r>
      <w:r w:rsidR="001D191A" w:rsidRPr="00B130C3">
        <w:rPr>
          <w:rFonts w:cs="Arial"/>
          <w:szCs w:val="22"/>
          <w:lang w:val="fr-FR"/>
        </w:rPr>
        <w:t xml:space="preserve"> </w:t>
      </w:r>
      <w:r w:rsidR="00B130C3" w:rsidRPr="00B130C3">
        <w:rPr>
          <w:rFonts w:cs="Arial"/>
          <w:szCs w:val="22"/>
          <w:lang w:val="fr-FR"/>
        </w:rPr>
        <w:t>La cart</w:t>
      </w:r>
      <w:r w:rsidR="000A1964">
        <w:rPr>
          <w:rFonts w:cs="Arial"/>
          <w:szCs w:val="22"/>
          <w:lang w:val="fr-FR"/>
        </w:rPr>
        <w:t>ographie préliminaire des marché</w:t>
      </w:r>
      <w:r w:rsidR="00B130C3" w:rsidRPr="00B130C3">
        <w:rPr>
          <w:rFonts w:cs="Arial"/>
          <w:szCs w:val="22"/>
          <w:lang w:val="fr-FR"/>
        </w:rPr>
        <w:t xml:space="preserve">s peut être très utile pour identifier les informateurs clés avec lesquels </w:t>
      </w:r>
      <w:r w:rsidR="00B130C3">
        <w:rPr>
          <w:rFonts w:cs="Arial"/>
          <w:szCs w:val="22"/>
          <w:lang w:val="fr-FR"/>
        </w:rPr>
        <w:t>mener des entretiens et les obstacles à examiner de manière plus approfondie</w:t>
      </w:r>
      <w:r w:rsidR="00BC2058">
        <w:rPr>
          <w:rFonts w:cs="Arial"/>
          <w:szCs w:val="22"/>
          <w:lang w:val="fr-FR"/>
        </w:rPr>
        <w:t xml:space="preserve"> </w:t>
      </w:r>
      <w:r w:rsidR="00BC2058" w:rsidRPr="00BC2058">
        <w:rPr>
          <w:rFonts w:cs="Arial"/>
          <w:szCs w:val="22"/>
          <w:lang w:val="fr-FR"/>
        </w:rPr>
        <w:t>sur le terrain</w:t>
      </w:r>
      <w:r w:rsidR="00B130C3">
        <w:rPr>
          <w:rFonts w:cs="Arial"/>
          <w:szCs w:val="22"/>
          <w:lang w:val="fr-FR"/>
        </w:rPr>
        <w:t xml:space="preserve">. </w:t>
      </w:r>
      <w:r w:rsidR="00F764E8" w:rsidRPr="00F764E8">
        <w:rPr>
          <w:rFonts w:cs="Arial"/>
          <w:szCs w:val="22"/>
          <w:lang w:val="fr-FR"/>
        </w:rPr>
        <w:t xml:space="preserve">Les résultats de l’analyse des marchés doivent permettre d’évaluer la capacité des marchés </w:t>
      </w:r>
      <w:r w:rsidR="00F764E8">
        <w:rPr>
          <w:rFonts w:cs="Arial"/>
          <w:szCs w:val="22"/>
          <w:lang w:val="fr-FR"/>
        </w:rPr>
        <w:t xml:space="preserve">de fournir à la population </w:t>
      </w:r>
      <w:r w:rsidR="00F764E8" w:rsidRPr="00F764E8">
        <w:rPr>
          <w:rFonts w:cs="Arial"/>
          <w:szCs w:val="22"/>
          <w:lang w:val="fr-FR"/>
        </w:rPr>
        <w:t>touché</w:t>
      </w:r>
      <w:r w:rsidR="00F764E8">
        <w:rPr>
          <w:rFonts w:cs="Arial"/>
          <w:szCs w:val="22"/>
          <w:lang w:val="fr-FR"/>
        </w:rPr>
        <w:t>e par le choc des produits de base clés en quantité suffisante et en temps opportun.</w:t>
      </w:r>
    </w:p>
    <w:p w14:paraId="6ABE7347" w14:textId="77777777" w:rsidR="00B1106A" w:rsidRPr="00ED1D49" w:rsidRDefault="00B1106A" w:rsidP="00A46166">
      <w:pPr>
        <w:rPr>
          <w:lang w:val="fr-FR"/>
        </w:rPr>
      </w:pPr>
    </w:p>
    <w:p w14:paraId="059F84CD" w14:textId="4CA654DD" w:rsidR="007310FA" w:rsidRPr="00646699" w:rsidRDefault="00646699" w:rsidP="00646699">
      <w:pPr>
        <w:pStyle w:val="Heading3"/>
        <w:rPr>
          <w:lang w:val="fr-FR"/>
        </w:rPr>
      </w:pPr>
      <w:r>
        <w:rPr>
          <w:lang w:val="fr-FR"/>
        </w:rPr>
        <w:t>Évaluation</w:t>
      </w:r>
      <w:r w:rsidRPr="00646699">
        <w:rPr>
          <w:lang w:val="fr-FR"/>
        </w:rPr>
        <w:t xml:space="preserve"> des capacités des prestataires de services et de l’</w:t>
      </w:r>
      <w:r>
        <w:rPr>
          <w:lang w:val="fr-FR"/>
        </w:rPr>
        <w:t>organisation</w:t>
      </w:r>
      <w:r w:rsidRPr="00646699">
        <w:rPr>
          <w:lang w:val="fr-FR"/>
        </w:rPr>
        <w:t xml:space="preserve"> et </w:t>
      </w:r>
      <w:r>
        <w:rPr>
          <w:lang w:val="fr-FR"/>
        </w:rPr>
        <w:t xml:space="preserve">analyse </w:t>
      </w:r>
      <w:r w:rsidRPr="00646699">
        <w:rPr>
          <w:lang w:val="fr-FR"/>
        </w:rPr>
        <w:t>des risques</w:t>
      </w:r>
      <w:r w:rsidR="00406965" w:rsidRPr="00646699">
        <w:rPr>
          <w:lang w:val="fr-FR"/>
        </w:rPr>
        <w:t xml:space="preserve"> </w:t>
      </w:r>
    </w:p>
    <w:p w14:paraId="3B7073D6" w14:textId="77C9DCCE" w:rsidR="00D66145" w:rsidRPr="008368AA" w:rsidRDefault="00646699" w:rsidP="0073725D">
      <w:pPr>
        <w:rPr>
          <w:lang w:val="fr-FR"/>
        </w:rPr>
      </w:pPr>
      <w:r w:rsidRPr="008368AA">
        <w:rPr>
          <w:lang w:val="fr-FR"/>
        </w:rPr>
        <w:t xml:space="preserve">Le but de cette étape est double : </w:t>
      </w:r>
      <w:r w:rsidR="008368AA" w:rsidRPr="008368AA">
        <w:rPr>
          <w:lang w:val="fr-FR"/>
        </w:rPr>
        <w:t>évaluer les capacités existantes e</w:t>
      </w:r>
      <w:r w:rsidR="00B1106A">
        <w:rPr>
          <w:lang w:val="fr-FR"/>
        </w:rPr>
        <w:t>n matière de mise en œuvre d’opéra</w:t>
      </w:r>
      <w:r w:rsidR="008368AA" w:rsidRPr="008368AA">
        <w:rPr>
          <w:lang w:val="fr-FR"/>
        </w:rPr>
        <w:t xml:space="preserve">tions </w:t>
      </w:r>
      <w:r w:rsidR="0073725D">
        <w:rPr>
          <w:lang w:val="fr-FR"/>
        </w:rPr>
        <w:t>de</w:t>
      </w:r>
      <w:r w:rsidR="008368AA" w:rsidRPr="008368AA">
        <w:rPr>
          <w:lang w:val="fr-FR"/>
        </w:rPr>
        <w:t xml:space="preserve"> transferts monétaires</w:t>
      </w:r>
      <w:r w:rsidR="007310FA" w:rsidRPr="008368AA">
        <w:rPr>
          <w:lang w:val="fr-FR"/>
        </w:rPr>
        <w:t xml:space="preserve"> </w:t>
      </w:r>
      <w:r w:rsidR="008368AA">
        <w:rPr>
          <w:lang w:val="fr-FR"/>
        </w:rPr>
        <w:t>en temps opportun et à grande échelle</w:t>
      </w:r>
      <w:r w:rsidR="00D976E7">
        <w:rPr>
          <w:lang w:val="fr-FR"/>
        </w:rPr>
        <w:t xml:space="preserve"> et identifier les risques associés </w:t>
      </w:r>
      <w:r w:rsidR="00DD67E5">
        <w:rPr>
          <w:lang w:val="fr-FR"/>
        </w:rPr>
        <w:t>à de telles</w:t>
      </w:r>
      <w:r w:rsidR="00D976E7">
        <w:rPr>
          <w:lang w:val="fr-FR"/>
        </w:rPr>
        <w:t xml:space="preserve"> </w:t>
      </w:r>
      <w:r w:rsidR="003F2D4C">
        <w:rPr>
          <w:lang w:val="fr-FR"/>
        </w:rPr>
        <w:t>opérations</w:t>
      </w:r>
      <w:r w:rsidR="008368AA">
        <w:rPr>
          <w:lang w:val="fr-FR"/>
        </w:rPr>
        <w:t xml:space="preserve">. </w:t>
      </w:r>
    </w:p>
    <w:p w14:paraId="4EFAED3A" w14:textId="2428FA6E" w:rsidR="00D66145" w:rsidRPr="00D976E7" w:rsidRDefault="00D976E7" w:rsidP="00D976E7">
      <w:pPr>
        <w:rPr>
          <w:lang w:val="fr-FR"/>
        </w:rPr>
      </w:pPr>
      <w:r w:rsidRPr="00D976E7">
        <w:rPr>
          <w:lang w:val="fr-FR"/>
        </w:rPr>
        <w:t>L’évaluation des capacités doit être axée sur les capacités des presta</w:t>
      </w:r>
      <w:r>
        <w:rPr>
          <w:lang w:val="fr-FR"/>
        </w:rPr>
        <w:t>ta</w:t>
      </w:r>
      <w:r w:rsidRPr="00D976E7">
        <w:rPr>
          <w:lang w:val="fr-FR"/>
        </w:rPr>
        <w:t xml:space="preserve">ires de services </w:t>
      </w:r>
      <w:r>
        <w:rPr>
          <w:lang w:val="fr-FR"/>
        </w:rPr>
        <w:t xml:space="preserve">(notamment des opérateurs de téléphonie mobile, des institutions financières et des négociants) </w:t>
      </w:r>
      <w:r w:rsidRPr="00D976E7">
        <w:rPr>
          <w:lang w:val="fr-FR"/>
        </w:rPr>
        <w:t xml:space="preserve">et celles </w:t>
      </w:r>
      <w:r>
        <w:rPr>
          <w:lang w:val="fr-FR"/>
        </w:rPr>
        <w:t>des organisations (notamment de la Société nationale et de ses partenaires d’exécution)</w:t>
      </w:r>
      <w:r w:rsidR="000D6F20" w:rsidRPr="00D976E7">
        <w:rPr>
          <w:lang w:val="fr-FR"/>
        </w:rPr>
        <w:t xml:space="preserve">. </w:t>
      </w:r>
    </w:p>
    <w:p w14:paraId="58310DE0" w14:textId="3F6DFD18" w:rsidR="001A7D31" w:rsidRPr="001E0C5B" w:rsidRDefault="00D976E7" w:rsidP="0073725D">
      <w:pPr>
        <w:rPr>
          <w:rFonts w:eastAsia="Times New Roman" w:cs="Arial"/>
          <w:szCs w:val="22"/>
          <w:lang w:val="fr-FR"/>
        </w:rPr>
      </w:pPr>
      <w:r w:rsidRPr="00D976E7">
        <w:rPr>
          <w:lang w:val="fr-FR"/>
        </w:rPr>
        <w:t xml:space="preserve">L’analyse des risques est un processus continu qui commence </w:t>
      </w:r>
      <w:r>
        <w:rPr>
          <w:lang w:val="fr-FR"/>
        </w:rPr>
        <w:t>lors de la</w:t>
      </w:r>
      <w:r w:rsidRPr="00D976E7">
        <w:rPr>
          <w:lang w:val="fr-FR"/>
        </w:rPr>
        <w:t xml:space="preserve"> préparation et se poursuit à tous les niveaux (communautés, marchés, etc.</w:t>
      </w:r>
      <w:r>
        <w:rPr>
          <w:lang w:val="fr-FR"/>
        </w:rPr>
        <w:t>) durant la phase d’évaluation</w:t>
      </w:r>
      <w:r w:rsidR="00D66145" w:rsidRPr="00D976E7">
        <w:rPr>
          <w:lang w:val="fr-FR"/>
        </w:rPr>
        <w:t xml:space="preserve"> </w:t>
      </w:r>
      <w:r>
        <w:rPr>
          <w:lang w:val="fr-FR"/>
        </w:rPr>
        <w:t xml:space="preserve">et </w:t>
      </w:r>
      <w:r w:rsidR="0073725D">
        <w:rPr>
          <w:lang w:val="fr-FR"/>
        </w:rPr>
        <w:t xml:space="preserve">qui </w:t>
      </w:r>
      <w:r w:rsidR="005B69D0">
        <w:rPr>
          <w:lang w:val="fr-FR"/>
        </w:rPr>
        <w:t xml:space="preserve">est </w:t>
      </w:r>
      <w:r>
        <w:rPr>
          <w:lang w:val="fr-FR"/>
        </w:rPr>
        <w:t xml:space="preserve">mis à jour tout au long du </w:t>
      </w:r>
      <w:r w:rsidR="00555AD0">
        <w:rPr>
          <w:lang w:val="fr-FR"/>
        </w:rPr>
        <w:t xml:space="preserve">cycle de projet. </w:t>
      </w:r>
      <w:r w:rsidR="00555AD0" w:rsidRPr="00555AD0">
        <w:rPr>
          <w:lang w:val="fr-FR"/>
        </w:rPr>
        <w:t xml:space="preserve">C’est pourquoi la Boîte à outils </w:t>
      </w:r>
      <w:r w:rsidR="001E0C5B">
        <w:rPr>
          <w:lang w:val="fr-FR"/>
        </w:rPr>
        <w:t>propose les mêmes outils d’analyse des risques pour l’ensemble des modules.</w:t>
      </w:r>
      <w:r w:rsidR="00D66145" w:rsidRPr="00555AD0">
        <w:rPr>
          <w:rFonts w:eastAsia="Times New Roman" w:cs="Arial"/>
          <w:szCs w:val="22"/>
          <w:lang w:val="fr-FR"/>
        </w:rPr>
        <w:t xml:space="preserve"> </w:t>
      </w:r>
      <w:r w:rsidR="001E0C5B" w:rsidRPr="001E0C5B">
        <w:rPr>
          <w:rFonts w:eastAsia="Times New Roman" w:cs="Arial"/>
          <w:szCs w:val="22"/>
          <w:lang w:val="fr-FR"/>
        </w:rPr>
        <w:t xml:space="preserve">Vous pouvez </w:t>
      </w:r>
      <w:r w:rsidR="001E0C5B">
        <w:rPr>
          <w:rFonts w:eastAsia="Times New Roman" w:cs="Arial"/>
          <w:szCs w:val="22"/>
          <w:lang w:val="fr-FR"/>
        </w:rPr>
        <w:t>complé</w:t>
      </w:r>
      <w:r w:rsidR="001E0C5B" w:rsidRPr="001E0C5B">
        <w:rPr>
          <w:rFonts w:eastAsia="Times New Roman" w:cs="Arial"/>
          <w:szCs w:val="22"/>
          <w:lang w:val="fr-FR"/>
        </w:rPr>
        <w:t xml:space="preserve">ter et mettre à jour ces outils </w:t>
      </w:r>
      <w:r w:rsidR="001E0C5B">
        <w:rPr>
          <w:rFonts w:eastAsia="Times New Roman" w:cs="Arial"/>
          <w:szCs w:val="22"/>
          <w:lang w:val="fr-FR"/>
        </w:rPr>
        <w:t xml:space="preserve">à mesure que vous avancez dans les phases du projet. </w:t>
      </w:r>
    </w:p>
    <w:p w14:paraId="0BFE7B12" w14:textId="79936632" w:rsidR="001A7D31" w:rsidRPr="001E0C5B" w:rsidRDefault="001A7D31">
      <w:pPr>
        <w:spacing w:after="0"/>
        <w:jc w:val="left"/>
        <w:rPr>
          <w:rFonts w:eastAsia="Times New Roman" w:cs="Arial"/>
          <w:szCs w:val="22"/>
          <w:lang w:val="fr-FR"/>
        </w:rPr>
      </w:pP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1A7D31" w:rsidRPr="0073725D" w14:paraId="48149D4F" w14:textId="77777777" w:rsidTr="001A7D31">
        <w:tc>
          <w:tcPr>
            <w:tcW w:w="9848" w:type="dxa"/>
          </w:tcPr>
          <w:p w14:paraId="72EF33D4" w14:textId="05453ECC" w:rsidR="001A7D31" w:rsidRPr="007B3895" w:rsidRDefault="00847A01" w:rsidP="00847A01">
            <w:pPr>
              <w:pStyle w:val="RefTitre"/>
              <w:rPr>
                <w:lang w:val="fr-FR"/>
              </w:rPr>
            </w:pPr>
            <w:r w:rsidRPr="007B3895">
              <w:rPr>
                <w:lang w:val="fr-FR"/>
              </w:rPr>
              <w:t>DOCUMENTS DE RÉFÉRENCE</w:t>
            </w:r>
          </w:p>
          <w:p w14:paraId="5DA4300B" w14:textId="74A327C4" w:rsidR="001A7D31" w:rsidRPr="007B3895" w:rsidRDefault="007B3895" w:rsidP="007B3895">
            <w:pPr>
              <w:pStyle w:val="RefItem1"/>
              <w:rPr>
                <w:shd w:val="clear" w:color="auto" w:fill="D9D9D9"/>
                <w:lang w:val="fr-FR"/>
              </w:rPr>
            </w:pPr>
            <w:r w:rsidRPr="007B3895">
              <w:rPr>
                <w:shd w:val="clear" w:color="auto" w:fill="D9D9D9"/>
                <w:lang w:val="fr-FR"/>
              </w:rPr>
              <w:t>Lignes directrices pour l’é</w:t>
            </w:r>
            <w:r>
              <w:rPr>
                <w:shd w:val="clear" w:color="auto" w:fill="D9D9D9"/>
                <w:lang w:val="fr-FR"/>
              </w:rPr>
              <w:t>valuation dans les situations d’urgence, CICR/Fédération internationale (2008)</w:t>
            </w:r>
            <w:r w:rsidR="001A7D31" w:rsidRPr="007B3895">
              <w:rPr>
                <w:shd w:val="clear" w:color="auto" w:fill="D9D9D9"/>
                <w:lang w:val="fr-FR"/>
              </w:rPr>
              <w:t xml:space="preserve"> </w:t>
            </w:r>
            <w:hyperlink r:id="rId9" w:history="1">
              <w:r w:rsidR="005B69D0" w:rsidRPr="00852255">
                <w:rPr>
                  <w:rStyle w:val="Hyperlink"/>
                  <w:shd w:val="clear" w:color="auto" w:fill="D9D9D9"/>
                  <w:lang w:val="fr-FR"/>
                </w:rPr>
                <w:t>http://www.ifrc.org/Global/Publications/disasters/guidelines/guidelines-emergency-fr.pdf</w:t>
              </w:r>
            </w:hyperlink>
          </w:p>
          <w:p w14:paraId="7ED402B7" w14:textId="57A13BB3" w:rsidR="001A7D31" w:rsidRPr="007B3895" w:rsidRDefault="007B3895" w:rsidP="007B3895">
            <w:pPr>
              <w:pStyle w:val="RefItem1"/>
              <w:rPr>
                <w:lang w:val="fr-FR"/>
              </w:rPr>
            </w:pPr>
            <w:r w:rsidRPr="007B3895">
              <w:rPr>
                <w:shd w:val="clear" w:color="auto" w:fill="D9D9D9"/>
                <w:lang w:val="fr-FR"/>
              </w:rPr>
              <w:t>Comment faire une EVC ?</w:t>
            </w:r>
            <w:r>
              <w:rPr>
                <w:shd w:val="clear" w:color="auto" w:fill="D9D9D9"/>
                <w:lang w:val="fr-FR"/>
              </w:rPr>
              <w:t xml:space="preserve"> Guide prat</w:t>
            </w:r>
            <w:bookmarkStart w:id="0" w:name="_GoBack"/>
            <w:bookmarkEnd w:id="0"/>
            <w:r>
              <w:rPr>
                <w:shd w:val="clear" w:color="auto" w:fill="D9D9D9"/>
                <w:lang w:val="fr-FR"/>
              </w:rPr>
              <w:t>ique à l’usage du personnel et des volontaires de la Croix-Rouge et du Croissant-Rouge, Fédération internationale (2007)</w:t>
            </w:r>
            <w:r w:rsidR="001A7D31" w:rsidRPr="007B3895">
              <w:rPr>
                <w:shd w:val="clear" w:color="auto" w:fill="D9D9D9"/>
                <w:lang w:val="fr-FR"/>
              </w:rPr>
              <w:t xml:space="preserve"> </w:t>
            </w:r>
            <w:hyperlink r:id="rId10" w:history="1">
              <w:r w:rsidRPr="007B3895">
                <w:rPr>
                  <w:rStyle w:val="Hyperlink"/>
                  <w:rFonts w:eastAsia="Times New Roman" w:cs="Arial"/>
                  <w:lang w:val="fr-FR"/>
                </w:rPr>
                <w:t>http://www.ifrc.org/Global/Publications/disasters/vca/how-to-do-vca-fr.pdf</w:t>
              </w:r>
            </w:hyperlink>
          </w:p>
          <w:p w14:paraId="31D15E1F" w14:textId="54EFD91B" w:rsidR="001A7D31" w:rsidRPr="0073725D" w:rsidRDefault="00EB2C28" w:rsidP="0073725D">
            <w:pPr>
              <w:pStyle w:val="RefItem1"/>
              <w:rPr>
                <w:lang w:val="en-GB"/>
              </w:rPr>
            </w:pPr>
            <w:r w:rsidRPr="0073725D">
              <w:rPr>
                <w:rFonts w:cs="Arial"/>
                <w:i/>
                <w:iCs/>
                <w:szCs w:val="20"/>
                <w:lang w:val="en-GB"/>
              </w:rPr>
              <w:t>Good Practice Review: Cash Transfer Programming in Emergencies</w:t>
            </w:r>
            <w:r w:rsidRPr="0073725D">
              <w:rPr>
                <w:rFonts w:cs="Arial"/>
                <w:szCs w:val="20"/>
                <w:lang w:val="en-GB"/>
              </w:rPr>
              <w:t xml:space="preserve">, Humanitarian Practice Network (2011) </w:t>
            </w:r>
            <w:hyperlink r:id="rId11" w:history="1">
              <w:r w:rsidRPr="0073725D">
                <w:rPr>
                  <w:rStyle w:val="Hyperlink"/>
                  <w:rFonts w:cs="Arial"/>
                  <w:szCs w:val="20"/>
                  <w:lang w:val="en-GB"/>
                </w:rPr>
                <w:t>http://www.odihpn.org/documents%2Fgpr11.pdf</w:t>
              </w:r>
            </w:hyperlink>
            <w:r w:rsidRPr="0073725D">
              <w:rPr>
                <w:rStyle w:val="Hyperlink"/>
                <w:rFonts w:cs="Arial"/>
                <w:szCs w:val="20"/>
                <w:u w:val="none"/>
                <w:lang w:val="en-GB"/>
              </w:rPr>
              <w:t xml:space="preserve"> </w:t>
            </w:r>
            <w:r w:rsidRPr="0073725D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>(</w:t>
            </w:r>
            <w:proofErr w:type="spellStart"/>
            <w:r w:rsidRPr="0073725D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>en</w:t>
            </w:r>
            <w:proofErr w:type="spellEnd"/>
            <w:r w:rsidRPr="0073725D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 xml:space="preserve"> </w:t>
            </w:r>
            <w:proofErr w:type="spellStart"/>
            <w:r w:rsidRPr="0073725D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>anglais</w:t>
            </w:r>
            <w:proofErr w:type="spellEnd"/>
            <w:r w:rsidRPr="0073725D">
              <w:rPr>
                <w:rStyle w:val="Hyperlink"/>
                <w:rFonts w:cs="Arial"/>
                <w:color w:val="auto"/>
                <w:szCs w:val="20"/>
                <w:u w:val="none"/>
                <w:lang w:val="en-GB"/>
              </w:rPr>
              <w:t>)</w:t>
            </w:r>
          </w:p>
        </w:tc>
      </w:tr>
    </w:tbl>
    <w:p w14:paraId="6BB28D7B" w14:textId="77777777" w:rsidR="00A74426" w:rsidRPr="0073725D" w:rsidRDefault="00A74426" w:rsidP="00CC4944">
      <w:pPr>
        <w:rPr>
          <w:lang w:val="en-GB"/>
        </w:rPr>
      </w:pPr>
    </w:p>
    <w:sectPr w:rsidR="00A74426" w:rsidRPr="0073725D" w:rsidSect="00CC494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8" w:footer="708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51185A" w15:done="0"/>
  <w15:commentEx w15:paraId="4EFA6557" w15:done="0"/>
  <w15:commentEx w15:paraId="1DF31AD0" w15:done="0"/>
  <w15:commentEx w15:paraId="5D2B4189" w15:done="0"/>
  <w15:commentEx w15:paraId="2C4DDF14" w15:done="0"/>
  <w15:commentEx w15:paraId="1A4A0D71" w15:done="0"/>
  <w15:commentEx w15:paraId="71FC2149" w15:done="0"/>
  <w15:commentEx w15:paraId="627E32C6" w15:done="0"/>
  <w15:commentEx w15:paraId="42FE9EA7" w15:done="0"/>
  <w15:commentEx w15:paraId="7DE23E1F" w15:done="0"/>
  <w15:commentEx w15:paraId="0803B5C9" w15:done="0"/>
  <w15:commentEx w15:paraId="14A3196C" w15:done="0"/>
  <w15:commentEx w15:paraId="456D97B8" w15:done="0"/>
  <w15:commentEx w15:paraId="6DE68D28" w15:done="0"/>
  <w15:commentEx w15:paraId="109751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205BF" w14:textId="77777777" w:rsidR="00C8540D" w:rsidRDefault="00C8540D" w:rsidP="00752615">
      <w:pPr>
        <w:spacing w:after="0"/>
      </w:pPr>
      <w:r>
        <w:separator/>
      </w:r>
    </w:p>
  </w:endnote>
  <w:endnote w:type="continuationSeparator" w:id="0">
    <w:p w14:paraId="5A89E754" w14:textId="77777777" w:rsidR="00C8540D" w:rsidRDefault="00C8540D" w:rsidP="007526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49CDD" w14:textId="77777777" w:rsidR="00D20B36" w:rsidRDefault="00D20B36" w:rsidP="007526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5275E5" w14:textId="77777777" w:rsidR="00D20B36" w:rsidRDefault="00D20B36" w:rsidP="007526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EF2B" w14:textId="77777777" w:rsidR="00CC4944" w:rsidRPr="00B45C74" w:rsidRDefault="00CC4944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3725D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678FD58" w14:textId="7D7E2DB3" w:rsidR="00CC4944" w:rsidRPr="0083244A" w:rsidRDefault="00CC4944" w:rsidP="0083244A">
    <w:pPr>
      <w:pStyle w:val="Footer"/>
      <w:rPr>
        <w:lang w:val="fr-FR"/>
      </w:rPr>
    </w:pPr>
    <w:r w:rsidRPr="0083244A">
      <w:rPr>
        <w:b/>
        <w:lang w:val="fr-FR"/>
      </w:rPr>
      <w:t>Module 2.</w:t>
    </w:r>
    <w:r w:rsidRPr="0083244A">
      <w:rPr>
        <w:lang w:val="fr-FR"/>
      </w:rPr>
      <w:t xml:space="preserve"> </w:t>
    </w:r>
    <w:r w:rsidR="0083244A" w:rsidRPr="0083244A">
      <w:rPr>
        <w:lang w:val="fr-FR"/>
      </w:rPr>
      <w:t>Feuille de route pour l’évaluation</w:t>
    </w:r>
    <w:r w:rsidRPr="00107E15">
      <w:rPr>
        <w:i/>
      </w:rPr>
      <w:fldChar w:fldCharType="begin"/>
    </w:r>
    <w:r w:rsidRPr="0083244A">
      <w:rPr>
        <w:i/>
        <w:lang w:val="fr-FR"/>
      </w:rPr>
      <w:instrText xml:space="preserve"> STYLEREF  H1 \t  \* MERGEFORMAT </w:instrText>
    </w:r>
    <w:r w:rsidRPr="00107E15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01D8F" w14:textId="77777777" w:rsidR="00CC4944" w:rsidRPr="00B45C74" w:rsidRDefault="00CC4944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3725D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42ACA32" w14:textId="3A638DB4" w:rsidR="00CC4944" w:rsidRPr="003A3500" w:rsidRDefault="00CC4944" w:rsidP="00ED1B2B">
    <w:pPr>
      <w:pStyle w:val="Footer"/>
    </w:pPr>
    <w:r w:rsidRPr="00107E15">
      <w:rPr>
        <w:b/>
      </w:rPr>
      <w:t xml:space="preserve">Module </w:t>
    </w:r>
    <w:r>
      <w:rPr>
        <w:b/>
      </w:rPr>
      <w:t>2</w:t>
    </w:r>
    <w:r w:rsidRPr="00107E15">
      <w:rPr>
        <w:b/>
      </w:rPr>
      <w:t>.</w:t>
    </w:r>
    <w:r w:rsidRPr="00107E15">
      <w:t xml:space="preserve">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73725D" w:rsidRPr="0073725D">
      <w:rPr>
        <w:bCs/>
        <w:noProof/>
      </w:rPr>
      <w:t>Feuille de route</w:t>
    </w:r>
    <w:r w:rsidR="0073725D" w:rsidRPr="0073725D">
      <w:rPr>
        <w:iCs/>
        <w:noProof/>
      </w:rPr>
      <w:t xml:space="preserve"> pour l’évaluation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ED980" w14:textId="77777777" w:rsidR="00C8540D" w:rsidRDefault="00C8540D" w:rsidP="00752615">
      <w:pPr>
        <w:spacing w:after="0"/>
      </w:pPr>
      <w:r>
        <w:separator/>
      </w:r>
    </w:p>
  </w:footnote>
  <w:footnote w:type="continuationSeparator" w:id="0">
    <w:p w14:paraId="18714EC1" w14:textId="77777777" w:rsidR="00C8540D" w:rsidRDefault="00C8540D" w:rsidP="007526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F852" w14:textId="62E23DA6" w:rsidR="00CC4944" w:rsidRPr="006E3407" w:rsidRDefault="00B308AB" w:rsidP="00B308AB">
    <w:pPr>
      <w:pStyle w:val="Header"/>
      <w:rPr>
        <w:sz w:val="14"/>
        <w:szCs w:val="14"/>
        <w:lang w:val="fr-FR"/>
      </w:rPr>
    </w:pPr>
    <w:r w:rsidRPr="006E3407">
      <w:rPr>
        <w:rStyle w:val="Pantone485"/>
        <w:sz w:val="14"/>
        <w:szCs w:val="14"/>
        <w:lang w:val="fr-FR"/>
      </w:rPr>
      <w:t>Mouvement i</w:t>
    </w:r>
    <w:r w:rsidR="00CC4944" w:rsidRPr="006E3407">
      <w:rPr>
        <w:rStyle w:val="Pantone485"/>
        <w:sz w:val="14"/>
        <w:szCs w:val="14"/>
        <w:lang w:val="fr-FR"/>
      </w:rPr>
      <w:t>nternational</w:t>
    </w:r>
    <w:r w:rsidRPr="006E3407">
      <w:rPr>
        <w:rStyle w:val="Pantone485"/>
        <w:sz w:val="14"/>
        <w:szCs w:val="14"/>
        <w:lang w:val="fr-FR"/>
      </w:rPr>
      <w:t xml:space="preserve"> de la Croix-Rouge et du Croissant-Rouge</w:t>
    </w:r>
    <w:r w:rsidR="00CC4944" w:rsidRPr="006E3407">
      <w:rPr>
        <w:rFonts w:cs="Caecilia-Light"/>
        <w:color w:val="FF0000"/>
        <w:sz w:val="14"/>
        <w:szCs w:val="14"/>
        <w:lang w:val="fr-FR"/>
      </w:rPr>
      <w:t xml:space="preserve"> </w:t>
    </w:r>
    <w:r w:rsidR="00CC4944" w:rsidRPr="006E3407">
      <w:rPr>
        <w:rStyle w:val="PageNumber"/>
        <w:bCs/>
        <w:sz w:val="14"/>
        <w:szCs w:val="14"/>
        <w:lang w:val="fr-FR"/>
      </w:rPr>
      <w:t>I</w:t>
    </w:r>
    <w:r w:rsidR="00CC4944" w:rsidRPr="006E3407">
      <w:rPr>
        <w:rStyle w:val="PageNumber"/>
        <w:color w:val="FF0000"/>
        <w:sz w:val="14"/>
        <w:szCs w:val="14"/>
        <w:lang w:val="fr-FR"/>
      </w:rPr>
      <w:t xml:space="preserve"> </w:t>
    </w:r>
    <w:r w:rsidRPr="006E3407">
      <w:rPr>
        <w:b/>
        <w:sz w:val="14"/>
        <w:szCs w:val="14"/>
        <w:lang w:val="fr-FR"/>
      </w:rPr>
      <w:t>Boîte à outils pour les transferts monétaires dans les situations d’urgence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41CE2" w14:textId="3C69AEA8" w:rsidR="00CC4944" w:rsidRDefault="006B35B1" w:rsidP="00050617">
    <w:pPr>
      <w:pStyle w:val="Header1"/>
    </w:pPr>
    <w:r>
      <w:rPr>
        <w:rFonts w:ascii="Arial Bold" w:hAnsi="Arial Bold"/>
        <w:noProof/>
        <w:color w:val="DC281E"/>
        <w:lang w:val="en-GB" w:eastAsia="en-GB"/>
      </w:rPr>
      <w:drawing>
        <wp:anchor distT="0" distB="0" distL="114300" distR="114300" simplePos="0" relativeHeight="251667456" behindDoc="0" locked="0" layoutInCell="1" allowOverlap="1" wp14:anchorId="3D5E2678" wp14:editId="72A504B0">
          <wp:simplePos x="0" y="0"/>
          <wp:positionH relativeFrom="margin">
            <wp:posOffset>393065</wp:posOffset>
          </wp:positionH>
          <wp:positionV relativeFrom="margin">
            <wp:posOffset>-1267460</wp:posOffset>
          </wp:positionV>
          <wp:extent cx="630555" cy="735330"/>
          <wp:effectExtent l="0" t="0" r="0" b="7620"/>
          <wp:wrapSquare wrapText="bothSides"/>
          <wp:docPr id="2" name="Picture 2" descr="T:\Language\2015\French\Z_Jonathan\Références\Cash in emergencies\CICR logo-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anguage\2015\French\Z_Jonathan\Références\Cash in emergencies\CICR logo-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54CFB7" w14:textId="6579B896" w:rsidR="00CC4944" w:rsidRDefault="006B35B1" w:rsidP="00050617">
    <w:pPr>
      <w:pStyle w:val="Header1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45755746" wp14:editId="09AB4C67">
          <wp:simplePos x="0" y="0"/>
          <wp:positionH relativeFrom="margin">
            <wp:posOffset>2742565</wp:posOffset>
          </wp:positionH>
          <wp:positionV relativeFrom="margin">
            <wp:posOffset>-847725</wp:posOffset>
          </wp:positionV>
          <wp:extent cx="3187065" cy="3086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French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065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B14925" w14:textId="2C557517" w:rsidR="00CC4944" w:rsidRDefault="00CC4944" w:rsidP="00CB38F7">
    <w:pPr>
      <w:pStyle w:val="Header"/>
      <w:rPr>
        <w:color w:val="DC281E"/>
        <w:sz w:val="24"/>
        <w:szCs w:val="24"/>
      </w:rPr>
    </w:pPr>
  </w:p>
  <w:p w14:paraId="4C4FC39E" w14:textId="77777777" w:rsidR="00CC4944" w:rsidRDefault="00CC4944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14:paraId="2B106090" w14:textId="77777777" w:rsidR="00CC4944" w:rsidRDefault="00CC4944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14:paraId="2E5537D3" w14:textId="15F6F594" w:rsidR="00CC4944" w:rsidRPr="006B35B1" w:rsidRDefault="006B35B1" w:rsidP="00050617">
    <w:pPr>
      <w:pStyle w:val="Header1"/>
      <w:rPr>
        <w:rFonts w:ascii="Arial Bold" w:hAnsi="Arial Bold"/>
        <w:color w:val="DC281E"/>
        <w:lang w:val="fr-FR"/>
      </w:rPr>
    </w:pPr>
    <w:r>
      <w:rPr>
        <w:rFonts w:ascii="Arial Bold" w:hAnsi="Arial Bold"/>
        <w:color w:val="DC281E"/>
        <w:lang w:val="fr-FR"/>
      </w:rPr>
      <w:t xml:space="preserve">Boîte à outils pour les transferts monétaires </w:t>
    </w:r>
    <w:r w:rsidRPr="002F1CAB">
      <w:rPr>
        <w:rFonts w:ascii="Arial Bold" w:hAnsi="Arial Bold"/>
        <w:color w:val="DC281E"/>
        <w:lang w:val="fr-FR"/>
      </w:rPr>
      <w:t>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3"/>
  </w:num>
  <w:num w:numId="5">
    <w:abstractNumId w:val="27"/>
  </w:num>
  <w:num w:numId="6">
    <w:abstractNumId w:val="12"/>
  </w:num>
  <w:num w:numId="7">
    <w:abstractNumId w:val="16"/>
  </w:num>
  <w:num w:numId="8">
    <w:abstractNumId w:val="8"/>
  </w:num>
  <w:num w:numId="9">
    <w:abstractNumId w:val="29"/>
  </w:num>
  <w:num w:numId="10">
    <w:abstractNumId w:val="19"/>
  </w:num>
  <w:num w:numId="11">
    <w:abstractNumId w:val="20"/>
  </w:num>
  <w:num w:numId="12">
    <w:abstractNumId w:val="24"/>
  </w:num>
  <w:num w:numId="13">
    <w:abstractNumId w:val="26"/>
  </w:num>
  <w:num w:numId="14">
    <w:abstractNumId w:val="6"/>
  </w:num>
  <w:num w:numId="15">
    <w:abstractNumId w:val="25"/>
  </w:num>
  <w:num w:numId="16">
    <w:abstractNumId w:val="2"/>
  </w:num>
  <w:num w:numId="17">
    <w:abstractNumId w:val="1"/>
  </w:num>
  <w:num w:numId="18">
    <w:abstractNumId w:val="28"/>
  </w:num>
  <w:num w:numId="19">
    <w:abstractNumId w:val="15"/>
  </w:num>
  <w:num w:numId="20">
    <w:abstractNumId w:val="9"/>
  </w:num>
  <w:num w:numId="21">
    <w:abstractNumId w:val="4"/>
  </w:num>
  <w:num w:numId="22">
    <w:abstractNumId w:val="10"/>
  </w:num>
  <w:num w:numId="23">
    <w:abstractNumId w:val="14"/>
  </w:num>
  <w:num w:numId="24">
    <w:abstractNumId w:val="7"/>
  </w:num>
  <w:num w:numId="25">
    <w:abstractNumId w:val="5"/>
  </w:num>
  <w:num w:numId="26">
    <w:abstractNumId w:val="0"/>
  </w:num>
  <w:num w:numId="27">
    <w:abstractNumId w:val="17"/>
  </w:num>
  <w:num w:numId="28">
    <w:abstractNumId w:val="21"/>
  </w:num>
  <w:num w:numId="29">
    <w:abstractNumId w:val="23"/>
  </w:num>
  <w:num w:numId="30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40"/>
    <w:rsid w:val="00003F22"/>
    <w:rsid w:val="00013F7A"/>
    <w:rsid w:val="00022B2A"/>
    <w:rsid w:val="00027318"/>
    <w:rsid w:val="00046C14"/>
    <w:rsid w:val="000709C0"/>
    <w:rsid w:val="000806E4"/>
    <w:rsid w:val="00086BFE"/>
    <w:rsid w:val="00095A58"/>
    <w:rsid w:val="000A1964"/>
    <w:rsid w:val="000A4A86"/>
    <w:rsid w:val="000B1137"/>
    <w:rsid w:val="000C5544"/>
    <w:rsid w:val="000D1B92"/>
    <w:rsid w:val="000D6F20"/>
    <w:rsid w:val="000D763F"/>
    <w:rsid w:val="000E7D44"/>
    <w:rsid w:val="000F0CF2"/>
    <w:rsid w:val="00105565"/>
    <w:rsid w:val="00115CAA"/>
    <w:rsid w:val="00132856"/>
    <w:rsid w:val="0014319C"/>
    <w:rsid w:val="00151A19"/>
    <w:rsid w:val="00164825"/>
    <w:rsid w:val="00166F57"/>
    <w:rsid w:val="001974A9"/>
    <w:rsid w:val="001A7AD5"/>
    <w:rsid w:val="001A7D31"/>
    <w:rsid w:val="001B79C9"/>
    <w:rsid w:val="001C34F7"/>
    <w:rsid w:val="001D07E6"/>
    <w:rsid w:val="001D191A"/>
    <w:rsid w:val="001E0C5B"/>
    <w:rsid w:val="001F6441"/>
    <w:rsid w:val="0021593C"/>
    <w:rsid w:val="00223CDD"/>
    <w:rsid w:val="00240B83"/>
    <w:rsid w:val="00241415"/>
    <w:rsid w:val="00256A0A"/>
    <w:rsid w:val="002E02BA"/>
    <w:rsid w:val="002F25F9"/>
    <w:rsid w:val="002F28BC"/>
    <w:rsid w:val="002F689F"/>
    <w:rsid w:val="003006DE"/>
    <w:rsid w:val="00325F32"/>
    <w:rsid w:val="00333EA9"/>
    <w:rsid w:val="00347951"/>
    <w:rsid w:val="00357105"/>
    <w:rsid w:val="00365158"/>
    <w:rsid w:val="00393E25"/>
    <w:rsid w:val="003B15BE"/>
    <w:rsid w:val="003B6324"/>
    <w:rsid w:val="003C06FD"/>
    <w:rsid w:val="003C399B"/>
    <w:rsid w:val="003C643E"/>
    <w:rsid w:val="003E030A"/>
    <w:rsid w:val="003E3CAB"/>
    <w:rsid w:val="003F2D4C"/>
    <w:rsid w:val="003F3116"/>
    <w:rsid w:val="00403B20"/>
    <w:rsid w:val="00406965"/>
    <w:rsid w:val="0042246D"/>
    <w:rsid w:val="00442DF0"/>
    <w:rsid w:val="00456081"/>
    <w:rsid w:val="004560DE"/>
    <w:rsid w:val="00461C1A"/>
    <w:rsid w:val="004C53E5"/>
    <w:rsid w:val="004D4B69"/>
    <w:rsid w:val="004E5BB5"/>
    <w:rsid w:val="004F3661"/>
    <w:rsid w:val="00500382"/>
    <w:rsid w:val="0052353D"/>
    <w:rsid w:val="00527882"/>
    <w:rsid w:val="00537B35"/>
    <w:rsid w:val="00555AD0"/>
    <w:rsid w:val="00556F87"/>
    <w:rsid w:val="005625F5"/>
    <w:rsid w:val="00572A6E"/>
    <w:rsid w:val="005838FA"/>
    <w:rsid w:val="00586FD5"/>
    <w:rsid w:val="005B69D0"/>
    <w:rsid w:val="005C34AD"/>
    <w:rsid w:val="005F3235"/>
    <w:rsid w:val="00605D4B"/>
    <w:rsid w:val="00613D47"/>
    <w:rsid w:val="0062030E"/>
    <w:rsid w:val="0064141A"/>
    <w:rsid w:val="00646699"/>
    <w:rsid w:val="00646779"/>
    <w:rsid w:val="006642BE"/>
    <w:rsid w:val="00675145"/>
    <w:rsid w:val="00687489"/>
    <w:rsid w:val="00692218"/>
    <w:rsid w:val="006B0917"/>
    <w:rsid w:val="006B2C07"/>
    <w:rsid w:val="006B35B1"/>
    <w:rsid w:val="006B3EBE"/>
    <w:rsid w:val="006C2161"/>
    <w:rsid w:val="006D3A93"/>
    <w:rsid w:val="006D4298"/>
    <w:rsid w:val="006E3407"/>
    <w:rsid w:val="006F1576"/>
    <w:rsid w:val="006F4886"/>
    <w:rsid w:val="006F4903"/>
    <w:rsid w:val="00701224"/>
    <w:rsid w:val="00701A04"/>
    <w:rsid w:val="00703798"/>
    <w:rsid w:val="007069CC"/>
    <w:rsid w:val="007141C7"/>
    <w:rsid w:val="007310FA"/>
    <w:rsid w:val="0073725D"/>
    <w:rsid w:val="00752615"/>
    <w:rsid w:val="00764418"/>
    <w:rsid w:val="00771111"/>
    <w:rsid w:val="007777A9"/>
    <w:rsid w:val="007B3895"/>
    <w:rsid w:val="007D1A58"/>
    <w:rsid w:val="007D4C6C"/>
    <w:rsid w:val="007F4DC6"/>
    <w:rsid w:val="008233E8"/>
    <w:rsid w:val="0083244A"/>
    <w:rsid w:val="008368AA"/>
    <w:rsid w:val="00847A01"/>
    <w:rsid w:val="00853516"/>
    <w:rsid w:val="00871433"/>
    <w:rsid w:val="0088306F"/>
    <w:rsid w:val="008879A4"/>
    <w:rsid w:val="008C2CBC"/>
    <w:rsid w:val="008E0D2C"/>
    <w:rsid w:val="008E5649"/>
    <w:rsid w:val="008F402F"/>
    <w:rsid w:val="008F5891"/>
    <w:rsid w:val="00906ED2"/>
    <w:rsid w:val="009100E5"/>
    <w:rsid w:val="00935B48"/>
    <w:rsid w:val="0095402D"/>
    <w:rsid w:val="00970049"/>
    <w:rsid w:val="00976F45"/>
    <w:rsid w:val="00996780"/>
    <w:rsid w:val="009A193F"/>
    <w:rsid w:val="009B5D90"/>
    <w:rsid w:val="009C0717"/>
    <w:rsid w:val="009E0E97"/>
    <w:rsid w:val="009F21CA"/>
    <w:rsid w:val="00A04BD0"/>
    <w:rsid w:val="00A24494"/>
    <w:rsid w:val="00A24FD6"/>
    <w:rsid w:val="00A324E8"/>
    <w:rsid w:val="00A336CA"/>
    <w:rsid w:val="00A375FE"/>
    <w:rsid w:val="00A46166"/>
    <w:rsid w:val="00A65667"/>
    <w:rsid w:val="00A74426"/>
    <w:rsid w:val="00A87A26"/>
    <w:rsid w:val="00A92250"/>
    <w:rsid w:val="00A94FC1"/>
    <w:rsid w:val="00AF1138"/>
    <w:rsid w:val="00AF3FAA"/>
    <w:rsid w:val="00AF410F"/>
    <w:rsid w:val="00AF426C"/>
    <w:rsid w:val="00B0620E"/>
    <w:rsid w:val="00B1106A"/>
    <w:rsid w:val="00B130C3"/>
    <w:rsid w:val="00B249A4"/>
    <w:rsid w:val="00B308AB"/>
    <w:rsid w:val="00B43740"/>
    <w:rsid w:val="00B51A30"/>
    <w:rsid w:val="00B64371"/>
    <w:rsid w:val="00BA6271"/>
    <w:rsid w:val="00BC2058"/>
    <w:rsid w:val="00BC241B"/>
    <w:rsid w:val="00BF0FB3"/>
    <w:rsid w:val="00C0514C"/>
    <w:rsid w:val="00C15492"/>
    <w:rsid w:val="00C217B0"/>
    <w:rsid w:val="00C40EDA"/>
    <w:rsid w:val="00C452A0"/>
    <w:rsid w:val="00C4707A"/>
    <w:rsid w:val="00C8540D"/>
    <w:rsid w:val="00C86EB1"/>
    <w:rsid w:val="00CA692F"/>
    <w:rsid w:val="00CA77DF"/>
    <w:rsid w:val="00CB3320"/>
    <w:rsid w:val="00CB4529"/>
    <w:rsid w:val="00CB5FAB"/>
    <w:rsid w:val="00CC068F"/>
    <w:rsid w:val="00CC4944"/>
    <w:rsid w:val="00CD716A"/>
    <w:rsid w:val="00CE2630"/>
    <w:rsid w:val="00CF687D"/>
    <w:rsid w:val="00CF7B24"/>
    <w:rsid w:val="00D00357"/>
    <w:rsid w:val="00D1120A"/>
    <w:rsid w:val="00D145C8"/>
    <w:rsid w:val="00D16AA1"/>
    <w:rsid w:val="00D171F9"/>
    <w:rsid w:val="00D20B36"/>
    <w:rsid w:val="00D22D3B"/>
    <w:rsid w:val="00D24E98"/>
    <w:rsid w:val="00D25E2D"/>
    <w:rsid w:val="00D335EA"/>
    <w:rsid w:val="00D4215A"/>
    <w:rsid w:val="00D436BF"/>
    <w:rsid w:val="00D448E8"/>
    <w:rsid w:val="00D528AB"/>
    <w:rsid w:val="00D62AC5"/>
    <w:rsid w:val="00D66145"/>
    <w:rsid w:val="00D712BF"/>
    <w:rsid w:val="00D72A6D"/>
    <w:rsid w:val="00D74972"/>
    <w:rsid w:val="00D976E7"/>
    <w:rsid w:val="00D97ABF"/>
    <w:rsid w:val="00DC1372"/>
    <w:rsid w:val="00DD136D"/>
    <w:rsid w:val="00DD1804"/>
    <w:rsid w:val="00DD662A"/>
    <w:rsid w:val="00DD67E5"/>
    <w:rsid w:val="00DE13F0"/>
    <w:rsid w:val="00E01226"/>
    <w:rsid w:val="00E0616C"/>
    <w:rsid w:val="00E10038"/>
    <w:rsid w:val="00E30B34"/>
    <w:rsid w:val="00E46507"/>
    <w:rsid w:val="00E62749"/>
    <w:rsid w:val="00E73EE5"/>
    <w:rsid w:val="00E77E9D"/>
    <w:rsid w:val="00EB2C28"/>
    <w:rsid w:val="00ED1D49"/>
    <w:rsid w:val="00F2556D"/>
    <w:rsid w:val="00F25A96"/>
    <w:rsid w:val="00F3670B"/>
    <w:rsid w:val="00F52180"/>
    <w:rsid w:val="00F57C12"/>
    <w:rsid w:val="00F62E0C"/>
    <w:rsid w:val="00F762B7"/>
    <w:rsid w:val="00F764E8"/>
    <w:rsid w:val="00F80A2D"/>
    <w:rsid w:val="00F96A7B"/>
    <w:rsid w:val="00FA16A0"/>
    <w:rsid w:val="00FC3568"/>
    <w:rsid w:val="00FD30C8"/>
    <w:rsid w:val="00FF2E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9229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48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935B48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5B48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B48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5B48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5B48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935B48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B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5B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75D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DB8"/>
    <w:rPr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35B48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35B48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B4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B4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5B48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35B48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935B48"/>
    <w:rPr>
      <w:b/>
    </w:rPr>
  </w:style>
  <w:style w:type="paragraph" w:styleId="Header">
    <w:name w:val="header"/>
    <w:basedOn w:val="Normal"/>
    <w:link w:val="HeaderChar"/>
    <w:uiPriority w:val="99"/>
    <w:unhideWhenUsed/>
    <w:rsid w:val="00935B48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35B48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935B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B4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5B48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B48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935B48"/>
    <w:rPr>
      <w:vertAlign w:val="superscript"/>
    </w:rPr>
  </w:style>
  <w:style w:type="character" w:customStyle="1" w:styleId="aak">
    <w:name w:val="aak"/>
    <w:basedOn w:val="DefaultParagraphFont"/>
    <w:rsid w:val="00D16AA1"/>
  </w:style>
  <w:style w:type="character" w:customStyle="1" w:styleId="apple-converted-space">
    <w:name w:val="apple-converted-space"/>
    <w:basedOn w:val="DefaultParagraphFont"/>
    <w:rsid w:val="00D16AA1"/>
  </w:style>
  <w:style w:type="character" w:customStyle="1" w:styleId="abv">
    <w:name w:val="abv"/>
    <w:basedOn w:val="DefaultParagraphFont"/>
    <w:rsid w:val="00A74426"/>
  </w:style>
  <w:style w:type="character" w:customStyle="1" w:styleId="Heading1Char">
    <w:name w:val="Heading 1 Char"/>
    <w:basedOn w:val="DefaultParagraphFont"/>
    <w:link w:val="Heading1"/>
    <w:uiPriority w:val="9"/>
    <w:rsid w:val="00935B48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35B48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B48"/>
    <w:rPr>
      <w:rFonts w:ascii="Arial" w:hAnsi="Arial" w:cs="Times New Roman"/>
      <w:b/>
      <w:sz w:val="22"/>
      <w:szCs w:val="24"/>
    </w:rPr>
  </w:style>
  <w:style w:type="paragraph" w:styleId="Revision">
    <w:name w:val="Revision"/>
    <w:hidden/>
    <w:uiPriority w:val="99"/>
    <w:semiHidden/>
    <w:rsid w:val="00935B48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35B4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35B48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C5544"/>
    <w:pPr>
      <w:numPr>
        <w:numId w:val="14"/>
      </w:numPr>
      <w:spacing w:before="60"/>
      <w:ind w:left="714" w:hanging="357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35B48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35B48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35B48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35B48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35B48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35B48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35B48"/>
    <w:pPr>
      <w:numPr>
        <w:numId w:val="28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935B48"/>
    <w:pPr>
      <w:numPr>
        <w:ilvl w:val="1"/>
        <w:numId w:val="2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35B48"/>
    <w:pPr>
      <w:numPr>
        <w:numId w:val="27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35B48"/>
    <w:pPr>
      <w:numPr>
        <w:numId w:val="2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35B48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35B48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35B48"/>
    <w:pPr>
      <w:keepNext/>
      <w:keepLines/>
      <w:framePr w:hSpace="141" w:wrap="around" w:vAnchor="text" w:hAnchor="margin" w:y="402"/>
      <w:numPr>
        <w:numId w:val="30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48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935B48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5B48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B48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5B48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5B48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935B48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B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5B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75D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DB8"/>
    <w:rPr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35B48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35B48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B4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B4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5B48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35B48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935B48"/>
    <w:rPr>
      <w:b/>
    </w:rPr>
  </w:style>
  <w:style w:type="paragraph" w:styleId="Header">
    <w:name w:val="header"/>
    <w:basedOn w:val="Normal"/>
    <w:link w:val="HeaderChar"/>
    <w:uiPriority w:val="99"/>
    <w:unhideWhenUsed/>
    <w:rsid w:val="00935B48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35B48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935B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B4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5B48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B48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935B48"/>
    <w:rPr>
      <w:vertAlign w:val="superscript"/>
    </w:rPr>
  </w:style>
  <w:style w:type="character" w:customStyle="1" w:styleId="aak">
    <w:name w:val="aak"/>
    <w:basedOn w:val="DefaultParagraphFont"/>
    <w:rsid w:val="00D16AA1"/>
  </w:style>
  <w:style w:type="character" w:customStyle="1" w:styleId="apple-converted-space">
    <w:name w:val="apple-converted-space"/>
    <w:basedOn w:val="DefaultParagraphFont"/>
    <w:rsid w:val="00D16AA1"/>
  </w:style>
  <w:style w:type="character" w:customStyle="1" w:styleId="abv">
    <w:name w:val="abv"/>
    <w:basedOn w:val="DefaultParagraphFont"/>
    <w:rsid w:val="00A74426"/>
  </w:style>
  <w:style w:type="character" w:customStyle="1" w:styleId="Heading1Char">
    <w:name w:val="Heading 1 Char"/>
    <w:basedOn w:val="DefaultParagraphFont"/>
    <w:link w:val="Heading1"/>
    <w:uiPriority w:val="9"/>
    <w:rsid w:val="00935B48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35B48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B48"/>
    <w:rPr>
      <w:rFonts w:ascii="Arial" w:hAnsi="Arial" w:cs="Times New Roman"/>
      <w:b/>
      <w:sz w:val="22"/>
      <w:szCs w:val="24"/>
    </w:rPr>
  </w:style>
  <w:style w:type="paragraph" w:styleId="Revision">
    <w:name w:val="Revision"/>
    <w:hidden/>
    <w:uiPriority w:val="99"/>
    <w:semiHidden/>
    <w:rsid w:val="00935B48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35B4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35B48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C5544"/>
    <w:pPr>
      <w:numPr>
        <w:numId w:val="14"/>
      </w:numPr>
      <w:spacing w:before="60"/>
      <w:ind w:left="714" w:hanging="357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35B48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35B48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35B48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35B48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35B48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35B48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35B48"/>
    <w:pPr>
      <w:numPr>
        <w:numId w:val="28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935B48"/>
    <w:pPr>
      <w:numPr>
        <w:ilvl w:val="1"/>
        <w:numId w:val="2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35B48"/>
    <w:pPr>
      <w:numPr>
        <w:numId w:val="27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35B48"/>
    <w:pPr>
      <w:numPr>
        <w:numId w:val="2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35B48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35B48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35B48"/>
    <w:pPr>
      <w:keepNext/>
      <w:keepLines/>
      <w:framePr w:hSpace="141" w:wrap="around" w:vAnchor="text" w:hAnchor="margin" w:y="402"/>
      <w:numPr>
        <w:numId w:val="3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dihpn.org/documents%2Fgpr11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frc.org/Global/Publications/disasters/vca/how-to-do-vca-fr.pdf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ifrc.org/Global/Publications/disasters/guidelines/guidelines-emergency-fr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3FB6-1373-4B64-BAB8-52515049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522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Florence MAROT</cp:lastModifiedBy>
  <cp:revision>62</cp:revision>
  <cp:lastPrinted>2015-09-23T00:43:00Z</cp:lastPrinted>
  <dcterms:created xsi:type="dcterms:W3CDTF">2015-11-09T08:17:00Z</dcterms:created>
  <dcterms:modified xsi:type="dcterms:W3CDTF">2016-03-31T15:08:00Z</dcterms:modified>
</cp:coreProperties>
</file>