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E0364" w14:textId="753E3193" w:rsidR="00DC11CA" w:rsidRPr="006C649B" w:rsidRDefault="006C649B" w:rsidP="00DD01F6">
      <w:pPr>
        <w:pStyle w:val="H1"/>
        <w:rPr>
          <w:rFonts w:cs="Arial"/>
          <w:lang w:val="es-ES_tradnl"/>
        </w:rPr>
      </w:pPr>
      <w:r w:rsidRPr="006C649B">
        <w:rPr>
          <w:rFonts w:cs="Arial"/>
          <w:lang w:val="es-ES_tradnl"/>
        </w:rPr>
        <w:t xml:space="preserve">Hoja de ruta para la elaboración y ejecución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6C649B" w:rsidRPr="006C649B" w14:paraId="7034B78C" w14:textId="77777777" w:rsidTr="00595545">
        <w:tc>
          <w:tcPr>
            <w:tcW w:w="9054" w:type="dxa"/>
            <w:gridSpan w:val="3"/>
          </w:tcPr>
          <w:p w14:paraId="2DAA1001" w14:textId="77777777" w:rsidR="006C649B" w:rsidRPr="006C649B" w:rsidRDefault="006C649B" w:rsidP="00595545">
            <w:pPr>
              <w:jc w:val="center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PREPARACIÓN </w:t>
            </w:r>
          </w:p>
        </w:tc>
      </w:tr>
      <w:tr w:rsidR="006C649B" w:rsidRPr="006C649B" w14:paraId="6548D6A4" w14:textId="77777777" w:rsidTr="00595545">
        <w:tc>
          <w:tcPr>
            <w:tcW w:w="3018" w:type="dxa"/>
          </w:tcPr>
          <w:p w14:paraId="3172771D" w14:textId="77777777" w:rsidR="006C649B" w:rsidRPr="006C649B" w:rsidRDefault="006C649B" w:rsidP="00595545">
            <w:pPr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>1. Preparación y análisis</w:t>
            </w:r>
          </w:p>
        </w:tc>
        <w:tc>
          <w:tcPr>
            <w:tcW w:w="3018" w:type="dxa"/>
          </w:tcPr>
          <w:p w14:paraId="0F5053C1" w14:textId="77777777" w:rsidR="006C649B" w:rsidRPr="006C649B" w:rsidRDefault="006C649B" w:rsidP="00595545">
            <w:pPr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2. Elaboración y ejecución  </w:t>
            </w:r>
          </w:p>
        </w:tc>
        <w:tc>
          <w:tcPr>
            <w:tcW w:w="3018" w:type="dxa"/>
          </w:tcPr>
          <w:p w14:paraId="17A9B9C7" w14:textId="77777777" w:rsidR="006C649B" w:rsidRPr="006C649B" w:rsidRDefault="006C649B" w:rsidP="00595545">
            <w:pPr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3. Análisis, lecciones aprendidas y perfeccionamiento  </w:t>
            </w:r>
          </w:p>
        </w:tc>
      </w:tr>
      <w:tr w:rsidR="006C649B" w:rsidRPr="006C649B" w14:paraId="5AA197F6" w14:textId="77777777" w:rsidTr="002F1E4A">
        <w:tc>
          <w:tcPr>
            <w:tcW w:w="3018" w:type="dxa"/>
          </w:tcPr>
          <w:p w14:paraId="365F3921" w14:textId="77777777" w:rsidR="006C649B" w:rsidRPr="006C649B" w:rsidRDefault="006C649B" w:rsidP="006C649B">
            <w:pPr>
              <w:pStyle w:val="ListParagraph"/>
              <w:numPr>
                <w:ilvl w:val="0"/>
                <w:numId w:val="31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>Examen y análisis de información secundaria</w:t>
            </w:r>
          </w:p>
          <w:p w14:paraId="7E1F81DF" w14:textId="77777777" w:rsidR="006C649B" w:rsidRPr="006C649B" w:rsidRDefault="006C649B" w:rsidP="006C649B">
            <w:pPr>
              <w:pStyle w:val="ListParagraph"/>
              <w:numPr>
                <w:ilvl w:val="0"/>
                <w:numId w:val="31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Recopilación y análisis de información primaria </w:t>
            </w:r>
          </w:p>
          <w:p w14:paraId="19C654E1" w14:textId="77777777" w:rsidR="006C649B" w:rsidRPr="006C649B" w:rsidRDefault="006C649B" w:rsidP="006C649B">
            <w:pPr>
              <w:pStyle w:val="ListParagraph"/>
              <w:numPr>
                <w:ilvl w:val="0"/>
                <w:numId w:val="31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Documentación de la línea de base </w:t>
            </w:r>
          </w:p>
          <w:p w14:paraId="68B301CB" w14:textId="77777777" w:rsidR="006C649B" w:rsidRPr="006C649B" w:rsidRDefault="006C649B" w:rsidP="006C649B">
            <w:pPr>
              <w:pStyle w:val="ListParagraph"/>
              <w:numPr>
                <w:ilvl w:val="0"/>
                <w:numId w:val="31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Elaboración y análisis de los escenarios  </w:t>
            </w:r>
          </w:p>
          <w:p w14:paraId="3658C295" w14:textId="77777777" w:rsidR="006C649B" w:rsidRPr="006C649B" w:rsidRDefault="006C649B" w:rsidP="006C649B">
            <w:pPr>
              <w:pStyle w:val="ListParagraph"/>
              <w:numPr>
                <w:ilvl w:val="0"/>
                <w:numId w:val="31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Fomento de la participación de los interesados en la preparación para ejecutar programas </w:t>
            </w:r>
          </w:p>
          <w:p w14:paraId="062D8EF2" w14:textId="77777777" w:rsidR="006C649B" w:rsidRPr="006C649B" w:rsidRDefault="006C649B" w:rsidP="006C649B">
            <w:pPr>
              <w:pStyle w:val="ListParagraph"/>
              <w:numPr>
                <w:ilvl w:val="0"/>
                <w:numId w:val="31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>Análisis y autoevaluación de las deficiencias en la preparación para ejecutar los programas</w:t>
            </w:r>
          </w:p>
          <w:p w14:paraId="1CD191F7" w14:textId="77777777" w:rsidR="006C649B" w:rsidRPr="006C649B" w:rsidRDefault="006C649B" w:rsidP="006C649B">
            <w:pPr>
              <w:pStyle w:val="ListParagraph"/>
              <w:numPr>
                <w:ilvl w:val="0"/>
                <w:numId w:val="31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>Elaboración y difusión de los mensajes clave</w:t>
            </w:r>
          </w:p>
          <w:p w14:paraId="2ED95F1D" w14:textId="77777777" w:rsidR="006C649B" w:rsidRPr="006C649B" w:rsidRDefault="006C649B" w:rsidP="00595545">
            <w:pPr>
              <w:pStyle w:val="ListParagraph"/>
              <w:spacing w:after="0"/>
              <w:ind w:left="360"/>
              <w:jc w:val="left"/>
              <w:rPr>
                <w:b/>
                <w:sz w:val="14"/>
                <w:lang w:val="es-ES_tradnl"/>
              </w:rPr>
            </w:pPr>
          </w:p>
        </w:tc>
        <w:tc>
          <w:tcPr>
            <w:tcW w:w="3018" w:type="dxa"/>
            <w:shd w:val="clear" w:color="auto" w:fill="548DD4" w:themeFill="text2" w:themeFillTint="99"/>
          </w:tcPr>
          <w:p w14:paraId="64229FB8" w14:textId="77777777" w:rsidR="006C649B" w:rsidRPr="006C649B" w:rsidRDefault="006C649B" w:rsidP="006C649B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>Designación de un coordinador para PTE</w:t>
            </w:r>
          </w:p>
          <w:p w14:paraId="1F563AED" w14:textId="77777777" w:rsidR="006C649B" w:rsidRPr="006C649B" w:rsidRDefault="006C649B" w:rsidP="006C649B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Establecimiento de un grupo de trabajo técnico sobre programas de transferencias de efectivo </w:t>
            </w:r>
          </w:p>
          <w:p w14:paraId="4A1F4AD9" w14:textId="77777777" w:rsidR="006C649B" w:rsidRPr="006C649B" w:rsidRDefault="006C649B" w:rsidP="006C649B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Plan de acción de preparación para la elaboración de programas de transferencias de efectivo </w:t>
            </w:r>
          </w:p>
          <w:p w14:paraId="2D873BE1" w14:textId="77777777" w:rsidR="006C649B" w:rsidRPr="006C649B" w:rsidRDefault="006C649B" w:rsidP="006C649B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>Elaboración de procedimientos operativos normalizados para programas de transferencias</w:t>
            </w:r>
          </w:p>
          <w:p w14:paraId="3810E06F" w14:textId="77777777" w:rsidR="006C649B" w:rsidRPr="006C649B" w:rsidRDefault="006C649B" w:rsidP="00595545">
            <w:pPr>
              <w:pStyle w:val="ListParagraph"/>
              <w:spacing w:after="0"/>
              <w:ind w:left="36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de efectivo </w:t>
            </w:r>
          </w:p>
          <w:p w14:paraId="7A7ED6EA" w14:textId="77777777" w:rsidR="006C649B" w:rsidRPr="006C649B" w:rsidRDefault="006C649B" w:rsidP="006C649B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>Integración de los programas de transferencias de efectivo</w:t>
            </w:r>
          </w:p>
          <w:p w14:paraId="6F07D1FB" w14:textId="77777777" w:rsidR="006C649B" w:rsidRPr="006C649B" w:rsidRDefault="006C649B" w:rsidP="00595545">
            <w:pPr>
              <w:pStyle w:val="ListParagraph"/>
              <w:spacing w:after="0"/>
              <w:ind w:left="36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en los planes estratégicos, de intervención y de contingencia </w:t>
            </w:r>
          </w:p>
          <w:p w14:paraId="1A0F7782" w14:textId="77777777" w:rsidR="006C649B" w:rsidRPr="006C649B" w:rsidRDefault="006C649B" w:rsidP="006C649B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>Integración de los programas de transferencias de dinero en efectivo en el sistema de recursos humanos</w:t>
            </w:r>
          </w:p>
          <w:p w14:paraId="5E686A4D" w14:textId="77777777" w:rsidR="006C649B" w:rsidRPr="006C649B" w:rsidRDefault="006C649B" w:rsidP="006C649B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>Integración de los programas de transferencias de dinero en efectivo</w:t>
            </w:r>
          </w:p>
          <w:p w14:paraId="66C2EF07" w14:textId="77777777" w:rsidR="006C649B" w:rsidRPr="006C649B" w:rsidRDefault="006C649B" w:rsidP="00595545">
            <w:pPr>
              <w:pStyle w:val="ListParagraph"/>
              <w:spacing w:after="0"/>
              <w:ind w:left="36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en los sistemas financieros </w:t>
            </w:r>
          </w:p>
          <w:p w14:paraId="5F58BE53" w14:textId="77777777" w:rsidR="006C649B" w:rsidRPr="006C649B" w:rsidRDefault="006C649B" w:rsidP="006C649B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>Integración de los programas de transferencias de dinero en efectivo</w:t>
            </w:r>
          </w:p>
          <w:p w14:paraId="6A8A6DBC" w14:textId="77777777" w:rsidR="006C649B" w:rsidRPr="006C649B" w:rsidRDefault="006C649B" w:rsidP="00595545">
            <w:pPr>
              <w:pStyle w:val="ListParagraph"/>
              <w:spacing w:after="0"/>
              <w:ind w:left="36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en los sistemas de supervisión y evaluación </w:t>
            </w:r>
          </w:p>
          <w:p w14:paraId="5BA0C19A" w14:textId="77777777" w:rsidR="006C649B" w:rsidRPr="006C649B" w:rsidRDefault="006C649B" w:rsidP="006C649B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>Integración de los programas de transferencias de dinero en efectivo</w:t>
            </w:r>
          </w:p>
          <w:p w14:paraId="413017E6" w14:textId="77777777" w:rsidR="006C649B" w:rsidRPr="006C649B" w:rsidRDefault="006C649B" w:rsidP="00595545">
            <w:pPr>
              <w:pStyle w:val="ListParagraph"/>
              <w:spacing w:after="0"/>
              <w:ind w:left="36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en los sistemas de movilización de recursos </w:t>
            </w:r>
          </w:p>
          <w:p w14:paraId="6D119C0F" w14:textId="77777777" w:rsidR="006C649B" w:rsidRPr="006C649B" w:rsidRDefault="006C649B" w:rsidP="006C649B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Realizar un ejercicio de simulación y/o proyecto piloto </w:t>
            </w:r>
          </w:p>
          <w:p w14:paraId="579CCC8E" w14:textId="77777777" w:rsidR="006C649B" w:rsidRPr="006C649B" w:rsidRDefault="006C649B" w:rsidP="006C649B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Coordinación de las actividades relacionadas con los programas de transferencias de efectivo a nivel interno y externo </w:t>
            </w:r>
          </w:p>
          <w:p w14:paraId="35604D03" w14:textId="77777777" w:rsidR="006C649B" w:rsidRPr="006C649B" w:rsidRDefault="006C649B" w:rsidP="006C649B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>Elaboración y despliegue de la estrategia de comunicación y de material de sensibilización</w:t>
            </w:r>
          </w:p>
        </w:tc>
        <w:tc>
          <w:tcPr>
            <w:tcW w:w="3018" w:type="dxa"/>
          </w:tcPr>
          <w:p w14:paraId="4A77355F" w14:textId="77777777" w:rsidR="006C649B" w:rsidRPr="006C649B" w:rsidRDefault="006C649B" w:rsidP="006C649B">
            <w:pPr>
              <w:pStyle w:val="ListParagraph"/>
              <w:numPr>
                <w:ilvl w:val="0"/>
                <w:numId w:val="33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Crear un entorno de aprendizaje propicio </w:t>
            </w:r>
          </w:p>
          <w:p w14:paraId="5A4749B6" w14:textId="77777777" w:rsidR="006C649B" w:rsidRPr="006C649B" w:rsidRDefault="006C649B" w:rsidP="006C649B">
            <w:pPr>
              <w:pStyle w:val="ListParagraph"/>
              <w:numPr>
                <w:ilvl w:val="0"/>
                <w:numId w:val="33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>Análisis interno de la preparación para la elaboración de programas</w:t>
            </w:r>
          </w:p>
          <w:p w14:paraId="7BE3C0E7" w14:textId="77777777" w:rsidR="006C649B" w:rsidRPr="006C649B" w:rsidRDefault="006C649B" w:rsidP="00595545">
            <w:pPr>
              <w:pStyle w:val="ListParagraph"/>
              <w:spacing w:after="0"/>
              <w:ind w:left="36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de transferencias de efectivo </w:t>
            </w:r>
          </w:p>
          <w:p w14:paraId="6B6C4C6F" w14:textId="77777777" w:rsidR="006C649B" w:rsidRPr="006C649B" w:rsidRDefault="006C649B" w:rsidP="006C649B">
            <w:pPr>
              <w:pStyle w:val="ListParagraph"/>
              <w:numPr>
                <w:ilvl w:val="0"/>
                <w:numId w:val="33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 xml:space="preserve">Evaluación externa de las operaciones que abarcan transferencias de efectivo </w:t>
            </w:r>
          </w:p>
          <w:p w14:paraId="34BD3B88" w14:textId="77777777" w:rsidR="006C649B" w:rsidRPr="006C649B" w:rsidRDefault="006C649B" w:rsidP="006C649B">
            <w:pPr>
              <w:pStyle w:val="ListParagraph"/>
              <w:numPr>
                <w:ilvl w:val="0"/>
                <w:numId w:val="33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6C649B">
              <w:rPr>
                <w:b/>
                <w:sz w:val="14"/>
                <w:lang w:val="es-ES_tradnl"/>
              </w:rPr>
              <w:t>Documentación y difusión de lecciones apre</w:t>
            </w:r>
            <w:bookmarkStart w:id="0" w:name="_GoBack"/>
            <w:bookmarkEnd w:id="0"/>
            <w:r w:rsidRPr="006C649B">
              <w:rPr>
                <w:b/>
                <w:sz w:val="14"/>
                <w:lang w:val="es-ES_tradnl"/>
              </w:rPr>
              <w:t xml:space="preserve">ndidas  </w:t>
            </w:r>
          </w:p>
        </w:tc>
      </w:tr>
    </w:tbl>
    <w:p w14:paraId="66FF5A11" w14:textId="77777777" w:rsidR="004D2F62" w:rsidRPr="006C649B" w:rsidRDefault="004D2F62" w:rsidP="00E6778B">
      <w:pPr>
        <w:spacing w:before="360" w:after="240"/>
        <w:ind w:left="-170"/>
        <w:jc w:val="left"/>
        <w:rPr>
          <w:rFonts w:cs="Arial"/>
          <w:lang w:val="es-ES_tradnl"/>
        </w:rPr>
      </w:pPr>
    </w:p>
    <w:p w14:paraId="1DF500A7" w14:textId="4774857B" w:rsidR="00DC11CA" w:rsidRPr="006C649B" w:rsidRDefault="00DC11CA" w:rsidP="00DD01F6">
      <w:pPr>
        <w:pStyle w:val="Heading2"/>
        <w:rPr>
          <w:rFonts w:cs="Arial"/>
          <w:lang w:val="es-ES_tradnl"/>
        </w:rPr>
      </w:pPr>
      <w:r w:rsidRPr="006C649B">
        <w:rPr>
          <w:rFonts w:cs="Arial"/>
          <w:lang w:val="es-ES_tradnl"/>
        </w:rPr>
        <w:t>INTRODUC</w:t>
      </w:r>
      <w:r w:rsidR="006C649B">
        <w:rPr>
          <w:rFonts w:cs="Arial"/>
          <w:lang w:val="es-ES_tradnl"/>
        </w:rPr>
        <w:t xml:space="preserve">CIÓN </w:t>
      </w:r>
    </w:p>
    <w:p w14:paraId="1603B55A" w14:textId="75F6F81D" w:rsidR="00820EC1" w:rsidRDefault="006C649B" w:rsidP="006C649B">
      <w:pPr>
        <w:rPr>
          <w:rFonts w:cs="Arial"/>
          <w:lang w:val="es-ES_tradnl"/>
        </w:rPr>
      </w:pPr>
      <w:r w:rsidRPr="006C649B">
        <w:rPr>
          <w:rFonts w:cs="Arial"/>
          <w:lang w:val="es-ES_tradnl"/>
        </w:rPr>
        <w:t>Con el fin</w:t>
      </w:r>
      <w:r>
        <w:rPr>
          <w:rFonts w:cs="Arial"/>
          <w:lang w:val="es-ES_tradnl"/>
        </w:rPr>
        <w:t xml:space="preserve"> de poner en práctica intervenciones basadas en efectivo a</w:t>
      </w:r>
      <w:r w:rsidRPr="006C649B">
        <w:rPr>
          <w:rFonts w:cs="Arial"/>
          <w:lang w:val="es-ES_tradnl"/>
        </w:rPr>
        <w:t xml:space="preserve"> tiempo y en la escala </w:t>
      </w:r>
      <w:r>
        <w:rPr>
          <w:rFonts w:cs="Arial"/>
          <w:lang w:val="es-ES_tradnl"/>
        </w:rPr>
        <w:t xml:space="preserve">adecuada </w:t>
      </w:r>
      <w:r w:rsidRPr="006C649B">
        <w:rPr>
          <w:rFonts w:cs="Arial"/>
          <w:lang w:val="es-ES_tradnl"/>
        </w:rPr>
        <w:t xml:space="preserve">después de una emergencia, las cuestiones específicas </w:t>
      </w:r>
      <w:r>
        <w:rPr>
          <w:rFonts w:cs="Arial"/>
          <w:lang w:val="es-ES_tradnl"/>
        </w:rPr>
        <w:t xml:space="preserve">relativas a la entrega de efectivo, </w:t>
      </w:r>
      <w:r w:rsidRPr="006C649B">
        <w:rPr>
          <w:rFonts w:cs="Arial"/>
          <w:lang w:val="es-ES_tradnl"/>
        </w:rPr>
        <w:t>deben ser tenidas en cuenta durante todo el proceso de preparación. Esta hoja de rut</w:t>
      </w:r>
      <w:r>
        <w:rPr>
          <w:rFonts w:cs="Arial"/>
          <w:lang w:val="es-ES_tradnl"/>
        </w:rPr>
        <w:t>a se centrará en los procesos para el</w:t>
      </w:r>
      <w:r w:rsidRPr="006C649B">
        <w:rPr>
          <w:rFonts w:cs="Arial"/>
          <w:lang w:val="es-ES_tradnl"/>
        </w:rPr>
        <w:t xml:space="preserve"> desarrollo de las condiciones internas mínimas para </w:t>
      </w:r>
      <w:r>
        <w:rPr>
          <w:rFonts w:cs="Arial"/>
          <w:lang w:val="es-ES_tradnl"/>
        </w:rPr>
        <w:t>incrementar</w:t>
      </w:r>
      <w:r w:rsidRPr="006C649B">
        <w:rPr>
          <w:rFonts w:cs="Arial"/>
          <w:lang w:val="es-ES_tradnl"/>
        </w:rPr>
        <w:t xml:space="preserve"> la preparación </w:t>
      </w:r>
      <w:r>
        <w:rPr>
          <w:rFonts w:cs="Arial"/>
          <w:lang w:val="es-ES_tradnl"/>
        </w:rPr>
        <w:t xml:space="preserve">para </w:t>
      </w:r>
      <w:r w:rsidR="00031303">
        <w:rPr>
          <w:rFonts w:cs="Arial"/>
          <w:lang w:val="es-ES_tradnl"/>
        </w:rPr>
        <w:t>PTE</w:t>
      </w:r>
      <w:r w:rsidRPr="006C649B">
        <w:rPr>
          <w:rFonts w:cs="Arial"/>
          <w:lang w:val="es-ES_tradnl"/>
        </w:rPr>
        <w:t>,</w:t>
      </w:r>
      <w:r w:rsidR="00820EC1">
        <w:rPr>
          <w:rFonts w:cs="Arial"/>
          <w:lang w:val="es-ES_tradnl"/>
        </w:rPr>
        <w:t xml:space="preserve"> para</w:t>
      </w:r>
      <w:r w:rsidRPr="006C649B">
        <w:rPr>
          <w:rFonts w:cs="Arial"/>
          <w:lang w:val="es-ES_tradnl"/>
        </w:rPr>
        <w:t xml:space="preserve"> la incorporación de </w:t>
      </w:r>
      <w:r w:rsidR="00031303">
        <w:rPr>
          <w:rFonts w:cs="Arial"/>
          <w:lang w:val="es-ES_tradnl"/>
        </w:rPr>
        <w:t>PTE</w:t>
      </w:r>
      <w:r w:rsidRPr="006C649B">
        <w:rPr>
          <w:rFonts w:cs="Arial"/>
          <w:lang w:val="es-ES_tradnl"/>
        </w:rPr>
        <w:t xml:space="preserve"> en áreas clave, y </w:t>
      </w:r>
      <w:r w:rsidR="00820EC1">
        <w:rPr>
          <w:rFonts w:cs="Arial"/>
          <w:lang w:val="es-ES_tradnl"/>
        </w:rPr>
        <w:t xml:space="preserve">para </w:t>
      </w:r>
      <w:r w:rsidRPr="006C649B">
        <w:rPr>
          <w:rFonts w:cs="Arial"/>
          <w:lang w:val="es-ES_tradnl"/>
        </w:rPr>
        <w:t>la ejecución</w:t>
      </w:r>
      <w:r w:rsidR="00820EC1">
        <w:rPr>
          <w:rStyle w:val="FootnoteReference"/>
          <w:rFonts w:cs="Arial"/>
          <w:lang w:val="es-ES_tradnl"/>
        </w:rPr>
        <w:footnoteReference w:id="1"/>
      </w:r>
      <w:r w:rsidR="00820EC1">
        <w:rPr>
          <w:rFonts w:cs="Arial"/>
          <w:lang w:val="es-ES_tradnl"/>
        </w:rPr>
        <w:t>/implementación del P</w:t>
      </w:r>
      <w:r w:rsidRPr="006C649B">
        <w:rPr>
          <w:rFonts w:cs="Arial"/>
          <w:lang w:val="es-ES_tradnl"/>
        </w:rPr>
        <w:t xml:space="preserve">lan de </w:t>
      </w:r>
      <w:r w:rsidR="00820EC1">
        <w:rPr>
          <w:rFonts w:cs="Arial"/>
          <w:lang w:val="es-ES_tradnl"/>
        </w:rPr>
        <w:t xml:space="preserve">acción para la </w:t>
      </w:r>
      <w:r w:rsidRPr="006C649B">
        <w:rPr>
          <w:rFonts w:cs="Arial"/>
          <w:lang w:val="es-ES_tradnl"/>
        </w:rPr>
        <w:t xml:space="preserve">preparación </w:t>
      </w:r>
      <w:r w:rsidR="00820EC1">
        <w:rPr>
          <w:rFonts w:cs="Arial"/>
          <w:lang w:val="es-ES_tradnl"/>
        </w:rPr>
        <w:t xml:space="preserve">para </w:t>
      </w:r>
      <w:r w:rsidR="00031303">
        <w:rPr>
          <w:rFonts w:cs="Arial"/>
          <w:lang w:val="es-ES_tradnl"/>
        </w:rPr>
        <w:t>PTE</w:t>
      </w:r>
      <w:r w:rsidR="00820EC1">
        <w:rPr>
          <w:rFonts w:cs="Arial"/>
          <w:lang w:val="es-ES_tradnl"/>
        </w:rPr>
        <w:t xml:space="preserve">. </w:t>
      </w:r>
    </w:p>
    <w:p w14:paraId="35BBA38C" w14:textId="43E12526" w:rsidR="006C649B" w:rsidRDefault="006C649B" w:rsidP="00820EC1">
      <w:pPr>
        <w:rPr>
          <w:rFonts w:cs="Arial"/>
          <w:lang w:val="es-ES_tradnl"/>
        </w:rPr>
      </w:pPr>
      <w:r w:rsidRPr="006C649B">
        <w:rPr>
          <w:rFonts w:cs="Arial"/>
          <w:lang w:val="es-ES_tradnl"/>
        </w:rPr>
        <w:t xml:space="preserve">La estructura de </w:t>
      </w:r>
      <w:r w:rsidR="00820EC1">
        <w:rPr>
          <w:rFonts w:cs="Arial"/>
          <w:lang w:val="es-ES_tradnl"/>
        </w:rPr>
        <w:t xml:space="preserve">la </w:t>
      </w:r>
      <w:r w:rsidRPr="006C649B">
        <w:rPr>
          <w:rFonts w:cs="Arial"/>
          <w:lang w:val="es-ES_tradnl"/>
        </w:rPr>
        <w:t>hoja de ruta refleja la etapa de "</w:t>
      </w:r>
      <w:r w:rsidR="00820EC1">
        <w:rPr>
          <w:rFonts w:cs="Arial"/>
          <w:lang w:val="es-ES_tradnl"/>
        </w:rPr>
        <w:t xml:space="preserve">elaboración y ejecución” </w:t>
      </w:r>
      <w:r w:rsidRPr="006C649B">
        <w:rPr>
          <w:rFonts w:cs="Arial"/>
          <w:lang w:val="es-ES_tradnl"/>
        </w:rPr>
        <w:t xml:space="preserve">de </w:t>
      </w:r>
      <w:r w:rsidR="00820EC1">
        <w:rPr>
          <w:rFonts w:cs="Arial"/>
          <w:lang w:val="es-ES_tradnl"/>
        </w:rPr>
        <w:t xml:space="preserve">las </w:t>
      </w:r>
      <w:r w:rsidR="00820EC1" w:rsidRPr="00820EC1">
        <w:rPr>
          <w:rFonts w:cs="Arial"/>
          <w:i/>
          <w:lang w:val="es-ES_tradnl"/>
        </w:rPr>
        <w:t>Directrices para la preparación y la integración institucional de Programas de transferencias de dinero en efectivo</w:t>
      </w:r>
      <w:r w:rsidR="00820EC1">
        <w:rPr>
          <w:rFonts w:cs="Arial"/>
          <w:lang w:val="es-ES_tradnl"/>
        </w:rPr>
        <w:t xml:space="preserve"> del Movimiento de </w:t>
      </w:r>
      <w:r w:rsidRPr="006C649B">
        <w:rPr>
          <w:rFonts w:cs="Arial"/>
          <w:lang w:val="es-ES_tradnl"/>
        </w:rPr>
        <w:t>la Cruz Roja y de la Media Luna Roja</w:t>
      </w:r>
      <w:r w:rsidR="00820EC1">
        <w:rPr>
          <w:rFonts w:cs="Arial"/>
          <w:lang w:val="es-ES_tradnl"/>
        </w:rPr>
        <w:t xml:space="preserve"> y cubre toda</w:t>
      </w:r>
      <w:r w:rsidRPr="006C649B">
        <w:rPr>
          <w:rFonts w:cs="Arial"/>
          <w:lang w:val="es-ES_tradnl"/>
        </w:rPr>
        <w:t xml:space="preserve">s sus sub-etapas asociadas con </w:t>
      </w:r>
      <w:r w:rsidR="00820EC1">
        <w:rPr>
          <w:rFonts w:cs="Arial"/>
          <w:lang w:val="es-ES_tradnl"/>
        </w:rPr>
        <w:t>herramientas que ayudan</w:t>
      </w:r>
      <w:r w:rsidRPr="006C649B">
        <w:rPr>
          <w:rFonts w:cs="Arial"/>
          <w:lang w:val="es-ES_tradnl"/>
        </w:rPr>
        <w:t xml:space="preserve"> a moverse a lo largo del proceso. Puede </w:t>
      </w:r>
      <w:r w:rsidR="00820EC1">
        <w:rPr>
          <w:rFonts w:cs="Arial"/>
          <w:lang w:val="es-ES_tradnl"/>
        </w:rPr>
        <w:t xml:space="preserve">que </w:t>
      </w:r>
      <w:r w:rsidRPr="006C649B">
        <w:rPr>
          <w:rFonts w:cs="Arial"/>
          <w:lang w:val="es-ES_tradnl"/>
        </w:rPr>
        <w:t>no se</w:t>
      </w:r>
      <w:r w:rsidR="00820EC1">
        <w:rPr>
          <w:rFonts w:cs="Arial"/>
          <w:lang w:val="es-ES_tradnl"/>
        </w:rPr>
        <w:t xml:space="preserve"> puedan </w:t>
      </w:r>
      <w:r w:rsidRPr="006C649B">
        <w:rPr>
          <w:rFonts w:cs="Arial"/>
          <w:lang w:val="es-ES_tradnl"/>
        </w:rPr>
        <w:t xml:space="preserve">utilizar todas las herramientas sugeridas, pero al menos </w:t>
      </w:r>
      <w:r w:rsidR="00820EC1">
        <w:rPr>
          <w:rFonts w:cs="Arial"/>
          <w:lang w:val="es-ES_tradnl"/>
        </w:rPr>
        <w:t xml:space="preserve">se </w:t>
      </w:r>
      <w:r w:rsidRPr="006C649B">
        <w:rPr>
          <w:rFonts w:cs="Arial"/>
          <w:lang w:val="es-ES_tradnl"/>
        </w:rPr>
        <w:t>debe cumplir con los estándares mínimos establecidos para el proceso.</w:t>
      </w:r>
    </w:p>
    <w:p w14:paraId="54F4469D" w14:textId="578BBBF2" w:rsidR="00DC11CA" w:rsidRPr="006C649B" w:rsidRDefault="00031303" w:rsidP="00DD01F6">
      <w:pPr>
        <w:pStyle w:val="Heading2"/>
        <w:rPr>
          <w:rFonts w:cs="Arial"/>
          <w:lang w:val="es-ES_tradnl"/>
        </w:rPr>
      </w:pPr>
      <w:r>
        <w:rPr>
          <w:rFonts w:cs="Arial"/>
          <w:lang w:val="es-ES_tradnl"/>
        </w:rPr>
        <w:lastRenderedPageBreak/>
        <w:t>ESTáNDARE</w:t>
      </w:r>
      <w:r w:rsidRPr="006C649B">
        <w:rPr>
          <w:rFonts w:cs="Arial"/>
          <w:lang w:val="es-ES_tradnl"/>
        </w:rPr>
        <w:t xml:space="preserve">S </w:t>
      </w:r>
      <w:r>
        <w:rPr>
          <w:rFonts w:cs="Arial"/>
          <w:lang w:val="es-ES_tradnl"/>
        </w:rPr>
        <w:t>Mí</w:t>
      </w:r>
      <w:r w:rsidR="00DC11CA" w:rsidRPr="006C649B">
        <w:rPr>
          <w:rFonts w:cs="Arial"/>
          <w:lang w:val="es-ES_tradnl"/>
        </w:rPr>
        <w:t>NIM</w:t>
      </w:r>
      <w:r>
        <w:rPr>
          <w:rFonts w:cs="Arial"/>
          <w:lang w:val="es-ES_tradnl"/>
        </w:rPr>
        <w:t>OS</w:t>
      </w:r>
      <w:r w:rsidR="00DC11CA" w:rsidRPr="006C649B">
        <w:rPr>
          <w:rFonts w:cs="Arial"/>
          <w:lang w:val="es-ES_tradnl"/>
        </w:rPr>
        <w:t xml:space="preserve"> </w:t>
      </w:r>
    </w:p>
    <w:p w14:paraId="6685AE2C" w14:textId="128B036A" w:rsidR="00031303" w:rsidRPr="00031303" w:rsidRDefault="00031303" w:rsidP="00031303">
      <w:pPr>
        <w:pStyle w:val="Bullet1"/>
        <w:rPr>
          <w:lang w:val="es-ES_tradnl"/>
        </w:rPr>
      </w:pPr>
      <w:r w:rsidRPr="00031303">
        <w:rPr>
          <w:lang w:val="es-ES_tradnl"/>
        </w:rPr>
        <w:t xml:space="preserve">Un punto focal </w:t>
      </w:r>
      <w:r w:rsidR="00300351">
        <w:rPr>
          <w:lang w:val="es-ES_tradnl"/>
        </w:rPr>
        <w:t xml:space="preserve">para </w:t>
      </w:r>
      <w:r>
        <w:rPr>
          <w:lang w:val="es-ES_tradnl"/>
        </w:rPr>
        <w:t>PTE</w:t>
      </w:r>
      <w:r w:rsidRPr="00031303">
        <w:rPr>
          <w:lang w:val="es-ES_tradnl"/>
        </w:rPr>
        <w:t xml:space="preserve"> debe ser designado al comienzo del proceso de preparación.</w:t>
      </w:r>
    </w:p>
    <w:p w14:paraId="3177B337" w14:textId="799CDA9D" w:rsidR="00031303" w:rsidRPr="00031303" w:rsidRDefault="00031303" w:rsidP="00031303">
      <w:pPr>
        <w:pStyle w:val="Bullet1"/>
        <w:rPr>
          <w:lang w:val="es-ES_tradnl"/>
        </w:rPr>
      </w:pPr>
      <w:r w:rsidRPr="00031303">
        <w:rPr>
          <w:lang w:val="es-ES_tradnl"/>
        </w:rPr>
        <w:t>Un grupo de trabajo técnico</w:t>
      </w:r>
      <w:r w:rsidR="000B0070">
        <w:rPr>
          <w:lang w:val="es-ES_tradnl"/>
        </w:rPr>
        <w:t>(GTT)</w:t>
      </w:r>
      <w:r w:rsidRPr="00031303">
        <w:rPr>
          <w:lang w:val="es-ES_tradnl"/>
        </w:rPr>
        <w:t xml:space="preserve"> </w:t>
      </w:r>
      <w:r>
        <w:rPr>
          <w:lang w:val="es-ES_tradnl"/>
        </w:rPr>
        <w:t>para PTE</w:t>
      </w:r>
      <w:r w:rsidRPr="00031303">
        <w:rPr>
          <w:lang w:val="es-ES_tradnl"/>
        </w:rPr>
        <w:t xml:space="preserve">, formado por representantes de todos los departamentos implicados en la entrega </w:t>
      </w:r>
      <w:r>
        <w:rPr>
          <w:lang w:val="es-ES_tradnl"/>
        </w:rPr>
        <w:t>PTE debe</w:t>
      </w:r>
      <w:r w:rsidRPr="00031303">
        <w:rPr>
          <w:lang w:val="es-ES_tradnl"/>
        </w:rPr>
        <w:t xml:space="preserve"> ser establecidos bajo la dirección del punto focal </w:t>
      </w:r>
      <w:r>
        <w:rPr>
          <w:lang w:val="es-ES_tradnl"/>
        </w:rPr>
        <w:t>PTE</w:t>
      </w:r>
      <w:r w:rsidRPr="00031303">
        <w:rPr>
          <w:lang w:val="es-ES_tradnl"/>
        </w:rPr>
        <w:t>.</w:t>
      </w:r>
    </w:p>
    <w:p w14:paraId="582307AA" w14:textId="68B6AA58" w:rsidR="00031303" w:rsidRPr="00031303" w:rsidRDefault="00031303" w:rsidP="00031303">
      <w:pPr>
        <w:pStyle w:val="Bullet1"/>
        <w:rPr>
          <w:lang w:val="es-ES_tradnl"/>
        </w:rPr>
      </w:pPr>
      <w:r w:rsidRPr="00031303">
        <w:rPr>
          <w:lang w:val="es-ES_tradnl"/>
        </w:rPr>
        <w:t>El grupo de trabajo técnico para PTE deberí</w:t>
      </w:r>
      <w:r>
        <w:rPr>
          <w:lang w:val="es-ES_tradnl"/>
        </w:rPr>
        <w:t>a liderar el desarrollo de un P</w:t>
      </w:r>
      <w:r w:rsidRPr="00031303">
        <w:rPr>
          <w:lang w:val="es-ES_tradnl"/>
        </w:rPr>
        <w:t xml:space="preserve">lan de </w:t>
      </w:r>
      <w:r>
        <w:rPr>
          <w:lang w:val="es-ES_tradnl"/>
        </w:rPr>
        <w:t>acción para preparación para PTE que incluya</w:t>
      </w:r>
      <w:r w:rsidRPr="00031303">
        <w:rPr>
          <w:lang w:val="es-ES_tradnl"/>
        </w:rPr>
        <w:t xml:space="preserve"> actividades, </w:t>
      </w:r>
      <w:r>
        <w:rPr>
          <w:lang w:val="es-ES_tradnl"/>
        </w:rPr>
        <w:t>resultados</w:t>
      </w:r>
      <w:r w:rsidRPr="00031303">
        <w:rPr>
          <w:lang w:val="es-ES_tradnl"/>
        </w:rPr>
        <w:t>, indicadores, responsabilidades, plazos y presupuesto.</w:t>
      </w:r>
    </w:p>
    <w:p w14:paraId="52E9F7EC" w14:textId="475112AB" w:rsidR="00031303" w:rsidRPr="00031303" w:rsidRDefault="00031303" w:rsidP="00031303">
      <w:pPr>
        <w:pStyle w:val="Bullet1"/>
        <w:rPr>
          <w:lang w:val="es-ES_tradnl"/>
        </w:rPr>
      </w:pPr>
      <w:r>
        <w:rPr>
          <w:lang w:val="es-ES_tradnl"/>
        </w:rPr>
        <w:t xml:space="preserve">El </w:t>
      </w:r>
      <w:r w:rsidRPr="00031303">
        <w:rPr>
          <w:lang w:val="es-ES_tradnl"/>
        </w:rPr>
        <w:t xml:space="preserve">grupo de trabajo técnico para PTE debería </w:t>
      </w:r>
      <w:r>
        <w:rPr>
          <w:lang w:val="es-ES_tradnl"/>
        </w:rPr>
        <w:t xml:space="preserve">liderar la elaboración de </w:t>
      </w:r>
      <w:r w:rsidRPr="00031303">
        <w:rPr>
          <w:lang w:val="es-ES_tradnl"/>
        </w:rPr>
        <w:t xml:space="preserve">procedimientos </w:t>
      </w:r>
      <w:r>
        <w:rPr>
          <w:lang w:val="es-ES_tradnl"/>
        </w:rPr>
        <w:t>operativos estándares para PTE</w:t>
      </w:r>
      <w:r w:rsidRPr="00031303">
        <w:rPr>
          <w:lang w:val="es-ES_tradnl"/>
        </w:rPr>
        <w:t>.</w:t>
      </w:r>
    </w:p>
    <w:p w14:paraId="74D8F98A" w14:textId="030220BE" w:rsidR="00031303" w:rsidRPr="00031303" w:rsidRDefault="00031303" w:rsidP="00031303">
      <w:pPr>
        <w:pStyle w:val="Bullet1"/>
        <w:rPr>
          <w:lang w:val="es-ES_tradnl"/>
        </w:rPr>
      </w:pPr>
      <w:r>
        <w:rPr>
          <w:lang w:val="es-ES_tradnl"/>
        </w:rPr>
        <w:t>Los PTE</w:t>
      </w:r>
      <w:r w:rsidRPr="00031303">
        <w:rPr>
          <w:lang w:val="es-ES_tradnl"/>
        </w:rPr>
        <w:t xml:space="preserve"> debe</w:t>
      </w:r>
      <w:r>
        <w:rPr>
          <w:lang w:val="es-ES_tradnl"/>
        </w:rPr>
        <w:t>n</w:t>
      </w:r>
      <w:r w:rsidRPr="00031303">
        <w:rPr>
          <w:lang w:val="es-ES_tradnl"/>
        </w:rPr>
        <w:t xml:space="preserve"> integrarse en </w:t>
      </w:r>
      <w:r>
        <w:rPr>
          <w:lang w:val="es-ES_tradnl"/>
        </w:rPr>
        <w:t xml:space="preserve">el Plan </w:t>
      </w:r>
      <w:r w:rsidRPr="00031303">
        <w:rPr>
          <w:lang w:val="es-ES_tradnl"/>
        </w:rPr>
        <w:t>estratégic</w:t>
      </w:r>
      <w:r>
        <w:rPr>
          <w:lang w:val="es-ES_tradnl"/>
        </w:rPr>
        <w:t>o</w:t>
      </w:r>
      <w:r w:rsidRPr="00031303">
        <w:rPr>
          <w:lang w:val="es-ES_tradnl"/>
        </w:rPr>
        <w:t xml:space="preserve">, planes de contingencia y respuesta, </w:t>
      </w:r>
      <w:r>
        <w:rPr>
          <w:lang w:val="es-ES_tradnl"/>
        </w:rPr>
        <w:t xml:space="preserve">e </w:t>
      </w:r>
      <w:r w:rsidRPr="00031303">
        <w:rPr>
          <w:lang w:val="es-ES_tradnl"/>
        </w:rPr>
        <w:t>inclui</w:t>
      </w:r>
      <w:r>
        <w:rPr>
          <w:lang w:val="es-ES_tradnl"/>
        </w:rPr>
        <w:t>r</w:t>
      </w:r>
      <w:r w:rsidRPr="00031303">
        <w:rPr>
          <w:lang w:val="es-ES_tradnl"/>
        </w:rPr>
        <w:t xml:space="preserve"> los recurso</w:t>
      </w:r>
      <w:r>
        <w:rPr>
          <w:lang w:val="es-ES_tradnl"/>
        </w:rPr>
        <w:t>s humanos, finanzas, monitoreo</w:t>
      </w:r>
      <w:r w:rsidRPr="00031303">
        <w:rPr>
          <w:lang w:val="es-ES_tradnl"/>
        </w:rPr>
        <w:t xml:space="preserve"> y evaluación, y la movilización de recursos.</w:t>
      </w:r>
    </w:p>
    <w:p w14:paraId="42EA170C" w14:textId="18D5D78B" w:rsidR="00031303" w:rsidRPr="00031303" w:rsidRDefault="00031303" w:rsidP="00031303">
      <w:pPr>
        <w:pStyle w:val="Bullet1"/>
        <w:rPr>
          <w:lang w:val="es-ES_tradnl"/>
        </w:rPr>
      </w:pPr>
      <w:r>
        <w:rPr>
          <w:lang w:val="es-ES_tradnl"/>
        </w:rPr>
        <w:t>D</w:t>
      </w:r>
      <w:r w:rsidRPr="00031303">
        <w:rPr>
          <w:lang w:val="es-ES_tradnl"/>
        </w:rPr>
        <w:t xml:space="preserve">eben llevarse a cabo simulaciones o pilotos para probar la </w:t>
      </w:r>
      <w:r>
        <w:rPr>
          <w:lang w:val="es-ES_tradnl"/>
        </w:rPr>
        <w:t xml:space="preserve">capacidad </w:t>
      </w:r>
      <w:r w:rsidRPr="00031303">
        <w:rPr>
          <w:lang w:val="es-ES_tradnl"/>
        </w:rPr>
        <w:t xml:space="preserve">operacional </w:t>
      </w:r>
      <w:r>
        <w:rPr>
          <w:lang w:val="es-ES_tradnl"/>
        </w:rPr>
        <w:t>en PTE</w:t>
      </w:r>
      <w:r w:rsidRPr="00031303">
        <w:rPr>
          <w:lang w:val="es-ES_tradnl"/>
        </w:rPr>
        <w:t xml:space="preserve">, </w:t>
      </w:r>
      <w:r>
        <w:rPr>
          <w:lang w:val="es-ES_tradnl"/>
        </w:rPr>
        <w:t xml:space="preserve">que </w:t>
      </w:r>
      <w:r w:rsidRPr="00031303">
        <w:rPr>
          <w:lang w:val="es-ES_tradnl"/>
        </w:rPr>
        <w:t>se debe</w:t>
      </w:r>
      <w:r>
        <w:rPr>
          <w:lang w:val="es-ES_tradnl"/>
        </w:rPr>
        <w:t>n</w:t>
      </w:r>
      <w:r w:rsidRPr="00031303">
        <w:rPr>
          <w:lang w:val="es-ES_tradnl"/>
        </w:rPr>
        <w:t xml:space="preserve"> repetir </w:t>
      </w:r>
      <w:r>
        <w:rPr>
          <w:lang w:val="es-ES_tradnl"/>
        </w:rPr>
        <w:t xml:space="preserve">a lo largo </w:t>
      </w:r>
      <w:r w:rsidRPr="00031303">
        <w:rPr>
          <w:lang w:val="es-ES_tradnl"/>
        </w:rPr>
        <w:t>del tiempo.</w:t>
      </w:r>
    </w:p>
    <w:p w14:paraId="29830133" w14:textId="25E8DD38" w:rsidR="00031303" w:rsidRPr="00031303" w:rsidRDefault="00031303" w:rsidP="00031303">
      <w:pPr>
        <w:pStyle w:val="Bullet1"/>
        <w:rPr>
          <w:lang w:val="es-ES_tradnl"/>
        </w:rPr>
      </w:pPr>
      <w:r>
        <w:rPr>
          <w:lang w:val="es-ES_tradnl"/>
        </w:rPr>
        <w:t xml:space="preserve">La </w:t>
      </w:r>
      <w:r w:rsidRPr="00031303">
        <w:rPr>
          <w:lang w:val="es-ES_tradnl"/>
        </w:rPr>
        <w:t xml:space="preserve">coordinación </w:t>
      </w:r>
      <w:r>
        <w:rPr>
          <w:lang w:val="es-ES_tradnl"/>
        </w:rPr>
        <w:t>sobre PTE</w:t>
      </w:r>
      <w:r w:rsidRPr="00031303">
        <w:rPr>
          <w:lang w:val="es-ES_tradnl"/>
        </w:rPr>
        <w:t xml:space="preserve"> debe tener lugar internamente y,</w:t>
      </w:r>
      <w:r w:rsidR="00300351">
        <w:rPr>
          <w:lang w:val="es-ES_tradnl"/>
        </w:rPr>
        <w:t xml:space="preserve"> también, debe involucrar a </w:t>
      </w:r>
      <w:r w:rsidRPr="00031303">
        <w:rPr>
          <w:lang w:val="es-ES_tradnl"/>
        </w:rPr>
        <w:t>actores externos, como los gobiernos, los donantes y otros organismos humanitarios.</w:t>
      </w:r>
    </w:p>
    <w:p w14:paraId="3A45D4F2" w14:textId="53A5E33A" w:rsidR="00F950FD" w:rsidRPr="006C649B" w:rsidRDefault="00300351" w:rsidP="00031303">
      <w:pPr>
        <w:pStyle w:val="Bullet1"/>
        <w:rPr>
          <w:lang w:val="es-ES_tradnl"/>
        </w:rPr>
      </w:pPr>
      <w:r>
        <w:rPr>
          <w:lang w:val="es-ES_tradnl"/>
        </w:rPr>
        <w:t xml:space="preserve">Los </w:t>
      </w:r>
      <w:r w:rsidR="00031303">
        <w:rPr>
          <w:lang w:val="es-ES_tradnl"/>
        </w:rPr>
        <w:t>PTE</w:t>
      </w:r>
      <w:r w:rsidR="00031303" w:rsidRPr="00031303">
        <w:rPr>
          <w:lang w:val="es-ES_tradnl"/>
        </w:rPr>
        <w:t xml:space="preserve"> debe</w:t>
      </w:r>
      <w:r>
        <w:rPr>
          <w:lang w:val="es-ES_tradnl"/>
        </w:rPr>
        <w:t>n</w:t>
      </w:r>
      <w:r w:rsidR="00031303" w:rsidRPr="00031303">
        <w:rPr>
          <w:lang w:val="es-ES_tradnl"/>
        </w:rPr>
        <w:t xml:space="preserve"> integrarse en la estrategi</w:t>
      </w:r>
      <w:r>
        <w:rPr>
          <w:lang w:val="es-ES_tradnl"/>
        </w:rPr>
        <w:t>a y los planes de comunicación</w:t>
      </w:r>
      <w:r w:rsidR="00031303" w:rsidRPr="00031303">
        <w:rPr>
          <w:lang w:val="es-ES_tradnl"/>
        </w:rPr>
        <w:t xml:space="preserve"> regulares, sobre todo en </w:t>
      </w:r>
      <w:r>
        <w:rPr>
          <w:lang w:val="es-ES_tradnl"/>
        </w:rPr>
        <w:t xml:space="preserve">la </w:t>
      </w:r>
      <w:r w:rsidR="00031303" w:rsidRPr="00031303">
        <w:rPr>
          <w:lang w:val="es-ES_tradnl"/>
        </w:rPr>
        <w:t>comunicación</w:t>
      </w:r>
      <w:r>
        <w:rPr>
          <w:lang w:val="es-ES_tradnl"/>
        </w:rPr>
        <w:t xml:space="preserve"> con los</w:t>
      </w:r>
      <w:r w:rsidRPr="00031303">
        <w:rPr>
          <w:lang w:val="es-ES_tradnl"/>
        </w:rPr>
        <w:t xml:space="preserve"> beneficiarios</w:t>
      </w:r>
      <w:r w:rsidR="00031303" w:rsidRPr="00031303">
        <w:rPr>
          <w:lang w:val="es-ES_tradnl"/>
        </w:rPr>
        <w:t xml:space="preserve"> y los sistemas de rendición de cuentas.</w:t>
      </w:r>
    </w:p>
    <w:p w14:paraId="5D19DEB3" w14:textId="709F6480" w:rsidR="002F04B7" w:rsidRPr="006C649B" w:rsidRDefault="002F04B7" w:rsidP="00DD01F6">
      <w:pPr>
        <w:pStyle w:val="Heading2"/>
        <w:rPr>
          <w:rFonts w:cs="Arial"/>
          <w:w w:val="102"/>
          <w:lang w:val="es-ES_tradnl"/>
        </w:rPr>
      </w:pPr>
      <w:r w:rsidRPr="006C649B">
        <w:rPr>
          <w:rFonts w:cs="Arial"/>
          <w:w w:val="102"/>
          <w:lang w:val="es-ES_tradnl"/>
        </w:rPr>
        <w:t>SUB-</w:t>
      </w:r>
      <w:r w:rsidR="00300351">
        <w:rPr>
          <w:rFonts w:cs="Arial"/>
          <w:w w:val="102"/>
          <w:lang w:val="es-ES_tradnl"/>
        </w:rPr>
        <w:t xml:space="preserve"> etapas y herramientas</w:t>
      </w:r>
    </w:p>
    <w:p w14:paraId="1369250E" w14:textId="0826FE10" w:rsidR="00AD05AA" w:rsidRPr="006C649B" w:rsidRDefault="00300351" w:rsidP="00290958">
      <w:pPr>
        <w:pStyle w:val="Heading3"/>
        <w:rPr>
          <w:rFonts w:cs="Arial"/>
          <w:lang w:val="es-ES_tradnl"/>
        </w:rPr>
      </w:pPr>
      <w:r>
        <w:rPr>
          <w:rFonts w:cs="Arial"/>
          <w:lang w:val="es-ES_tradnl"/>
        </w:rPr>
        <w:t>La Sociedad Nacional debe designar u</w:t>
      </w:r>
      <w:r w:rsidRPr="00031303">
        <w:rPr>
          <w:lang w:val="es-ES_tradnl"/>
        </w:rPr>
        <w:t xml:space="preserve">n punto focal </w:t>
      </w:r>
      <w:r>
        <w:rPr>
          <w:lang w:val="es-ES_tradnl"/>
        </w:rPr>
        <w:t>para PTE</w:t>
      </w:r>
      <w:r w:rsidRPr="00031303">
        <w:rPr>
          <w:lang w:val="es-ES_tradnl"/>
        </w:rPr>
        <w:t xml:space="preserve"> </w:t>
      </w:r>
      <w:r w:rsidR="00AD05AA" w:rsidRPr="006C649B">
        <w:rPr>
          <w:rFonts w:cs="Arial"/>
          <w:lang w:val="es-ES_tradnl"/>
        </w:rPr>
        <w:t xml:space="preserve"> </w:t>
      </w:r>
    </w:p>
    <w:p w14:paraId="3D66E19D" w14:textId="46FDA402" w:rsidR="00300351" w:rsidRPr="00300351" w:rsidRDefault="00300351" w:rsidP="00D249AE">
      <w:pPr>
        <w:rPr>
          <w:rFonts w:cs="Arial"/>
          <w:lang w:val="es-ES_tradnl"/>
        </w:rPr>
      </w:pPr>
      <w:r w:rsidRPr="00300351">
        <w:rPr>
          <w:rFonts w:cs="Arial"/>
          <w:lang w:val="es-ES_tradnl"/>
        </w:rPr>
        <w:t xml:space="preserve">La decisión de fortalecer </w:t>
      </w:r>
      <w:r>
        <w:rPr>
          <w:rFonts w:cs="Arial"/>
          <w:lang w:val="es-ES_tradnl"/>
        </w:rPr>
        <w:t xml:space="preserve">la capacidad en </w:t>
      </w:r>
      <w:r w:rsidRPr="00300351">
        <w:rPr>
          <w:rFonts w:cs="Arial"/>
          <w:lang w:val="es-ES_tradnl"/>
        </w:rPr>
        <w:t xml:space="preserve">PTE </w:t>
      </w:r>
      <w:r>
        <w:rPr>
          <w:rFonts w:cs="Arial"/>
          <w:lang w:val="es-ES_tradnl"/>
        </w:rPr>
        <w:t>debe ser seguida</w:t>
      </w:r>
      <w:r w:rsidRPr="00300351">
        <w:rPr>
          <w:rFonts w:cs="Arial"/>
          <w:lang w:val="es-ES_tradnl"/>
        </w:rPr>
        <w:t xml:space="preserve"> por la designación de un punto focal </w:t>
      </w:r>
      <w:r>
        <w:rPr>
          <w:rFonts w:cs="Arial"/>
          <w:lang w:val="es-ES_tradnl"/>
        </w:rPr>
        <w:t xml:space="preserve">para </w:t>
      </w:r>
      <w:r w:rsidRPr="00300351">
        <w:rPr>
          <w:rFonts w:cs="Arial"/>
          <w:lang w:val="es-ES_tradnl"/>
        </w:rPr>
        <w:t>PT</w:t>
      </w:r>
      <w:r>
        <w:rPr>
          <w:rFonts w:cs="Arial"/>
          <w:lang w:val="es-ES_tradnl"/>
        </w:rPr>
        <w:t>E. Esta persona va a promover los PTE, aumentar el nivel de involucración y compromiso y la apropiación, así como</w:t>
      </w:r>
      <w:r w:rsidRPr="00300351">
        <w:rPr>
          <w:rFonts w:cs="Arial"/>
          <w:lang w:val="es-ES_tradnl"/>
        </w:rPr>
        <w:t xml:space="preserve"> establecer una coordinación y comunicación ef</w:t>
      </w:r>
      <w:r>
        <w:rPr>
          <w:rFonts w:cs="Arial"/>
          <w:lang w:val="es-ES_tradnl"/>
        </w:rPr>
        <w:t>icaz. Ella o él dirigirá el grupo de trabajo t</w:t>
      </w:r>
      <w:r w:rsidRPr="00300351">
        <w:rPr>
          <w:rFonts w:cs="Arial"/>
          <w:lang w:val="es-ES_tradnl"/>
        </w:rPr>
        <w:t xml:space="preserve">écnico </w:t>
      </w:r>
      <w:r>
        <w:rPr>
          <w:rFonts w:cs="Arial"/>
          <w:lang w:val="es-ES_tradnl"/>
        </w:rPr>
        <w:t xml:space="preserve">para </w:t>
      </w:r>
      <w:r w:rsidRPr="00300351">
        <w:rPr>
          <w:rFonts w:cs="Arial"/>
          <w:lang w:val="es-ES_tradnl"/>
        </w:rPr>
        <w:t>PTE</w:t>
      </w:r>
      <w:r>
        <w:rPr>
          <w:rFonts w:cs="Arial"/>
          <w:lang w:val="es-ES_tradnl"/>
        </w:rPr>
        <w:t>, y actuará</w:t>
      </w:r>
      <w:r w:rsidRPr="00300351">
        <w:rPr>
          <w:rFonts w:cs="Arial"/>
          <w:lang w:val="es-ES_tradnl"/>
        </w:rPr>
        <w:t xml:space="preserve"> como un </w:t>
      </w:r>
      <w:r>
        <w:rPr>
          <w:rFonts w:cs="Arial"/>
          <w:lang w:val="es-ES_tradnl"/>
        </w:rPr>
        <w:t>promotor</w:t>
      </w:r>
      <w:r w:rsidRPr="00300351">
        <w:rPr>
          <w:rFonts w:cs="Arial"/>
          <w:lang w:val="es-ES_tradnl"/>
        </w:rPr>
        <w:t xml:space="preserve"> interno y externo para </w:t>
      </w:r>
      <w:r>
        <w:rPr>
          <w:rFonts w:cs="Arial"/>
          <w:lang w:val="es-ES_tradnl"/>
        </w:rPr>
        <w:t xml:space="preserve">los </w:t>
      </w:r>
      <w:r w:rsidRPr="00300351">
        <w:rPr>
          <w:rFonts w:cs="Arial"/>
          <w:lang w:val="es-ES_tradnl"/>
        </w:rPr>
        <w:t xml:space="preserve">PTE, participando en reuniones y redes </w:t>
      </w:r>
      <w:r>
        <w:rPr>
          <w:rFonts w:cs="Arial"/>
          <w:lang w:val="es-ES_tradnl"/>
        </w:rPr>
        <w:t xml:space="preserve">de </w:t>
      </w:r>
      <w:r w:rsidRPr="00300351">
        <w:rPr>
          <w:rFonts w:cs="Arial"/>
          <w:lang w:val="es-ES_tradnl"/>
        </w:rPr>
        <w:t>PTE, grupos de trabajo técnicos interinstitucionales, reuniones de donantes, reuniones regionales e intern</w:t>
      </w:r>
      <w:r>
        <w:rPr>
          <w:rFonts w:cs="Arial"/>
          <w:lang w:val="es-ES_tradnl"/>
        </w:rPr>
        <w:t>acionales, según proceda. La caja</w:t>
      </w:r>
      <w:r w:rsidRPr="00300351">
        <w:rPr>
          <w:rFonts w:cs="Arial"/>
          <w:lang w:val="es-ES_tradnl"/>
        </w:rPr>
        <w:t xml:space="preserve"> de herramientas </w:t>
      </w:r>
      <w:r>
        <w:rPr>
          <w:rFonts w:cs="Arial"/>
          <w:lang w:val="es-ES_tradnl"/>
        </w:rPr>
        <w:t xml:space="preserve">pone a disposición un modelo de </w:t>
      </w:r>
      <w:proofErr w:type="spellStart"/>
      <w:r w:rsidRPr="00300351">
        <w:rPr>
          <w:rFonts w:cs="Arial"/>
          <w:lang w:val="es-ES_tradnl"/>
        </w:rPr>
        <w:t>TdR</w:t>
      </w:r>
      <w:proofErr w:type="spellEnd"/>
      <w:r w:rsidRPr="00300351">
        <w:rPr>
          <w:rFonts w:cs="Arial"/>
          <w:lang w:val="es-ES_tradnl"/>
        </w:rPr>
        <w:t xml:space="preserve"> para un punto focal </w:t>
      </w:r>
      <w:r>
        <w:rPr>
          <w:rFonts w:cs="Arial"/>
          <w:lang w:val="es-ES_tradnl"/>
        </w:rPr>
        <w:t xml:space="preserve">para </w:t>
      </w:r>
      <w:r w:rsidRPr="00300351">
        <w:rPr>
          <w:rFonts w:cs="Arial"/>
          <w:lang w:val="es-ES_tradnl"/>
        </w:rPr>
        <w:t>PTE.</w:t>
      </w:r>
    </w:p>
    <w:p w14:paraId="663B9484" w14:textId="4F459777" w:rsidR="004B33D9" w:rsidRPr="006C649B" w:rsidRDefault="004B33D9" w:rsidP="00290958">
      <w:pPr>
        <w:pStyle w:val="Heading3"/>
        <w:rPr>
          <w:rFonts w:cs="Arial"/>
          <w:lang w:val="es-ES_tradnl"/>
        </w:rPr>
      </w:pPr>
      <w:r w:rsidRPr="006C649B">
        <w:rPr>
          <w:rFonts w:cs="Arial"/>
          <w:lang w:val="es-ES_tradnl"/>
        </w:rPr>
        <w:t>Establ</w:t>
      </w:r>
      <w:r w:rsidR="00300351">
        <w:rPr>
          <w:rFonts w:cs="Arial"/>
          <w:lang w:val="es-ES_tradnl"/>
        </w:rPr>
        <w:t>ecer un grupo de trabajo t</w:t>
      </w:r>
      <w:r w:rsidR="000B0070">
        <w:rPr>
          <w:rFonts w:cs="Arial"/>
          <w:lang w:val="es-ES_tradnl"/>
        </w:rPr>
        <w:t>écnico para</w:t>
      </w:r>
      <w:r w:rsidR="00300351">
        <w:rPr>
          <w:rFonts w:cs="Arial"/>
          <w:lang w:val="es-ES_tradnl"/>
        </w:rPr>
        <w:t xml:space="preserve"> </w:t>
      </w:r>
      <w:r w:rsidR="00031303">
        <w:rPr>
          <w:rFonts w:cs="Arial"/>
          <w:lang w:val="es-ES_tradnl"/>
        </w:rPr>
        <w:t>PTE</w:t>
      </w:r>
      <w:r w:rsidRPr="006C649B">
        <w:rPr>
          <w:rFonts w:cs="Arial"/>
          <w:lang w:val="es-ES_tradnl"/>
        </w:rPr>
        <w:t xml:space="preserve"> </w:t>
      </w:r>
    </w:p>
    <w:p w14:paraId="246D9E52" w14:textId="7AB35CA4" w:rsidR="000B0070" w:rsidRDefault="000B0070" w:rsidP="00D249AE">
      <w:pPr>
        <w:rPr>
          <w:rFonts w:cs="Arial"/>
          <w:lang w:val="es-ES_tradnl" w:eastAsia="en-GB"/>
        </w:rPr>
      </w:pPr>
      <w:r>
        <w:rPr>
          <w:rFonts w:cs="Arial"/>
          <w:lang w:val="es-ES_tradnl" w:eastAsia="en-GB"/>
        </w:rPr>
        <w:t xml:space="preserve">Se debe conformar un </w:t>
      </w:r>
      <w:r w:rsidRPr="000B0070">
        <w:rPr>
          <w:rFonts w:cs="Arial"/>
          <w:lang w:val="es-ES_tradnl" w:eastAsia="en-GB"/>
        </w:rPr>
        <w:t xml:space="preserve">grupo de trabajo técnico para PTE </w:t>
      </w:r>
      <w:r>
        <w:rPr>
          <w:rFonts w:cs="Arial"/>
          <w:lang w:val="es-ES_tradnl" w:eastAsia="en-GB"/>
        </w:rPr>
        <w:t>que</w:t>
      </w:r>
      <w:r w:rsidRPr="000B0070">
        <w:rPr>
          <w:rFonts w:cs="Arial"/>
          <w:lang w:val="es-ES_tradnl" w:eastAsia="en-GB"/>
        </w:rPr>
        <w:t xml:space="preserve"> debe trabajar para identificar y acordar las actividades </w:t>
      </w:r>
      <w:r>
        <w:rPr>
          <w:rFonts w:cs="Arial"/>
          <w:lang w:val="es-ES_tradnl" w:eastAsia="en-GB"/>
        </w:rPr>
        <w:t>que se incluirán en el Plan de a</w:t>
      </w:r>
      <w:r w:rsidRPr="000B0070">
        <w:rPr>
          <w:rFonts w:cs="Arial"/>
          <w:lang w:val="es-ES_tradnl" w:eastAsia="en-GB"/>
        </w:rPr>
        <w:t>cción. El GTT será</w:t>
      </w:r>
      <w:r>
        <w:rPr>
          <w:rFonts w:cs="Arial"/>
          <w:lang w:val="es-ES_tradnl" w:eastAsia="en-GB"/>
        </w:rPr>
        <w:t xml:space="preserve"> dirigido por el punto focal para PTE</w:t>
      </w:r>
      <w:r w:rsidRPr="000B0070">
        <w:rPr>
          <w:rFonts w:cs="Arial"/>
          <w:lang w:val="es-ES_tradnl" w:eastAsia="en-GB"/>
        </w:rPr>
        <w:t xml:space="preserve"> y se compone de representantes apropiados de todos los departamentos que estarán involucrados en l</w:t>
      </w:r>
      <w:r>
        <w:rPr>
          <w:rFonts w:cs="Arial"/>
          <w:lang w:val="es-ES_tradnl" w:eastAsia="en-GB"/>
        </w:rPr>
        <w:t>os PTE. Miembros de la junta, altos directivos de</w:t>
      </w:r>
      <w:r w:rsidRPr="000B0070">
        <w:rPr>
          <w:rFonts w:cs="Arial"/>
          <w:lang w:val="es-ES_tradnl" w:eastAsia="en-GB"/>
        </w:rPr>
        <w:t xml:space="preserve"> programas o </w:t>
      </w:r>
      <w:r>
        <w:rPr>
          <w:rFonts w:cs="Arial"/>
          <w:lang w:val="es-ES_tradnl" w:eastAsia="en-GB"/>
        </w:rPr>
        <w:t xml:space="preserve">de los </w:t>
      </w:r>
      <w:r w:rsidRPr="000B0070">
        <w:rPr>
          <w:rFonts w:cs="Arial"/>
          <w:lang w:val="es-ES_tradnl" w:eastAsia="en-GB"/>
        </w:rPr>
        <w:t xml:space="preserve">servicios de apoyo, personal y voluntarios con experiencia </w:t>
      </w:r>
      <w:r>
        <w:rPr>
          <w:rFonts w:cs="Arial"/>
          <w:lang w:val="es-ES_tradnl" w:eastAsia="en-GB"/>
        </w:rPr>
        <w:t xml:space="preserve">en </w:t>
      </w:r>
      <w:r w:rsidRPr="000B0070">
        <w:rPr>
          <w:rFonts w:cs="Arial"/>
          <w:lang w:val="es-ES_tradnl" w:eastAsia="en-GB"/>
        </w:rPr>
        <w:t>PTE, representantes de las seccion</w:t>
      </w:r>
      <w:r>
        <w:rPr>
          <w:rFonts w:cs="Arial"/>
          <w:lang w:val="es-ES_tradnl" w:eastAsia="en-GB"/>
        </w:rPr>
        <w:t>ales</w:t>
      </w:r>
      <w:r w:rsidRPr="000B0070">
        <w:rPr>
          <w:rFonts w:cs="Arial"/>
          <w:lang w:val="es-ES_tradnl" w:eastAsia="en-GB"/>
        </w:rPr>
        <w:t xml:space="preserve">, </w:t>
      </w:r>
      <w:r>
        <w:rPr>
          <w:rFonts w:cs="Arial"/>
          <w:lang w:val="es-ES_tradnl" w:eastAsia="en-GB"/>
        </w:rPr>
        <w:t xml:space="preserve">socios del Movimiento, y, tal vez, </w:t>
      </w:r>
      <w:r w:rsidRPr="000B0070">
        <w:rPr>
          <w:rFonts w:cs="Arial"/>
          <w:lang w:val="es-ES_tradnl" w:eastAsia="en-GB"/>
        </w:rPr>
        <w:t>participantes externos con experiencia relevante pu</w:t>
      </w:r>
      <w:r>
        <w:rPr>
          <w:rFonts w:cs="Arial"/>
          <w:lang w:val="es-ES_tradnl" w:eastAsia="en-GB"/>
        </w:rPr>
        <w:t>eden ser invitados a unirse al</w:t>
      </w:r>
      <w:r w:rsidRPr="000B0070">
        <w:rPr>
          <w:rFonts w:cs="Arial"/>
          <w:lang w:val="es-ES_tradnl" w:eastAsia="en-GB"/>
        </w:rPr>
        <w:t xml:space="preserve"> GTT también. La herramienta s</w:t>
      </w:r>
      <w:r>
        <w:rPr>
          <w:rFonts w:cs="Arial"/>
          <w:lang w:val="es-ES_tradnl" w:eastAsia="en-GB"/>
        </w:rPr>
        <w:t xml:space="preserve">obre responsabilidades principales del </w:t>
      </w:r>
      <w:r w:rsidRPr="000B0070">
        <w:rPr>
          <w:rFonts w:cs="Arial"/>
          <w:lang w:val="es-ES_tradnl" w:eastAsia="en-GB"/>
        </w:rPr>
        <w:t>GTT puede ser un buen punto de partida para el desarrollo de un</w:t>
      </w:r>
      <w:r>
        <w:rPr>
          <w:rFonts w:cs="Arial"/>
          <w:lang w:val="es-ES_tradnl" w:eastAsia="en-GB"/>
        </w:rPr>
        <w:t xml:space="preserve">os términos de referencia. </w:t>
      </w:r>
    </w:p>
    <w:p w14:paraId="00607016" w14:textId="61379AAE" w:rsidR="00DB3355" w:rsidRPr="006C649B" w:rsidRDefault="004B33D9" w:rsidP="00290958">
      <w:pPr>
        <w:pStyle w:val="Heading3"/>
        <w:rPr>
          <w:rFonts w:cs="Arial"/>
          <w:lang w:val="es-ES_tradnl"/>
        </w:rPr>
      </w:pPr>
      <w:r w:rsidRPr="006C649B">
        <w:rPr>
          <w:rFonts w:cs="Arial"/>
          <w:lang w:val="es-ES_tradnl"/>
        </w:rPr>
        <w:t>De</w:t>
      </w:r>
      <w:r w:rsidR="000B0070">
        <w:rPr>
          <w:rFonts w:cs="Arial"/>
          <w:lang w:val="es-ES_tradnl"/>
        </w:rPr>
        <w:t xml:space="preserve">sarrollar el Plan de acción de preparación para </w:t>
      </w:r>
      <w:r w:rsidR="00031303">
        <w:rPr>
          <w:rFonts w:cs="Arial"/>
          <w:lang w:val="es-ES_tradnl"/>
        </w:rPr>
        <w:t>PTE</w:t>
      </w:r>
      <w:r w:rsidRPr="006C649B">
        <w:rPr>
          <w:rFonts w:cs="Arial"/>
          <w:lang w:val="es-ES_tradnl"/>
        </w:rPr>
        <w:t xml:space="preserve"> </w:t>
      </w:r>
    </w:p>
    <w:p w14:paraId="49C5985A" w14:textId="7B23FCE5" w:rsidR="000B0070" w:rsidRDefault="000B0070" w:rsidP="00D249AE">
      <w:pPr>
        <w:rPr>
          <w:rFonts w:cs="Arial"/>
          <w:lang w:val="es-ES_tradnl" w:eastAsia="en-GB"/>
        </w:rPr>
      </w:pPr>
      <w:r>
        <w:rPr>
          <w:rFonts w:cs="Arial"/>
          <w:lang w:val="es-ES_tradnl" w:eastAsia="en-GB"/>
        </w:rPr>
        <w:t>El Plan de acción d</w:t>
      </w:r>
      <w:r w:rsidRPr="000B0070">
        <w:rPr>
          <w:rFonts w:cs="Arial"/>
          <w:lang w:val="es-ES_tradnl" w:eastAsia="en-GB"/>
        </w:rPr>
        <w:t>ebe ser r</w:t>
      </w:r>
      <w:r>
        <w:rPr>
          <w:rFonts w:cs="Arial"/>
          <w:lang w:val="es-ES_tradnl" w:eastAsia="en-GB"/>
        </w:rPr>
        <w:t>ealista, alcanzable, y alineado</w:t>
      </w:r>
      <w:r w:rsidRPr="000B0070">
        <w:rPr>
          <w:rFonts w:cs="Arial"/>
          <w:lang w:val="es-ES_tradnl" w:eastAsia="en-GB"/>
        </w:rPr>
        <w:t xml:space="preserve"> con los planes de contingencia y preparación existentes. Deb</w:t>
      </w:r>
      <w:r>
        <w:rPr>
          <w:rFonts w:cs="Arial"/>
          <w:lang w:val="es-ES_tradnl" w:eastAsia="en-GB"/>
        </w:rPr>
        <w:t>e incluir actividades, resultados</w:t>
      </w:r>
      <w:r w:rsidRPr="000B0070">
        <w:rPr>
          <w:rFonts w:cs="Arial"/>
          <w:lang w:val="es-ES_tradnl" w:eastAsia="en-GB"/>
        </w:rPr>
        <w:t>, indicadores, responsabilidades, plazos y presupuesto, con el fin de permitir la entrega</w:t>
      </w:r>
      <w:r>
        <w:rPr>
          <w:rFonts w:cs="Arial"/>
          <w:lang w:val="es-ES_tradnl" w:eastAsia="en-GB"/>
        </w:rPr>
        <w:t xml:space="preserve"> PTE a </w:t>
      </w:r>
      <w:r w:rsidRPr="000B0070">
        <w:rPr>
          <w:rFonts w:cs="Arial"/>
          <w:lang w:val="es-ES_tradnl" w:eastAsia="en-GB"/>
        </w:rPr>
        <w:t xml:space="preserve">tiempo y en la escala </w:t>
      </w:r>
      <w:r>
        <w:rPr>
          <w:rFonts w:cs="Arial"/>
          <w:lang w:val="es-ES_tradnl" w:eastAsia="en-GB"/>
        </w:rPr>
        <w:t xml:space="preserve">necesaria </w:t>
      </w:r>
      <w:r w:rsidRPr="000B0070">
        <w:rPr>
          <w:rFonts w:cs="Arial"/>
          <w:lang w:val="es-ES_tradnl" w:eastAsia="en-GB"/>
        </w:rPr>
        <w:t xml:space="preserve">en situaciones de emergencia. El GTT es responsable de identificar los objetivos y resultados pertinentes y adecuados, y presentar el </w:t>
      </w:r>
      <w:r>
        <w:rPr>
          <w:rFonts w:cs="Arial"/>
          <w:lang w:val="es-ES_tradnl" w:eastAsia="en-GB"/>
        </w:rPr>
        <w:t xml:space="preserve">Plan </w:t>
      </w:r>
      <w:r w:rsidRPr="000B0070">
        <w:rPr>
          <w:rFonts w:cs="Arial"/>
          <w:lang w:val="es-ES_tradnl" w:eastAsia="en-GB"/>
        </w:rPr>
        <w:t xml:space="preserve">de </w:t>
      </w:r>
      <w:r>
        <w:rPr>
          <w:rFonts w:cs="Arial"/>
          <w:lang w:val="es-ES_tradnl" w:eastAsia="en-GB"/>
        </w:rPr>
        <w:t>a</w:t>
      </w:r>
      <w:r w:rsidRPr="000B0070">
        <w:rPr>
          <w:rFonts w:cs="Arial"/>
          <w:lang w:val="es-ES_tradnl" w:eastAsia="en-GB"/>
        </w:rPr>
        <w:t>cción para su aprobación. El GTT también es responsable de implementar y supervisar el P</w:t>
      </w:r>
      <w:r>
        <w:rPr>
          <w:rFonts w:cs="Arial"/>
          <w:lang w:val="es-ES_tradnl" w:eastAsia="en-GB"/>
        </w:rPr>
        <w:t>lan de acción aprobado. E</w:t>
      </w:r>
      <w:r w:rsidRPr="000B0070">
        <w:rPr>
          <w:rFonts w:cs="Arial"/>
          <w:lang w:val="es-ES_tradnl" w:eastAsia="en-GB"/>
        </w:rPr>
        <w:t xml:space="preserve">l punto focal </w:t>
      </w:r>
      <w:r>
        <w:rPr>
          <w:rFonts w:cs="Arial"/>
          <w:lang w:val="es-ES_tradnl" w:eastAsia="en-GB"/>
        </w:rPr>
        <w:t xml:space="preserve">para </w:t>
      </w:r>
      <w:r w:rsidRPr="000B0070">
        <w:rPr>
          <w:rFonts w:cs="Arial"/>
          <w:lang w:val="es-ES_tradnl" w:eastAsia="en-GB"/>
        </w:rPr>
        <w:t xml:space="preserve">PTE </w:t>
      </w:r>
      <w:r>
        <w:rPr>
          <w:rFonts w:cs="Arial"/>
          <w:lang w:val="es-ES_tradnl" w:eastAsia="en-GB"/>
        </w:rPr>
        <w:t xml:space="preserve">debe gestionar y coordinar </w:t>
      </w:r>
      <w:r w:rsidRPr="000B0070">
        <w:rPr>
          <w:rFonts w:cs="Arial"/>
          <w:lang w:val="es-ES_tradnl" w:eastAsia="en-GB"/>
        </w:rPr>
        <w:t>todo el proceso, garantizar la coherencia entre las partes, e informar a la</w:t>
      </w:r>
      <w:r w:rsidR="000C3D87">
        <w:rPr>
          <w:rFonts w:cs="Arial"/>
          <w:lang w:val="es-ES_tradnl" w:eastAsia="en-GB"/>
        </w:rPr>
        <w:t xml:space="preserve"> alta dirección. La caja de herramientas proporciona plantillas para la preparación del Plan de acción para preparación a</w:t>
      </w:r>
      <w:r w:rsidRPr="000B0070">
        <w:rPr>
          <w:rFonts w:cs="Arial"/>
          <w:lang w:val="es-ES_tradnl" w:eastAsia="en-GB"/>
        </w:rPr>
        <w:t xml:space="preserve"> PTE disponibles, que consisten en un marco lógico, un plan de actividades, una hoja de cálculo de presupuesto, y un diagrama de Gantt.</w:t>
      </w:r>
    </w:p>
    <w:p w14:paraId="5F66D24C" w14:textId="7EC78C19" w:rsidR="00A84F2B" w:rsidRPr="006C649B" w:rsidRDefault="000C3D87" w:rsidP="00290958">
      <w:pPr>
        <w:pStyle w:val="Heading3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Elaborar los procedimientos operativos estándar </w:t>
      </w:r>
    </w:p>
    <w:p w14:paraId="75825AA4" w14:textId="294BD62A" w:rsidR="000C3D87" w:rsidRDefault="000C3D87" w:rsidP="00D249AE">
      <w:pPr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Los </w:t>
      </w:r>
      <w:r w:rsidRPr="000C3D87">
        <w:rPr>
          <w:rFonts w:cs="Arial"/>
          <w:lang w:val="es-ES_tradnl"/>
        </w:rPr>
        <w:t>proc</w:t>
      </w:r>
      <w:r>
        <w:rPr>
          <w:rFonts w:cs="Arial"/>
          <w:lang w:val="es-ES_tradnl"/>
        </w:rPr>
        <w:t>edimientos operativos estándar</w:t>
      </w:r>
      <w:r w:rsidRPr="000C3D87">
        <w:rPr>
          <w:rFonts w:cs="Arial"/>
          <w:lang w:val="es-ES_tradnl"/>
        </w:rPr>
        <w:t xml:space="preserve"> pueden mejorar la velocidad, la rendición de cuentas y la eficiencia de las respuestas </w:t>
      </w:r>
      <w:r>
        <w:rPr>
          <w:rFonts w:cs="Arial"/>
          <w:lang w:val="es-ES_tradnl"/>
        </w:rPr>
        <w:t xml:space="preserve">con </w:t>
      </w:r>
      <w:r w:rsidRPr="000C3D87">
        <w:rPr>
          <w:rFonts w:cs="Arial"/>
          <w:lang w:val="es-ES_tradnl"/>
        </w:rPr>
        <w:t xml:space="preserve">PTE proporcionando una orientación simple y clara sobre los procesos relacionados </w:t>
      </w:r>
      <w:r>
        <w:rPr>
          <w:rFonts w:cs="Arial"/>
          <w:lang w:val="es-ES_tradnl"/>
        </w:rPr>
        <w:lastRenderedPageBreak/>
        <w:t>con los</w:t>
      </w:r>
      <w:r w:rsidRPr="000C3D87">
        <w:rPr>
          <w:rFonts w:cs="Arial"/>
          <w:lang w:val="es-ES_tradnl"/>
        </w:rPr>
        <w:t xml:space="preserve"> PTE. Se deben describir los roles y responsabilidades, y apoyar la toma de decisiones para cada uno de los diferentes departamentos implicados en la preparación y respuesta </w:t>
      </w:r>
      <w:r>
        <w:rPr>
          <w:rFonts w:cs="Arial"/>
          <w:lang w:val="es-ES_tradnl"/>
        </w:rPr>
        <w:t xml:space="preserve">para </w:t>
      </w:r>
      <w:r w:rsidRPr="000C3D87">
        <w:rPr>
          <w:rFonts w:cs="Arial"/>
          <w:lang w:val="es-ES_tradnl"/>
        </w:rPr>
        <w:t xml:space="preserve">PTE. El GTT </w:t>
      </w:r>
      <w:r>
        <w:rPr>
          <w:rFonts w:cs="Arial"/>
          <w:lang w:val="es-ES_tradnl"/>
        </w:rPr>
        <w:t xml:space="preserve">para </w:t>
      </w:r>
      <w:r w:rsidRPr="000C3D87">
        <w:rPr>
          <w:rFonts w:cs="Arial"/>
          <w:lang w:val="es-ES_tradnl"/>
        </w:rPr>
        <w:t xml:space="preserve">PTE debería conducir al desarrollo de procedimientos </w:t>
      </w:r>
      <w:r>
        <w:rPr>
          <w:rFonts w:cs="Arial"/>
          <w:lang w:val="es-ES_tradnl"/>
        </w:rPr>
        <w:t>operativos estándar para</w:t>
      </w:r>
      <w:r w:rsidRPr="000C3D87">
        <w:rPr>
          <w:rFonts w:cs="Arial"/>
          <w:lang w:val="es-ES_tradnl"/>
        </w:rPr>
        <w:t xml:space="preserve"> PTE. Una vez desa</w:t>
      </w:r>
      <w:r>
        <w:rPr>
          <w:rFonts w:cs="Arial"/>
          <w:lang w:val="es-ES_tradnl"/>
        </w:rPr>
        <w:t xml:space="preserve">rrollados y aprobados, </w:t>
      </w:r>
      <w:r w:rsidRPr="000C3D87">
        <w:rPr>
          <w:rFonts w:cs="Arial"/>
          <w:lang w:val="es-ES_tradnl"/>
        </w:rPr>
        <w:t>deben ser probados y actualizados. El personal y los voluntarios deben recibir formación continua de su contenido. Las herramientas de sub-etapa incluyen una plantilla de procedimientos operativos estándar para PTE y un ejemplo, así como un paquete de formación.</w:t>
      </w:r>
    </w:p>
    <w:p w14:paraId="48249C4C" w14:textId="6D6348E9" w:rsidR="00AD05AA" w:rsidRPr="006C649B" w:rsidRDefault="000C3D87" w:rsidP="00290958">
      <w:pPr>
        <w:pStyle w:val="Heading3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Integrar los </w:t>
      </w:r>
      <w:r w:rsidR="00031303">
        <w:rPr>
          <w:rFonts w:cs="Arial"/>
          <w:lang w:val="es-ES_tradnl"/>
        </w:rPr>
        <w:t>PTE</w:t>
      </w:r>
      <w:r w:rsidR="00AD05AA" w:rsidRPr="006C649B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 xml:space="preserve">en los Planes estratégicos, de contingencia y de respuesta. </w:t>
      </w:r>
    </w:p>
    <w:p w14:paraId="529A67D5" w14:textId="363E41AB" w:rsidR="000C3D87" w:rsidRDefault="000C3D87" w:rsidP="00D249AE">
      <w:pPr>
        <w:rPr>
          <w:rFonts w:cs="Arial"/>
          <w:lang w:val="es-ES_tradnl" w:eastAsia="en-GB"/>
        </w:rPr>
      </w:pPr>
      <w:r w:rsidRPr="000C3D87">
        <w:rPr>
          <w:rFonts w:cs="Arial"/>
          <w:lang w:val="es-ES_tradnl" w:eastAsia="en-GB"/>
        </w:rPr>
        <w:t xml:space="preserve">Es importante desarrollar e incorporar opciones </w:t>
      </w:r>
      <w:r>
        <w:rPr>
          <w:rFonts w:cs="Arial"/>
          <w:lang w:val="es-ES_tradnl" w:eastAsia="en-GB"/>
        </w:rPr>
        <w:t xml:space="preserve">para </w:t>
      </w:r>
      <w:r w:rsidRPr="000C3D87">
        <w:rPr>
          <w:rFonts w:cs="Arial"/>
          <w:lang w:val="es-ES_tradnl" w:eastAsia="en-GB"/>
        </w:rPr>
        <w:t xml:space="preserve">PTE en todos los niveles, </w:t>
      </w:r>
      <w:r>
        <w:rPr>
          <w:rFonts w:cs="Arial"/>
          <w:lang w:val="es-ES_tradnl" w:eastAsia="en-GB"/>
        </w:rPr>
        <w:t xml:space="preserve">los planes </w:t>
      </w:r>
      <w:r w:rsidRPr="000C3D87">
        <w:rPr>
          <w:rFonts w:cs="Arial"/>
          <w:lang w:val="es-ES_tradnl" w:eastAsia="en-GB"/>
        </w:rPr>
        <w:t>general</w:t>
      </w:r>
      <w:r>
        <w:rPr>
          <w:rFonts w:cs="Arial"/>
          <w:lang w:val="es-ES_tradnl" w:eastAsia="en-GB"/>
        </w:rPr>
        <w:t>es</w:t>
      </w:r>
      <w:r w:rsidRPr="000C3D87">
        <w:rPr>
          <w:rFonts w:cs="Arial"/>
          <w:lang w:val="es-ES_tradnl" w:eastAsia="en-GB"/>
        </w:rPr>
        <w:t xml:space="preserve"> </w:t>
      </w:r>
      <w:r>
        <w:rPr>
          <w:rFonts w:cs="Arial"/>
          <w:lang w:val="es-ES_tradnl" w:eastAsia="en-GB"/>
        </w:rPr>
        <w:t xml:space="preserve">estratégicos, de preparación, </w:t>
      </w:r>
      <w:r w:rsidRPr="000C3D87">
        <w:rPr>
          <w:rFonts w:cs="Arial"/>
          <w:lang w:val="es-ES_tradnl" w:eastAsia="en-GB"/>
        </w:rPr>
        <w:t xml:space="preserve">planificación y respuesta y para promover el fortalecimiento de las capacidades </w:t>
      </w:r>
      <w:r>
        <w:rPr>
          <w:rFonts w:cs="Arial"/>
          <w:lang w:val="es-ES_tradnl" w:eastAsia="en-GB"/>
        </w:rPr>
        <w:t xml:space="preserve">en </w:t>
      </w:r>
      <w:r w:rsidRPr="000C3D87">
        <w:rPr>
          <w:rFonts w:cs="Arial"/>
          <w:lang w:val="es-ES_tradnl" w:eastAsia="en-GB"/>
        </w:rPr>
        <w:t>PTE para constru</w:t>
      </w:r>
      <w:r>
        <w:rPr>
          <w:rFonts w:cs="Arial"/>
          <w:lang w:val="es-ES_tradnl" w:eastAsia="en-GB"/>
        </w:rPr>
        <w:t>ir la confianza y la capacidad para</w:t>
      </w:r>
      <w:r w:rsidRPr="000C3D87">
        <w:rPr>
          <w:rFonts w:cs="Arial"/>
          <w:lang w:val="es-ES_tradnl" w:eastAsia="en-GB"/>
        </w:rPr>
        <w:t xml:space="preserve"> entregar PTE a escala. Las herramientas </w:t>
      </w:r>
      <w:r>
        <w:rPr>
          <w:rFonts w:cs="Arial"/>
          <w:lang w:val="es-ES_tradnl" w:eastAsia="en-GB"/>
        </w:rPr>
        <w:t xml:space="preserve">de la </w:t>
      </w:r>
      <w:r w:rsidRPr="000C3D87">
        <w:rPr>
          <w:rFonts w:cs="Arial"/>
          <w:lang w:val="es-ES_tradnl" w:eastAsia="en-GB"/>
        </w:rPr>
        <w:t>sub</w:t>
      </w:r>
      <w:r>
        <w:rPr>
          <w:rFonts w:cs="Arial"/>
          <w:lang w:val="es-ES_tradnl" w:eastAsia="en-GB"/>
        </w:rPr>
        <w:t>-</w:t>
      </w:r>
      <w:r w:rsidRPr="000C3D87">
        <w:rPr>
          <w:rFonts w:cs="Arial"/>
          <w:lang w:val="es-ES_tradnl" w:eastAsia="en-GB"/>
        </w:rPr>
        <w:t>etapa incluyen una plantilla para desarrollar el plan de contingencia.</w:t>
      </w:r>
    </w:p>
    <w:p w14:paraId="7B207BA7" w14:textId="4A03067A" w:rsidR="004B33D9" w:rsidRPr="006C649B" w:rsidRDefault="004B33D9" w:rsidP="00290958">
      <w:pPr>
        <w:pStyle w:val="Heading3"/>
        <w:rPr>
          <w:rFonts w:cs="Arial"/>
          <w:lang w:val="es-ES_tradnl"/>
        </w:rPr>
      </w:pPr>
      <w:r w:rsidRPr="006C649B">
        <w:rPr>
          <w:rFonts w:cs="Arial"/>
          <w:lang w:val="es-ES_tradnl"/>
        </w:rPr>
        <w:t>Incorpora</w:t>
      </w:r>
      <w:r w:rsidR="000C3D87">
        <w:rPr>
          <w:rFonts w:cs="Arial"/>
          <w:lang w:val="es-ES_tradnl"/>
        </w:rPr>
        <w:t>r los</w:t>
      </w:r>
      <w:r w:rsidRPr="006C649B">
        <w:rPr>
          <w:rFonts w:cs="Arial"/>
          <w:lang w:val="es-ES_tradnl"/>
        </w:rPr>
        <w:t xml:space="preserve"> </w:t>
      </w:r>
      <w:r w:rsidR="00031303">
        <w:rPr>
          <w:rFonts w:cs="Arial"/>
          <w:lang w:val="es-ES_tradnl"/>
        </w:rPr>
        <w:t>PTE</w:t>
      </w:r>
      <w:r w:rsidRPr="006C649B">
        <w:rPr>
          <w:rFonts w:cs="Arial"/>
          <w:lang w:val="es-ES_tradnl"/>
        </w:rPr>
        <w:t xml:space="preserve"> </w:t>
      </w:r>
      <w:r w:rsidR="000C3D87">
        <w:rPr>
          <w:rFonts w:cs="Arial"/>
          <w:lang w:val="es-ES_tradnl"/>
        </w:rPr>
        <w:t>en los sistemas de recursos humanos</w:t>
      </w:r>
    </w:p>
    <w:p w14:paraId="0BFFBAEB" w14:textId="54DD85FB" w:rsidR="000C3D87" w:rsidRDefault="000C3D87" w:rsidP="00D249AE">
      <w:pPr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Aumentar </w:t>
      </w:r>
      <w:r w:rsidRPr="000C3D87">
        <w:rPr>
          <w:rFonts w:cs="Arial"/>
          <w:lang w:val="es-ES_tradnl"/>
        </w:rPr>
        <w:t xml:space="preserve">la capacidad </w:t>
      </w:r>
      <w:r>
        <w:rPr>
          <w:rFonts w:cs="Arial"/>
          <w:lang w:val="es-ES_tradnl"/>
        </w:rPr>
        <w:t xml:space="preserve">para </w:t>
      </w:r>
      <w:r w:rsidRPr="000C3D87">
        <w:rPr>
          <w:rFonts w:cs="Arial"/>
          <w:lang w:val="es-ES_tradnl"/>
        </w:rPr>
        <w:t xml:space="preserve">PTE del personal y los voluntarios es fundamental para mejorar la capacidad de respuesta </w:t>
      </w:r>
      <w:r>
        <w:rPr>
          <w:rFonts w:cs="Arial"/>
          <w:lang w:val="es-ES_tradnl"/>
        </w:rPr>
        <w:t xml:space="preserve">con </w:t>
      </w:r>
      <w:r w:rsidRPr="000C3D87">
        <w:rPr>
          <w:rFonts w:cs="Arial"/>
          <w:lang w:val="es-ES_tradnl"/>
        </w:rPr>
        <w:t xml:space="preserve">PTE. Es necesaria una formación </w:t>
      </w:r>
      <w:r>
        <w:rPr>
          <w:rFonts w:cs="Arial"/>
          <w:lang w:val="es-ES_tradnl"/>
        </w:rPr>
        <w:t>sobre PTE no sólo para</w:t>
      </w:r>
      <w:r w:rsidRPr="000C3D87">
        <w:rPr>
          <w:rFonts w:cs="Arial"/>
          <w:lang w:val="es-ES_tradnl"/>
        </w:rPr>
        <w:t xml:space="preserve"> el personal y los voluntarios de </w:t>
      </w:r>
      <w:r>
        <w:rPr>
          <w:rFonts w:cs="Arial"/>
          <w:lang w:val="es-ES_tradnl"/>
        </w:rPr>
        <w:t xml:space="preserve">los </w:t>
      </w:r>
      <w:r w:rsidRPr="000C3D87">
        <w:rPr>
          <w:rFonts w:cs="Arial"/>
          <w:lang w:val="es-ES_tradnl"/>
        </w:rPr>
        <w:t>equ</w:t>
      </w:r>
      <w:r>
        <w:rPr>
          <w:rFonts w:cs="Arial"/>
          <w:lang w:val="es-ES_tradnl"/>
        </w:rPr>
        <w:t>ipos de respuesta, sino también para</w:t>
      </w:r>
      <w:r w:rsidRPr="000C3D87">
        <w:rPr>
          <w:rFonts w:cs="Arial"/>
          <w:lang w:val="es-ES_tradnl"/>
        </w:rPr>
        <w:t xml:space="preserve"> el personal de los dep</w:t>
      </w:r>
      <w:r>
        <w:rPr>
          <w:rFonts w:cs="Arial"/>
          <w:lang w:val="es-ES_tradnl"/>
        </w:rPr>
        <w:t>artamentos de apoyo tales como logística, finanzas y c</w:t>
      </w:r>
      <w:r w:rsidRPr="000C3D87">
        <w:rPr>
          <w:rFonts w:cs="Arial"/>
          <w:lang w:val="es-ES_tradnl"/>
        </w:rPr>
        <w:t>omunicación, para asegurarse de que tienen una buena comprensión de las necesidades, limitaciones y procesos implicados en las respuestas</w:t>
      </w:r>
      <w:r w:rsidR="003A46EF">
        <w:rPr>
          <w:rFonts w:cs="Arial"/>
          <w:lang w:val="es-ES_tradnl"/>
        </w:rPr>
        <w:t xml:space="preserve"> con</w:t>
      </w:r>
      <w:r w:rsidRPr="000C3D87">
        <w:rPr>
          <w:rFonts w:cs="Arial"/>
          <w:lang w:val="es-ES_tradnl"/>
        </w:rPr>
        <w:t xml:space="preserve"> </w:t>
      </w:r>
      <w:r w:rsidR="003A46EF" w:rsidRPr="000C3D87">
        <w:rPr>
          <w:rFonts w:cs="Arial"/>
          <w:lang w:val="es-ES_tradnl"/>
        </w:rPr>
        <w:t>PTE.</w:t>
      </w:r>
      <w:r w:rsidRPr="000C3D87">
        <w:rPr>
          <w:rFonts w:cs="Arial"/>
          <w:lang w:val="es-ES_tradnl"/>
        </w:rPr>
        <w:t xml:space="preserve"> </w:t>
      </w:r>
      <w:r w:rsidR="003A46EF">
        <w:rPr>
          <w:rFonts w:cs="Arial"/>
          <w:lang w:val="es-ES_tradnl"/>
        </w:rPr>
        <w:t>El M</w:t>
      </w:r>
      <w:r w:rsidR="003A46EF" w:rsidRPr="000C3D87">
        <w:rPr>
          <w:rFonts w:cs="Arial"/>
          <w:lang w:val="es-ES_tradnl"/>
        </w:rPr>
        <w:t xml:space="preserve">ovimiento ha desarrollado </w:t>
      </w:r>
      <w:r w:rsidR="003A46EF">
        <w:rPr>
          <w:rFonts w:cs="Arial"/>
          <w:lang w:val="es-ES_tradnl"/>
        </w:rPr>
        <w:t>u</w:t>
      </w:r>
      <w:r w:rsidRPr="000C3D87">
        <w:rPr>
          <w:rFonts w:cs="Arial"/>
          <w:lang w:val="es-ES_tradnl"/>
        </w:rPr>
        <w:t xml:space="preserve">na gama de materiales de capacitación </w:t>
      </w:r>
      <w:r w:rsidR="003A46EF">
        <w:rPr>
          <w:rFonts w:cs="Arial"/>
          <w:lang w:val="es-ES_tradnl"/>
        </w:rPr>
        <w:t xml:space="preserve">en </w:t>
      </w:r>
      <w:r w:rsidRPr="000C3D87">
        <w:rPr>
          <w:rFonts w:cs="Arial"/>
          <w:lang w:val="es-ES_tradnl"/>
        </w:rPr>
        <w:t xml:space="preserve">PTE </w:t>
      </w:r>
      <w:r w:rsidR="003A46EF">
        <w:rPr>
          <w:rFonts w:cs="Arial"/>
          <w:lang w:val="es-ES_tradnl"/>
        </w:rPr>
        <w:t xml:space="preserve">que están disponibles tanto para formaciones presenciales como para formaciones virtuales. </w:t>
      </w:r>
      <w:r w:rsidRPr="000C3D87">
        <w:rPr>
          <w:rFonts w:cs="Arial"/>
          <w:lang w:val="es-ES_tradnl"/>
        </w:rPr>
        <w:t xml:space="preserve">Es importante que la formación y desarrollo de capacidades </w:t>
      </w:r>
      <w:r w:rsidR="003A46EF">
        <w:rPr>
          <w:rFonts w:cs="Arial"/>
          <w:lang w:val="es-ES_tradnl"/>
        </w:rPr>
        <w:t>en PTE esté</w:t>
      </w:r>
      <w:r w:rsidRPr="000C3D87">
        <w:rPr>
          <w:rFonts w:cs="Arial"/>
          <w:lang w:val="es-ES_tradnl"/>
        </w:rPr>
        <w:t xml:space="preserve"> presupuestado. Las herramientas de </w:t>
      </w:r>
      <w:r w:rsidR="003A46EF">
        <w:rPr>
          <w:rFonts w:cs="Arial"/>
          <w:lang w:val="es-ES_tradnl"/>
        </w:rPr>
        <w:t xml:space="preserve">las </w:t>
      </w:r>
      <w:r w:rsidRPr="000C3D87">
        <w:rPr>
          <w:rFonts w:cs="Arial"/>
          <w:lang w:val="es-ES_tradnl"/>
        </w:rPr>
        <w:t>sub-</w:t>
      </w:r>
      <w:r w:rsidR="003A46EF">
        <w:rPr>
          <w:rFonts w:cs="Arial"/>
          <w:lang w:val="es-ES_tradnl"/>
        </w:rPr>
        <w:t>etapas</w:t>
      </w:r>
      <w:r w:rsidRPr="000C3D87">
        <w:rPr>
          <w:rFonts w:cs="Arial"/>
          <w:lang w:val="es-ES_tradnl"/>
        </w:rPr>
        <w:t xml:space="preserve"> incluyen un plan de desarrollo de capacidades y el marco de competencias.</w:t>
      </w:r>
    </w:p>
    <w:p w14:paraId="0B1D87B9" w14:textId="0F16AE7E" w:rsidR="004B33D9" w:rsidRPr="006C649B" w:rsidRDefault="004B33D9" w:rsidP="00290958">
      <w:pPr>
        <w:pStyle w:val="Heading3"/>
        <w:rPr>
          <w:rFonts w:cs="Arial"/>
          <w:lang w:val="es-ES_tradnl"/>
        </w:rPr>
      </w:pPr>
      <w:r w:rsidRPr="006C649B">
        <w:rPr>
          <w:rFonts w:cs="Arial"/>
          <w:lang w:val="es-ES_tradnl"/>
        </w:rPr>
        <w:t>Inco</w:t>
      </w:r>
      <w:r w:rsidR="003A46EF">
        <w:rPr>
          <w:rFonts w:cs="Arial"/>
          <w:lang w:val="es-ES_tradnl"/>
        </w:rPr>
        <w:t xml:space="preserve">rporar los </w:t>
      </w:r>
      <w:r w:rsidR="00031303">
        <w:rPr>
          <w:rFonts w:cs="Arial"/>
          <w:lang w:val="es-ES_tradnl"/>
        </w:rPr>
        <w:t>PTE</w:t>
      </w:r>
      <w:r w:rsidRPr="006C649B">
        <w:rPr>
          <w:rFonts w:cs="Arial"/>
          <w:lang w:val="es-ES_tradnl"/>
        </w:rPr>
        <w:t xml:space="preserve"> </w:t>
      </w:r>
      <w:r w:rsidR="003A46EF">
        <w:rPr>
          <w:rFonts w:cs="Arial"/>
          <w:lang w:val="es-ES_tradnl"/>
        </w:rPr>
        <w:t>en los sistemas financieros</w:t>
      </w:r>
    </w:p>
    <w:p w14:paraId="578B39EC" w14:textId="4E0456C6" w:rsidR="003A46EF" w:rsidRPr="003A46EF" w:rsidRDefault="003A46EF" w:rsidP="003A46EF">
      <w:pPr>
        <w:rPr>
          <w:rFonts w:cs="Arial"/>
          <w:lang w:val="es-ES_tradnl"/>
        </w:rPr>
      </w:pPr>
      <w:r w:rsidRPr="003A46EF">
        <w:rPr>
          <w:rFonts w:cs="Arial"/>
          <w:lang w:val="es-ES_tradnl"/>
        </w:rPr>
        <w:t xml:space="preserve">Por lo general, </w:t>
      </w:r>
      <w:r>
        <w:rPr>
          <w:rFonts w:cs="Arial"/>
          <w:lang w:val="es-ES_tradnl"/>
        </w:rPr>
        <w:t xml:space="preserve">los </w:t>
      </w:r>
      <w:r w:rsidRPr="003A46EF">
        <w:rPr>
          <w:rFonts w:cs="Arial"/>
          <w:lang w:val="es-ES_tradnl"/>
        </w:rPr>
        <w:t>sistemas financieros</w:t>
      </w:r>
      <w:r>
        <w:rPr>
          <w:rFonts w:cs="Arial"/>
          <w:lang w:val="es-ES_tradnl"/>
        </w:rPr>
        <w:t>, de</w:t>
      </w:r>
      <w:r w:rsidRPr="003A46EF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>logísticos</w:t>
      </w:r>
      <w:r w:rsidRPr="003A46EF">
        <w:rPr>
          <w:rFonts w:cs="Arial"/>
          <w:lang w:val="es-ES_tradnl"/>
        </w:rPr>
        <w:t xml:space="preserve">, </w:t>
      </w:r>
      <w:r>
        <w:rPr>
          <w:rFonts w:cs="Arial"/>
          <w:lang w:val="es-ES_tradnl"/>
        </w:rPr>
        <w:t xml:space="preserve">y </w:t>
      </w:r>
      <w:r w:rsidRPr="003A46EF">
        <w:rPr>
          <w:rFonts w:cs="Arial"/>
          <w:lang w:val="es-ES_tradnl"/>
        </w:rPr>
        <w:t>administra</w:t>
      </w:r>
      <w:r>
        <w:rPr>
          <w:rFonts w:cs="Arial"/>
          <w:lang w:val="es-ES_tradnl"/>
        </w:rPr>
        <w:t xml:space="preserve">tivos </w:t>
      </w:r>
      <w:r w:rsidRPr="003A46EF">
        <w:rPr>
          <w:rFonts w:cs="Arial"/>
          <w:lang w:val="es-ES_tradnl"/>
        </w:rPr>
        <w:t>están diseñados para las respuestas en especie y pueden ser demasiado restrictivo</w:t>
      </w:r>
      <w:r>
        <w:rPr>
          <w:rFonts w:cs="Arial"/>
          <w:lang w:val="es-ES_tradnl"/>
        </w:rPr>
        <w:t>s</w:t>
      </w:r>
      <w:r w:rsidRPr="003A46EF">
        <w:rPr>
          <w:rFonts w:cs="Arial"/>
          <w:lang w:val="es-ES_tradnl"/>
        </w:rPr>
        <w:t xml:space="preserve"> para la entrega de PTE en situaciones de emergencia.</w:t>
      </w:r>
    </w:p>
    <w:p w14:paraId="4ABBF213" w14:textId="6A8A26BF" w:rsidR="003A46EF" w:rsidRDefault="003A46EF" w:rsidP="003A46EF">
      <w:pPr>
        <w:rPr>
          <w:rFonts w:cs="Arial"/>
          <w:lang w:val="es-ES_tradnl"/>
        </w:rPr>
      </w:pPr>
      <w:r w:rsidRPr="003A46EF">
        <w:rPr>
          <w:rFonts w:cs="Arial"/>
          <w:lang w:val="es-ES_tradnl"/>
        </w:rPr>
        <w:t>La ejecución de los programas de transferencia de efectivo a menudo depende de</w:t>
      </w:r>
      <w:r>
        <w:rPr>
          <w:rFonts w:cs="Arial"/>
          <w:lang w:val="es-ES_tradnl"/>
        </w:rPr>
        <w:t xml:space="preserve"> </w:t>
      </w:r>
      <w:proofErr w:type="spellStart"/>
      <w:r>
        <w:rPr>
          <w:rFonts w:cs="Arial"/>
          <w:lang w:val="es-ES_tradnl"/>
        </w:rPr>
        <w:t>partenariados</w:t>
      </w:r>
      <w:proofErr w:type="spellEnd"/>
      <w:r>
        <w:rPr>
          <w:rFonts w:cs="Arial"/>
          <w:lang w:val="es-ES_tradnl"/>
        </w:rPr>
        <w:t xml:space="preserve"> </w:t>
      </w:r>
      <w:r w:rsidRPr="003A46EF">
        <w:rPr>
          <w:rFonts w:cs="Arial"/>
          <w:lang w:val="es-ES_tradnl"/>
        </w:rPr>
        <w:t xml:space="preserve">con </w:t>
      </w:r>
      <w:r>
        <w:rPr>
          <w:rFonts w:cs="Arial"/>
          <w:lang w:val="es-ES_tradnl"/>
        </w:rPr>
        <w:t xml:space="preserve">socios implementadores o con </w:t>
      </w:r>
      <w:r w:rsidRPr="003A46EF">
        <w:rPr>
          <w:rFonts w:cs="Arial"/>
          <w:lang w:val="es-ES_tradnl"/>
        </w:rPr>
        <w:t xml:space="preserve">proveedores de servicios. Por lo tanto, la preparación para PTE debe incluir pasos preliminares para identificar socios apropiados, establecer preacuerdos con ellos y definir las formas potenciales de trabajar (identificación, registro, procedimientos de cobro </w:t>
      </w:r>
      <w:r>
        <w:rPr>
          <w:rFonts w:cs="Arial"/>
          <w:lang w:val="es-ES_tradnl"/>
        </w:rPr>
        <w:t>y sistemas de control específico</w:t>
      </w:r>
      <w:r w:rsidRPr="003A46EF">
        <w:rPr>
          <w:rFonts w:cs="Arial"/>
          <w:lang w:val="es-ES_tradnl"/>
        </w:rPr>
        <w:t xml:space="preserve">s). También debe incluir la creación de capacidad tanto del personal interno </w:t>
      </w:r>
      <w:r>
        <w:rPr>
          <w:rFonts w:cs="Arial"/>
          <w:lang w:val="es-ES_tradnl"/>
        </w:rPr>
        <w:t xml:space="preserve">como de </w:t>
      </w:r>
      <w:r w:rsidRPr="003A46EF">
        <w:rPr>
          <w:rFonts w:cs="Arial"/>
          <w:lang w:val="es-ES_tradnl"/>
        </w:rPr>
        <w:t>los socios. La organización puede optar por iniciar mediante el d</w:t>
      </w:r>
      <w:r>
        <w:rPr>
          <w:rFonts w:cs="Arial"/>
          <w:lang w:val="es-ES_tradnl"/>
        </w:rPr>
        <w:t>esarrollo de los sistemas para las</w:t>
      </w:r>
      <w:r w:rsidRPr="003A46EF">
        <w:rPr>
          <w:rFonts w:cs="Arial"/>
          <w:lang w:val="es-ES_tradnl"/>
        </w:rPr>
        <w:t xml:space="preserve"> modalidades </w:t>
      </w:r>
      <w:r>
        <w:rPr>
          <w:rFonts w:cs="Arial"/>
          <w:lang w:val="es-ES_tradnl"/>
        </w:rPr>
        <w:t xml:space="preserve">y </w:t>
      </w:r>
      <w:r w:rsidRPr="003A46EF">
        <w:rPr>
          <w:rFonts w:cs="Arial"/>
          <w:lang w:val="es-ES_tradnl"/>
        </w:rPr>
        <w:t xml:space="preserve">mecanismos de entrega </w:t>
      </w:r>
      <w:r>
        <w:rPr>
          <w:rFonts w:cs="Arial"/>
          <w:lang w:val="es-ES_tradnl"/>
        </w:rPr>
        <w:t>prioritario</w:t>
      </w:r>
      <w:r w:rsidRPr="003A46EF">
        <w:rPr>
          <w:rFonts w:cs="Arial"/>
          <w:lang w:val="es-ES_tradnl"/>
        </w:rPr>
        <w:t>s y después</w:t>
      </w:r>
      <w:r>
        <w:rPr>
          <w:rFonts w:cs="Arial"/>
          <w:lang w:val="es-ES_tradnl"/>
        </w:rPr>
        <w:t xml:space="preserve">, puede </w:t>
      </w:r>
      <w:r w:rsidRPr="003A46EF">
        <w:rPr>
          <w:rFonts w:cs="Arial"/>
          <w:lang w:val="es-ES_tradnl"/>
        </w:rPr>
        <w:t xml:space="preserve">extender </w:t>
      </w:r>
      <w:r>
        <w:rPr>
          <w:rFonts w:cs="Arial"/>
          <w:lang w:val="es-ES_tradnl"/>
        </w:rPr>
        <w:t xml:space="preserve">el abanico de opciones a medida que la capacidad de la SN aumenta. </w:t>
      </w:r>
      <w:r w:rsidRPr="003A46EF">
        <w:rPr>
          <w:rFonts w:cs="Arial"/>
          <w:lang w:val="es-ES_tradnl"/>
        </w:rPr>
        <w:t xml:space="preserve">Este proceso va de la mano con el desarrollo de procedimientos </w:t>
      </w:r>
      <w:r>
        <w:rPr>
          <w:rFonts w:cs="Arial"/>
          <w:lang w:val="es-ES_tradnl"/>
        </w:rPr>
        <w:t>operativos estándar para</w:t>
      </w:r>
      <w:r w:rsidRPr="003A46EF">
        <w:rPr>
          <w:rFonts w:cs="Arial"/>
          <w:lang w:val="es-ES_tradnl"/>
        </w:rPr>
        <w:t xml:space="preserve"> PTE. Las herramientas </w:t>
      </w:r>
      <w:r>
        <w:rPr>
          <w:rFonts w:cs="Arial"/>
          <w:lang w:val="es-ES_tradnl"/>
        </w:rPr>
        <w:t xml:space="preserve">de la </w:t>
      </w:r>
      <w:r w:rsidRPr="003A46EF">
        <w:rPr>
          <w:rFonts w:cs="Arial"/>
          <w:lang w:val="es-ES_tradnl"/>
        </w:rPr>
        <w:t>sub</w:t>
      </w:r>
      <w:r>
        <w:rPr>
          <w:rFonts w:cs="Arial"/>
          <w:lang w:val="es-ES_tradnl"/>
        </w:rPr>
        <w:t>-</w:t>
      </w:r>
      <w:r w:rsidRPr="003A46EF">
        <w:rPr>
          <w:rFonts w:cs="Arial"/>
          <w:lang w:val="es-ES_tradnl"/>
        </w:rPr>
        <w:t>etapa incluyen una hoja de ruta para la selección y contratación de servicios, una herramienta para reunir información para ayudar a desarrollar un</w:t>
      </w:r>
      <w:r>
        <w:rPr>
          <w:rFonts w:cs="Arial"/>
          <w:lang w:val="es-ES_tradnl"/>
        </w:rPr>
        <w:t xml:space="preserve">os </w:t>
      </w:r>
      <w:proofErr w:type="spellStart"/>
      <w:r>
        <w:rPr>
          <w:rFonts w:cs="Arial"/>
          <w:lang w:val="es-ES_tradnl"/>
        </w:rPr>
        <w:t>TdR</w:t>
      </w:r>
      <w:proofErr w:type="spellEnd"/>
      <w:r>
        <w:rPr>
          <w:rFonts w:cs="Arial"/>
          <w:lang w:val="es-ES_tradnl"/>
        </w:rPr>
        <w:t xml:space="preserve"> para el</w:t>
      </w:r>
      <w:r w:rsidRPr="003A46EF">
        <w:rPr>
          <w:rFonts w:cs="Arial"/>
          <w:lang w:val="es-ES_tradnl"/>
        </w:rPr>
        <w:t xml:space="preserve"> proveedor de servicios y el modelo de contrato estándar de la Federación Internacional.</w:t>
      </w:r>
    </w:p>
    <w:p w14:paraId="389E6769" w14:textId="064C67A4" w:rsidR="004B33D9" w:rsidRPr="006C649B" w:rsidRDefault="004B33D9" w:rsidP="00290958">
      <w:pPr>
        <w:pStyle w:val="Heading3"/>
        <w:rPr>
          <w:rFonts w:cs="Arial"/>
          <w:lang w:val="es-ES_tradnl"/>
        </w:rPr>
      </w:pPr>
      <w:r w:rsidRPr="006C649B">
        <w:rPr>
          <w:rFonts w:cs="Arial"/>
          <w:lang w:val="es-ES_tradnl"/>
        </w:rPr>
        <w:t>Incorpora</w:t>
      </w:r>
      <w:r w:rsidR="003A46EF">
        <w:rPr>
          <w:rFonts w:cs="Arial"/>
          <w:lang w:val="es-ES_tradnl"/>
        </w:rPr>
        <w:t xml:space="preserve">r los </w:t>
      </w:r>
      <w:r w:rsidR="00031303">
        <w:rPr>
          <w:rFonts w:cs="Arial"/>
          <w:lang w:val="es-ES_tradnl"/>
        </w:rPr>
        <w:t>PTE</w:t>
      </w:r>
      <w:r w:rsidRPr="006C649B">
        <w:rPr>
          <w:rFonts w:cs="Arial"/>
          <w:lang w:val="es-ES_tradnl"/>
        </w:rPr>
        <w:t xml:space="preserve"> </w:t>
      </w:r>
      <w:r w:rsidR="003A46EF">
        <w:rPr>
          <w:rFonts w:cs="Arial"/>
          <w:lang w:val="es-ES_tradnl"/>
        </w:rPr>
        <w:t xml:space="preserve">en los sistemas de monitoreo y </w:t>
      </w:r>
      <w:r w:rsidR="006D4D75" w:rsidRPr="006C649B">
        <w:rPr>
          <w:rFonts w:cs="Arial"/>
          <w:lang w:val="es-ES_tradnl"/>
        </w:rPr>
        <w:t>ev</w:t>
      </w:r>
      <w:r w:rsidRPr="006C649B">
        <w:rPr>
          <w:rFonts w:cs="Arial"/>
          <w:lang w:val="es-ES_tradnl"/>
        </w:rPr>
        <w:t>alua</w:t>
      </w:r>
      <w:r w:rsidR="003A46EF">
        <w:rPr>
          <w:rFonts w:cs="Arial"/>
          <w:lang w:val="es-ES_tradnl"/>
        </w:rPr>
        <w:t xml:space="preserve">ción </w:t>
      </w:r>
    </w:p>
    <w:p w14:paraId="06652268" w14:textId="23E6ED26" w:rsidR="003A46EF" w:rsidRDefault="003A46EF" w:rsidP="00D249AE">
      <w:pPr>
        <w:rPr>
          <w:rFonts w:cs="Arial"/>
          <w:lang w:val="es-ES_tradnl"/>
        </w:rPr>
      </w:pPr>
      <w:r w:rsidRPr="003A46EF">
        <w:rPr>
          <w:rFonts w:cs="Arial"/>
          <w:lang w:val="es-ES_tradnl"/>
        </w:rPr>
        <w:t>Los actuale</w:t>
      </w:r>
      <w:r w:rsidR="00D73164">
        <w:rPr>
          <w:rFonts w:cs="Arial"/>
          <w:lang w:val="es-ES_tradnl"/>
        </w:rPr>
        <w:t>s mecanismos y sistemas de monitoreo</w:t>
      </w:r>
      <w:r w:rsidRPr="003A46EF">
        <w:rPr>
          <w:rFonts w:cs="Arial"/>
          <w:lang w:val="es-ES_tradnl"/>
        </w:rPr>
        <w:t xml:space="preserve"> y evaluación tendrán que ser ajustados para incorporar consideraciones</w:t>
      </w:r>
      <w:r w:rsidR="00D73164">
        <w:rPr>
          <w:rFonts w:cs="Arial"/>
          <w:lang w:val="es-ES_tradnl"/>
        </w:rPr>
        <w:t xml:space="preserve"> sobre</w:t>
      </w:r>
      <w:r w:rsidRPr="003A46EF">
        <w:rPr>
          <w:rFonts w:cs="Arial"/>
          <w:lang w:val="es-ES_tradnl"/>
        </w:rPr>
        <w:t xml:space="preserve"> PTE. Es posible </w:t>
      </w:r>
      <w:r w:rsidR="00D73164">
        <w:rPr>
          <w:rFonts w:cs="Arial"/>
          <w:lang w:val="es-ES_tradnl"/>
        </w:rPr>
        <w:t>se necesite desarrollar a</w:t>
      </w:r>
      <w:r w:rsidRPr="003A46EF">
        <w:rPr>
          <w:rFonts w:cs="Arial"/>
          <w:lang w:val="es-ES_tradnl"/>
        </w:rPr>
        <w:t>lgunas herramientas específicas</w:t>
      </w:r>
      <w:r w:rsidR="00D73164">
        <w:rPr>
          <w:rFonts w:cs="Arial"/>
          <w:lang w:val="es-ES_tradnl"/>
        </w:rPr>
        <w:t>. La caja de herramientas</w:t>
      </w:r>
      <w:r w:rsidRPr="003A46EF">
        <w:rPr>
          <w:rFonts w:cs="Arial"/>
          <w:lang w:val="es-ES_tradnl"/>
        </w:rPr>
        <w:t xml:space="preserve"> pone a disposición una hoja de ruta para </w:t>
      </w:r>
      <w:r w:rsidR="00D73164">
        <w:rPr>
          <w:rFonts w:cs="Arial"/>
          <w:lang w:val="es-ES_tradnl"/>
        </w:rPr>
        <w:t xml:space="preserve">el monitoreo de </w:t>
      </w:r>
      <w:r w:rsidRPr="003A46EF">
        <w:rPr>
          <w:rFonts w:cs="Arial"/>
          <w:lang w:val="es-ES_tradnl"/>
        </w:rPr>
        <w:t xml:space="preserve">PTE y la planificación de la evaluación, un proceso que implica el desarrollo </w:t>
      </w:r>
      <w:r w:rsidR="00D73164">
        <w:rPr>
          <w:rFonts w:cs="Arial"/>
          <w:lang w:val="es-ES_tradnl"/>
        </w:rPr>
        <w:t>de una estrategia de monitoreo</w:t>
      </w:r>
      <w:r w:rsidRPr="003A46EF">
        <w:rPr>
          <w:rFonts w:cs="Arial"/>
          <w:lang w:val="es-ES_tradnl"/>
        </w:rPr>
        <w:t xml:space="preserve"> y evaluación integral (que incluye un plan de actividades de trabajo detallado y una matriz de </w:t>
      </w:r>
      <w:r w:rsidR="00D73164">
        <w:rPr>
          <w:rFonts w:cs="Arial"/>
          <w:lang w:val="es-ES_tradnl"/>
        </w:rPr>
        <w:t xml:space="preserve">monitoreo y evaluación </w:t>
      </w:r>
      <w:r w:rsidRPr="003A46EF">
        <w:rPr>
          <w:rFonts w:cs="Arial"/>
          <w:lang w:val="es-ES_tradnl"/>
        </w:rPr>
        <w:t>con los indicadores</w:t>
      </w:r>
      <w:r w:rsidR="00D73164">
        <w:rPr>
          <w:rFonts w:cs="Arial"/>
          <w:lang w:val="es-ES_tradnl"/>
        </w:rPr>
        <w:t xml:space="preserve"> y medios de verificación); así como la mejora de la </w:t>
      </w:r>
      <w:r w:rsidRPr="003A46EF">
        <w:rPr>
          <w:rFonts w:cs="Arial"/>
          <w:lang w:val="es-ES_tradnl"/>
        </w:rPr>
        <w:t>capacidad d</w:t>
      </w:r>
      <w:r w:rsidR="00D73164">
        <w:rPr>
          <w:rFonts w:cs="Arial"/>
          <w:lang w:val="es-ES_tradnl"/>
        </w:rPr>
        <w:t>e los voluntarios y el personal</w:t>
      </w:r>
      <w:r w:rsidRPr="003A46EF">
        <w:rPr>
          <w:rFonts w:cs="Arial"/>
          <w:lang w:val="es-ES_tradnl"/>
        </w:rPr>
        <w:t>.</w:t>
      </w:r>
    </w:p>
    <w:p w14:paraId="188B4B98" w14:textId="77777777" w:rsidR="00D73164" w:rsidRDefault="004B33D9" w:rsidP="00D73164">
      <w:pPr>
        <w:pStyle w:val="Heading3"/>
        <w:rPr>
          <w:rFonts w:cs="Arial"/>
          <w:lang w:val="es-ES_tradnl"/>
        </w:rPr>
      </w:pPr>
      <w:r w:rsidRPr="006C649B">
        <w:rPr>
          <w:rFonts w:cs="Arial"/>
          <w:lang w:val="es-ES_tradnl"/>
        </w:rPr>
        <w:t>Incorpora</w:t>
      </w:r>
      <w:r w:rsidR="00D73164">
        <w:rPr>
          <w:rFonts w:cs="Arial"/>
          <w:lang w:val="es-ES_tradnl"/>
        </w:rPr>
        <w:t xml:space="preserve">r los </w:t>
      </w:r>
      <w:r w:rsidR="00031303">
        <w:rPr>
          <w:rFonts w:cs="Arial"/>
          <w:lang w:val="es-ES_tradnl"/>
        </w:rPr>
        <w:t>PTE</w:t>
      </w:r>
      <w:r w:rsidRPr="006C649B">
        <w:rPr>
          <w:rFonts w:cs="Arial"/>
          <w:lang w:val="es-ES_tradnl"/>
        </w:rPr>
        <w:t xml:space="preserve"> </w:t>
      </w:r>
      <w:r w:rsidR="00D73164">
        <w:rPr>
          <w:rFonts w:cs="Arial"/>
          <w:lang w:val="es-ES_tradnl"/>
        </w:rPr>
        <w:t xml:space="preserve">en los sistemas de movilización de recursos </w:t>
      </w:r>
    </w:p>
    <w:p w14:paraId="21FEB228" w14:textId="1580AB7D" w:rsidR="00D73164" w:rsidRPr="00D73164" w:rsidRDefault="00D73164" w:rsidP="00D73164">
      <w:pPr>
        <w:pStyle w:val="Heading3"/>
        <w:rPr>
          <w:rFonts w:cs="Arial"/>
          <w:b w:val="0"/>
          <w:lang w:val="es-ES_tradnl"/>
        </w:rPr>
      </w:pPr>
      <w:r>
        <w:rPr>
          <w:rFonts w:cs="Arial"/>
          <w:b w:val="0"/>
          <w:lang w:val="es-ES_tradnl"/>
        </w:rPr>
        <w:t xml:space="preserve">Los </w:t>
      </w:r>
      <w:r w:rsidRPr="00D73164">
        <w:rPr>
          <w:rFonts w:cs="Arial"/>
          <w:b w:val="0"/>
          <w:lang w:val="es-ES_tradnl"/>
        </w:rPr>
        <w:t xml:space="preserve">planes de preparación </w:t>
      </w:r>
      <w:r>
        <w:rPr>
          <w:rFonts w:cs="Arial"/>
          <w:b w:val="0"/>
          <w:lang w:val="es-ES_tradnl"/>
        </w:rPr>
        <w:t>para PTE deben ser</w:t>
      </w:r>
      <w:r w:rsidRPr="00D73164">
        <w:rPr>
          <w:rFonts w:cs="Arial"/>
          <w:b w:val="0"/>
          <w:lang w:val="es-ES_tradnl"/>
        </w:rPr>
        <w:t xml:space="preserve"> realista</w:t>
      </w:r>
      <w:r>
        <w:rPr>
          <w:rFonts w:cs="Arial"/>
          <w:b w:val="0"/>
          <w:lang w:val="es-ES_tradnl"/>
        </w:rPr>
        <w:t>s</w:t>
      </w:r>
      <w:r w:rsidRPr="00D73164">
        <w:rPr>
          <w:rFonts w:cs="Arial"/>
          <w:b w:val="0"/>
          <w:lang w:val="es-ES_tradnl"/>
        </w:rPr>
        <w:t xml:space="preserve"> y coherente</w:t>
      </w:r>
      <w:r>
        <w:rPr>
          <w:rFonts w:cs="Arial"/>
          <w:b w:val="0"/>
          <w:lang w:val="es-ES_tradnl"/>
        </w:rPr>
        <w:t>s</w:t>
      </w:r>
      <w:r w:rsidRPr="00D73164">
        <w:rPr>
          <w:rFonts w:cs="Arial"/>
          <w:b w:val="0"/>
          <w:lang w:val="es-ES_tradnl"/>
        </w:rPr>
        <w:t xml:space="preserve"> con los recursos disponibles o potencialmente accesibles. La sostenibilidad de las actividades </w:t>
      </w:r>
      <w:r>
        <w:rPr>
          <w:rFonts w:cs="Arial"/>
          <w:b w:val="0"/>
          <w:lang w:val="es-ES_tradnl"/>
        </w:rPr>
        <w:t xml:space="preserve">con </w:t>
      </w:r>
      <w:r w:rsidRPr="00D73164">
        <w:rPr>
          <w:rFonts w:cs="Arial"/>
          <w:b w:val="0"/>
          <w:lang w:val="es-ES_tradnl"/>
        </w:rPr>
        <w:t xml:space="preserve">PTE es </w:t>
      </w:r>
      <w:r>
        <w:rPr>
          <w:rFonts w:cs="Arial"/>
          <w:b w:val="0"/>
          <w:lang w:val="es-ES_tradnl"/>
        </w:rPr>
        <w:t xml:space="preserve">mayor cuando se </w:t>
      </w:r>
      <w:r w:rsidRPr="00D73164">
        <w:rPr>
          <w:rFonts w:cs="Arial"/>
          <w:b w:val="0"/>
          <w:lang w:val="es-ES_tradnl"/>
        </w:rPr>
        <w:t xml:space="preserve">integran en los procesos existentes y </w:t>
      </w:r>
      <w:r>
        <w:rPr>
          <w:rFonts w:cs="Arial"/>
          <w:b w:val="0"/>
          <w:lang w:val="es-ES_tradnl"/>
        </w:rPr>
        <w:t xml:space="preserve">son </w:t>
      </w:r>
      <w:r w:rsidRPr="00D73164">
        <w:rPr>
          <w:rFonts w:cs="Arial"/>
          <w:b w:val="0"/>
          <w:lang w:val="es-ES_tradnl"/>
        </w:rPr>
        <w:t>consignados en el presupuesto anual.</w:t>
      </w:r>
    </w:p>
    <w:p w14:paraId="6070946C" w14:textId="337F0142" w:rsidR="00D73164" w:rsidRDefault="00D73164" w:rsidP="00D73164">
      <w:pPr>
        <w:pStyle w:val="Heading3"/>
        <w:rPr>
          <w:rFonts w:cs="Arial"/>
          <w:b w:val="0"/>
          <w:lang w:val="es-ES_tradnl"/>
        </w:rPr>
      </w:pPr>
      <w:r w:rsidRPr="00D73164">
        <w:rPr>
          <w:rFonts w:cs="Arial"/>
          <w:b w:val="0"/>
          <w:lang w:val="es-ES_tradnl"/>
        </w:rPr>
        <w:t xml:space="preserve">Los donantes, especialmente los que tienen líneas de financiación </w:t>
      </w:r>
      <w:r>
        <w:rPr>
          <w:rFonts w:cs="Arial"/>
          <w:b w:val="0"/>
          <w:lang w:val="es-ES_tradnl"/>
        </w:rPr>
        <w:t xml:space="preserve">específicas para PTE </w:t>
      </w:r>
      <w:r w:rsidRPr="00D73164">
        <w:rPr>
          <w:rFonts w:cs="Arial"/>
          <w:b w:val="0"/>
          <w:lang w:val="es-ES_tradnl"/>
        </w:rPr>
        <w:t>(por ejemplo, ECHO, USAID, DFID), debe</w:t>
      </w:r>
      <w:r>
        <w:rPr>
          <w:rFonts w:cs="Arial"/>
          <w:b w:val="0"/>
          <w:lang w:val="es-ES_tradnl"/>
        </w:rPr>
        <w:t>n</w:t>
      </w:r>
      <w:r w:rsidRPr="00D73164">
        <w:rPr>
          <w:rFonts w:cs="Arial"/>
          <w:b w:val="0"/>
          <w:lang w:val="es-ES_tradnl"/>
        </w:rPr>
        <w:t xml:space="preserve"> ser abordado</w:t>
      </w:r>
      <w:r>
        <w:rPr>
          <w:rFonts w:cs="Arial"/>
          <w:b w:val="0"/>
          <w:lang w:val="es-ES_tradnl"/>
        </w:rPr>
        <w:t>s</w:t>
      </w:r>
      <w:r w:rsidRPr="00D73164">
        <w:rPr>
          <w:rFonts w:cs="Arial"/>
          <w:b w:val="0"/>
          <w:lang w:val="es-ES_tradnl"/>
        </w:rPr>
        <w:t xml:space="preserve"> con regularidad y </w:t>
      </w:r>
      <w:r>
        <w:rPr>
          <w:rFonts w:cs="Arial"/>
          <w:b w:val="0"/>
          <w:lang w:val="es-ES_tradnl"/>
        </w:rPr>
        <w:t xml:space="preserve">los </w:t>
      </w:r>
      <w:r w:rsidRPr="00D73164">
        <w:rPr>
          <w:rFonts w:cs="Arial"/>
          <w:b w:val="0"/>
          <w:lang w:val="es-ES_tradnl"/>
        </w:rPr>
        <w:t xml:space="preserve">PTE deben ser </w:t>
      </w:r>
      <w:r w:rsidRPr="00D73164">
        <w:rPr>
          <w:rFonts w:cs="Arial"/>
          <w:b w:val="0"/>
          <w:lang w:val="es-ES_tradnl"/>
        </w:rPr>
        <w:lastRenderedPageBreak/>
        <w:t xml:space="preserve">incluidos en las nuevas propuestas. La herramienta </w:t>
      </w:r>
      <w:r>
        <w:rPr>
          <w:rFonts w:cs="Arial"/>
          <w:b w:val="0"/>
          <w:lang w:val="es-ES_tradnl"/>
        </w:rPr>
        <w:t xml:space="preserve">de la </w:t>
      </w:r>
      <w:r w:rsidRPr="00D73164">
        <w:rPr>
          <w:rFonts w:cs="Arial"/>
          <w:b w:val="0"/>
          <w:lang w:val="es-ES_tradnl"/>
        </w:rPr>
        <w:t>sub</w:t>
      </w:r>
      <w:r>
        <w:rPr>
          <w:rFonts w:cs="Arial"/>
          <w:b w:val="0"/>
          <w:lang w:val="es-ES_tradnl"/>
        </w:rPr>
        <w:t>-</w:t>
      </w:r>
      <w:r w:rsidRPr="00D73164">
        <w:rPr>
          <w:rFonts w:cs="Arial"/>
          <w:b w:val="0"/>
          <w:lang w:val="es-ES_tradnl"/>
        </w:rPr>
        <w:t xml:space="preserve">etapa </w:t>
      </w:r>
      <w:r>
        <w:rPr>
          <w:rFonts w:cs="Arial"/>
          <w:b w:val="0"/>
          <w:lang w:val="es-ES_tradnl"/>
        </w:rPr>
        <w:t xml:space="preserve">consiste en una </w:t>
      </w:r>
      <w:r w:rsidRPr="00D73164">
        <w:rPr>
          <w:rFonts w:cs="Arial"/>
          <w:b w:val="0"/>
          <w:lang w:val="es-ES_tradnl"/>
        </w:rPr>
        <w:t>matriz de mapeo de donantes</w:t>
      </w:r>
      <w:r>
        <w:rPr>
          <w:rFonts w:cs="Arial"/>
          <w:b w:val="0"/>
          <w:lang w:val="es-ES_tradnl"/>
        </w:rPr>
        <w:t>, que puede</w:t>
      </w:r>
      <w:r w:rsidRPr="00D73164">
        <w:rPr>
          <w:rFonts w:cs="Arial"/>
          <w:b w:val="0"/>
          <w:lang w:val="es-ES_tradnl"/>
        </w:rPr>
        <w:t xml:space="preserve"> ser de utilidad para organizar la información sobre los donantes.</w:t>
      </w:r>
    </w:p>
    <w:p w14:paraId="7BC4BF3B" w14:textId="4A4D85A5" w:rsidR="004B33D9" w:rsidRPr="006C649B" w:rsidRDefault="00D73164" w:rsidP="00290958">
      <w:pPr>
        <w:pStyle w:val="Heading3"/>
        <w:rPr>
          <w:rFonts w:cs="Arial"/>
          <w:lang w:val="es-ES_tradnl"/>
        </w:rPr>
      </w:pPr>
      <w:r>
        <w:rPr>
          <w:rFonts w:cs="Arial"/>
          <w:lang w:val="es-ES_tradnl"/>
        </w:rPr>
        <w:t>Realizar una simulación y/o un piloto</w:t>
      </w:r>
    </w:p>
    <w:p w14:paraId="11FE67B3" w14:textId="543FF53C" w:rsidR="00D73164" w:rsidRPr="00D73164" w:rsidRDefault="00D73164" w:rsidP="00D249AE">
      <w:pPr>
        <w:rPr>
          <w:rFonts w:cs="Arial"/>
          <w:lang w:val="es-ES_tradnl"/>
        </w:rPr>
      </w:pPr>
      <w:r w:rsidRPr="00D73164">
        <w:rPr>
          <w:rFonts w:cs="Arial"/>
          <w:lang w:val="es-ES_tradnl"/>
        </w:rPr>
        <w:t>Las</w:t>
      </w:r>
      <w:r w:rsidRPr="00D73164">
        <w:rPr>
          <w:rFonts w:cs="Arial"/>
          <w:b/>
          <w:i/>
          <w:lang w:val="es-ES_tradnl"/>
        </w:rPr>
        <w:t xml:space="preserve"> simulaciones </w:t>
      </w:r>
      <w:r w:rsidRPr="00D73164">
        <w:rPr>
          <w:rFonts w:cs="Arial"/>
          <w:lang w:val="es-ES_tradnl"/>
        </w:rPr>
        <w:t>perm</w:t>
      </w:r>
      <w:r>
        <w:rPr>
          <w:rFonts w:cs="Arial"/>
          <w:lang w:val="es-ES_tradnl"/>
        </w:rPr>
        <w:t>iten verificar la capacidad</w:t>
      </w:r>
      <w:r w:rsidRPr="00D73164">
        <w:rPr>
          <w:rFonts w:cs="Arial"/>
          <w:lang w:val="es-ES_tradnl"/>
        </w:rPr>
        <w:t xml:space="preserve"> operacional </w:t>
      </w:r>
      <w:r>
        <w:rPr>
          <w:rFonts w:cs="Arial"/>
          <w:lang w:val="es-ES_tradnl"/>
        </w:rPr>
        <w:t>para PTE y los resultados</w:t>
      </w:r>
      <w:r w:rsidRPr="00D73164">
        <w:rPr>
          <w:rFonts w:cs="Arial"/>
          <w:lang w:val="es-ES_tradnl"/>
        </w:rPr>
        <w:t xml:space="preserve"> desarrollados, y deben repetirse en el tiempo. </w:t>
      </w:r>
      <w:r>
        <w:rPr>
          <w:rFonts w:cs="Arial"/>
          <w:lang w:val="es-ES_tradnl"/>
        </w:rPr>
        <w:t>El a</w:t>
      </w:r>
      <w:r w:rsidRPr="00D73164">
        <w:rPr>
          <w:rFonts w:cs="Arial"/>
          <w:lang w:val="es-ES_tradnl"/>
        </w:rPr>
        <w:t xml:space="preserve">prendizaje derivado de </w:t>
      </w:r>
      <w:r>
        <w:rPr>
          <w:rFonts w:cs="Arial"/>
          <w:lang w:val="es-ES_tradnl"/>
        </w:rPr>
        <w:t xml:space="preserve">las </w:t>
      </w:r>
      <w:r w:rsidRPr="00D73164">
        <w:rPr>
          <w:rFonts w:cs="Arial"/>
          <w:lang w:val="es-ES_tradnl"/>
        </w:rPr>
        <w:t xml:space="preserve">simulaciones se debe incorporar en los procesos de preparación. Idealmente, los ejercicios de simulación </w:t>
      </w:r>
      <w:r>
        <w:rPr>
          <w:rFonts w:cs="Arial"/>
          <w:lang w:val="es-ES_tradnl"/>
        </w:rPr>
        <w:t xml:space="preserve">para </w:t>
      </w:r>
      <w:r w:rsidRPr="00D73164">
        <w:rPr>
          <w:rFonts w:cs="Arial"/>
          <w:lang w:val="es-ES_tradnl"/>
        </w:rPr>
        <w:t>PTE deben integrarse en los ejercicios de simulación de planificación de contingencia</w:t>
      </w:r>
      <w:r>
        <w:rPr>
          <w:rFonts w:cs="Arial"/>
          <w:lang w:val="es-ES_tradnl"/>
        </w:rPr>
        <w:t xml:space="preserve">s regulares y deben ser </w:t>
      </w:r>
      <w:r w:rsidRPr="00D73164">
        <w:rPr>
          <w:rFonts w:cs="Arial"/>
          <w:lang w:val="es-ES_tradnl"/>
        </w:rPr>
        <w:t>incluidos en el presupuesto de planificación de contingencia</w:t>
      </w:r>
      <w:r>
        <w:rPr>
          <w:rFonts w:cs="Arial"/>
          <w:lang w:val="es-ES_tradnl"/>
        </w:rPr>
        <w:t>s</w:t>
      </w:r>
      <w:r w:rsidRPr="00D73164">
        <w:rPr>
          <w:rFonts w:cs="Arial"/>
          <w:lang w:val="es-ES_tradnl"/>
        </w:rPr>
        <w:t xml:space="preserve">. Si hay limitaciones presupuestarias, es aconsejable desarrollar una simulación </w:t>
      </w:r>
      <w:r>
        <w:rPr>
          <w:rFonts w:cs="Arial"/>
          <w:lang w:val="es-ES_tradnl"/>
        </w:rPr>
        <w:t>“</w:t>
      </w:r>
      <w:r w:rsidRPr="00D73164">
        <w:rPr>
          <w:rFonts w:cs="Arial"/>
          <w:lang w:val="es-ES_tradnl"/>
        </w:rPr>
        <w:t>de escritorio</w:t>
      </w:r>
      <w:r>
        <w:rPr>
          <w:rFonts w:cs="Arial"/>
          <w:lang w:val="es-ES_tradnl"/>
        </w:rPr>
        <w:t>”</w:t>
      </w:r>
      <w:r w:rsidRPr="00D73164">
        <w:rPr>
          <w:rFonts w:cs="Arial"/>
          <w:lang w:val="es-ES_tradnl"/>
        </w:rPr>
        <w:t>.</w:t>
      </w:r>
    </w:p>
    <w:p w14:paraId="0D9135B6" w14:textId="0835DE9E" w:rsidR="00D73164" w:rsidRPr="00D73164" w:rsidRDefault="00D73164" w:rsidP="00D73164">
      <w:pPr>
        <w:rPr>
          <w:rFonts w:cs="Arial"/>
          <w:lang w:val="es-ES_tradnl"/>
        </w:rPr>
      </w:pPr>
      <w:r w:rsidRPr="00D73164">
        <w:rPr>
          <w:rFonts w:cs="Arial"/>
          <w:lang w:val="es-ES_tradnl"/>
        </w:rPr>
        <w:t>Los</w:t>
      </w:r>
      <w:r w:rsidRPr="00D73164">
        <w:rPr>
          <w:rFonts w:cs="Arial"/>
          <w:b/>
          <w:i/>
          <w:lang w:val="es-ES_tradnl"/>
        </w:rPr>
        <w:t xml:space="preserve"> pilotos </w:t>
      </w:r>
      <w:r w:rsidRPr="00D73164">
        <w:rPr>
          <w:rFonts w:cs="Arial"/>
          <w:lang w:val="es-ES_tradnl"/>
        </w:rPr>
        <w:t xml:space="preserve">pueden ayudar a un mayor desarrollo y </w:t>
      </w:r>
      <w:r>
        <w:rPr>
          <w:rFonts w:cs="Arial"/>
          <w:lang w:val="es-ES_tradnl"/>
        </w:rPr>
        <w:t xml:space="preserve">test </w:t>
      </w:r>
      <w:r w:rsidRPr="00D73164">
        <w:rPr>
          <w:rFonts w:cs="Arial"/>
          <w:lang w:val="es-ES_tradnl"/>
        </w:rPr>
        <w:t>de preparación para PTE. Consiste</w:t>
      </w:r>
      <w:r>
        <w:rPr>
          <w:rFonts w:cs="Arial"/>
          <w:lang w:val="es-ES_tradnl"/>
        </w:rPr>
        <w:t>n</w:t>
      </w:r>
      <w:r w:rsidRPr="00D73164">
        <w:rPr>
          <w:rFonts w:cs="Arial"/>
          <w:lang w:val="es-ES_tradnl"/>
        </w:rPr>
        <w:t xml:space="preserve"> en el despliegue de un proyecto a escala limitada en circunstancias reales</w:t>
      </w:r>
      <w:r>
        <w:rPr>
          <w:rFonts w:cs="Arial"/>
          <w:lang w:val="es-ES_tradnl"/>
        </w:rPr>
        <w:t xml:space="preserve"> (o casi reales)</w:t>
      </w:r>
      <w:r w:rsidRPr="00D73164">
        <w:rPr>
          <w:rFonts w:cs="Arial"/>
          <w:lang w:val="es-ES_tradnl"/>
        </w:rPr>
        <w:t xml:space="preserve"> de respuesta. Un piloto debe planearse </w:t>
      </w:r>
      <w:r w:rsidR="003F6F45" w:rsidRPr="00D73164">
        <w:rPr>
          <w:rFonts w:cs="Arial"/>
          <w:lang w:val="es-ES_tradnl"/>
        </w:rPr>
        <w:t>y presupuesta</w:t>
      </w:r>
      <w:r w:rsidR="003F6F45">
        <w:rPr>
          <w:rFonts w:cs="Arial"/>
          <w:lang w:val="es-ES_tradnl"/>
        </w:rPr>
        <w:t xml:space="preserve">rse </w:t>
      </w:r>
      <w:r w:rsidRPr="00D73164">
        <w:rPr>
          <w:rFonts w:cs="Arial"/>
          <w:lang w:val="es-ES_tradnl"/>
        </w:rPr>
        <w:t xml:space="preserve">cuidadosamente. El equipo de </w:t>
      </w:r>
      <w:r w:rsidR="003F6F45">
        <w:rPr>
          <w:rFonts w:cs="Arial"/>
          <w:lang w:val="es-ES_tradnl"/>
        </w:rPr>
        <w:t>movilización de recursos tendrá</w:t>
      </w:r>
      <w:r w:rsidRPr="00D73164">
        <w:rPr>
          <w:rFonts w:cs="Arial"/>
          <w:lang w:val="es-ES_tradnl"/>
        </w:rPr>
        <w:t xml:space="preserve"> la responsabilidad de buscar fondos para un piloto. También es posible llevar a cabo un piloto </w:t>
      </w:r>
      <w:r w:rsidR="003F6F45">
        <w:rPr>
          <w:rFonts w:cs="Arial"/>
          <w:lang w:val="es-ES_tradnl"/>
        </w:rPr>
        <w:t xml:space="preserve">para </w:t>
      </w:r>
      <w:r w:rsidRPr="00D73164">
        <w:rPr>
          <w:rFonts w:cs="Arial"/>
          <w:lang w:val="es-ES_tradnl"/>
        </w:rPr>
        <w:t>PTE como parte de un ejercicio interinstitucional.</w:t>
      </w:r>
    </w:p>
    <w:p w14:paraId="437E7FE3" w14:textId="6578568D" w:rsidR="00D73164" w:rsidRPr="003F6F45" w:rsidRDefault="00D73164" w:rsidP="00D73164">
      <w:pPr>
        <w:rPr>
          <w:rFonts w:cs="Arial"/>
          <w:lang w:val="es-ES_tradnl"/>
        </w:rPr>
      </w:pPr>
      <w:r w:rsidRPr="003F6F45">
        <w:rPr>
          <w:rFonts w:cs="Arial"/>
          <w:lang w:val="es-ES_tradnl"/>
        </w:rPr>
        <w:t xml:space="preserve">Las herramientas </w:t>
      </w:r>
      <w:r w:rsidR="003F6F45">
        <w:rPr>
          <w:rFonts w:cs="Arial"/>
          <w:lang w:val="es-ES_tradnl"/>
        </w:rPr>
        <w:t xml:space="preserve">de la </w:t>
      </w:r>
      <w:r w:rsidRPr="003F6F45">
        <w:rPr>
          <w:rFonts w:cs="Arial"/>
          <w:lang w:val="es-ES_tradnl"/>
        </w:rPr>
        <w:t>sub</w:t>
      </w:r>
      <w:r w:rsidR="003F6F45">
        <w:rPr>
          <w:rFonts w:cs="Arial"/>
          <w:lang w:val="es-ES_tradnl"/>
        </w:rPr>
        <w:t>-</w:t>
      </w:r>
      <w:r w:rsidRPr="003F6F45">
        <w:rPr>
          <w:rFonts w:cs="Arial"/>
          <w:lang w:val="es-ES_tradnl"/>
        </w:rPr>
        <w:t xml:space="preserve">etapa incluyen </w:t>
      </w:r>
      <w:r w:rsidR="003F6F45">
        <w:rPr>
          <w:rFonts w:cs="Arial"/>
          <w:lang w:val="es-ES_tradnl"/>
        </w:rPr>
        <w:t>materiales d</w:t>
      </w:r>
      <w:r w:rsidRPr="003F6F45">
        <w:rPr>
          <w:rFonts w:cs="Arial"/>
          <w:lang w:val="es-ES_tradnl"/>
        </w:rPr>
        <w:t xml:space="preserve">e simulación para cinco eventos y </w:t>
      </w:r>
      <w:r w:rsidR="003F6F45">
        <w:rPr>
          <w:rFonts w:cs="Arial"/>
          <w:lang w:val="es-ES_tradnl"/>
        </w:rPr>
        <w:t xml:space="preserve">una guía de formación para </w:t>
      </w:r>
      <w:r w:rsidRPr="003F6F45">
        <w:rPr>
          <w:rFonts w:cs="Arial"/>
          <w:lang w:val="es-ES_tradnl"/>
        </w:rPr>
        <w:t>simulaci</w:t>
      </w:r>
      <w:r w:rsidR="003F6F45">
        <w:rPr>
          <w:rFonts w:cs="Arial"/>
          <w:lang w:val="es-ES_tradnl"/>
        </w:rPr>
        <w:t xml:space="preserve">ones. </w:t>
      </w:r>
    </w:p>
    <w:p w14:paraId="691C9118" w14:textId="52EFD40E" w:rsidR="004B33D9" w:rsidRPr="006C649B" w:rsidRDefault="003F6F45" w:rsidP="00290958">
      <w:pPr>
        <w:pStyle w:val="Heading3"/>
        <w:rPr>
          <w:rFonts w:cs="Arial"/>
          <w:lang w:val="es-ES_tradnl"/>
        </w:rPr>
      </w:pPr>
      <w:r>
        <w:rPr>
          <w:rFonts w:cs="Arial"/>
          <w:lang w:val="es-ES_tradnl"/>
        </w:rPr>
        <w:t>C</w:t>
      </w:r>
      <w:r w:rsidRPr="006C649B">
        <w:rPr>
          <w:rFonts w:cs="Arial"/>
          <w:lang w:val="es-ES_tradnl"/>
        </w:rPr>
        <w:t>oordina</w:t>
      </w:r>
      <w:r>
        <w:rPr>
          <w:rFonts w:cs="Arial"/>
          <w:lang w:val="es-ES_tradnl"/>
        </w:rPr>
        <w:t>ción i</w:t>
      </w:r>
      <w:r w:rsidR="004B33D9" w:rsidRPr="006C649B">
        <w:rPr>
          <w:rFonts w:cs="Arial"/>
          <w:lang w:val="es-ES_tradnl"/>
        </w:rPr>
        <w:t>nterna</w:t>
      </w:r>
      <w:r>
        <w:rPr>
          <w:rFonts w:cs="Arial"/>
          <w:lang w:val="es-ES_tradnl"/>
        </w:rPr>
        <w:t xml:space="preserve"> y </w:t>
      </w:r>
      <w:r w:rsidR="004B33D9" w:rsidRPr="006C649B">
        <w:rPr>
          <w:rFonts w:cs="Arial"/>
          <w:lang w:val="es-ES_tradnl"/>
        </w:rPr>
        <w:t>externa</w:t>
      </w:r>
      <w:r>
        <w:rPr>
          <w:rFonts w:cs="Arial"/>
          <w:lang w:val="es-ES_tradnl"/>
        </w:rPr>
        <w:t xml:space="preserve"> para </w:t>
      </w:r>
      <w:r w:rsidR="00031303">
        <w:rPr>
          <w:rFonts w:cs="Arial"/>
          <w:lang w:val="es-ES_tradnl"/>
        </w:rPr>
        <w:t>PTE</w:t>
      </w:r>
      <w:r w:rsidR="004B33D9" w:rsidRPr="006C649B">
        <w:rPr>
          <w:rFonts w:cs="Arial"/>
          <w:lang w:val="es-ES_tradnl"/>
        </w:rPr>
        <w:t xml:space="preserve"> </w:t>
      </w:r>
    </w:p>
    <w:p w14:paraId="2DAB4973" w14:textId="54F6E0DC" w:rsidR="003F6F45" w:rsidRPr="003F6F45" w:rsidRDefault="003F6F45" w:rsidP="003F6F45">
      <w:pPr>
        <w:rPr>
          <w:rFonts w:cs="Arial"/>
          <w:lang w:val="es-ES_tradnl"/>
        </w:rPr>
      </w:pPr>
      <w:r>
        <w:rPr>
          <w:rFonts w:cs="Arial"/>
          <w:lang w:val="es-ES_tradnl"/>
        </w:rPr>
        <w:t>L</w:t>
      </w:r>
      <w:r w:rsidRPr="003F6F45">
        <w:rPr>
          <w:rFonts w:cs="Arial"/>
          <w:lang w:val="es-ES_tradnl"/>
        </w:rPr>
        <w:t xml:space="preserve">a coordinación </w:t>
      </w:r>
      <w:r>
        <w:rPr>
          <w:rFonts w:cs="Arial"/>
          <w:lang w:val="es-ES_tradnl"/>
        </w:rPr>
        <w:t>de PTE debe tener lugar a</w:t>
      </w:r>
      <w:r w:rsidRPr="003F6F45">
        <w:rPr>
          <w:rFonts w:cs="Arial"/>
          <w:lang w:val="es-ES_tradnl"/>
        </w:rPr>
        <w:t xml:space="preserve"> diferentes niveles, tanto interna como externamente. Internamente, debe existir una coordinación entre los diferentes miembros del personal y los departamentos, y en</w:t>
      </w:r>
      <w:r>
        <w:rPr>
          <w:rFonts w:cs="Arial"/>
          <w:lang w:val="es-ES_tradnl"/>
        </w:rPr>
        <w:t xml:space="preserve">tre la sede central y las seccionales </w:t>
      </w:r>
      <w:r w:rsidRPr="003F6F45">
        <w:rPr>
          <w:rFonts w:cs="Arial"/>
          <w:lang w:val="es-ES_tradnl"/>
        </w:rPr>
        <w:t xml:space="preserve">afectadas o específicas. La Sociedad Nacional </w:t>
      </w:r>
      <w:r>
        <w:rPr>
          <w:rFonts w:cs="Arial"/>
          <w:lang w:val="es-ES_tradnl"/>
        </w:rPr>
        <w:t xml:space="preserve">Anfitriona </w:t>
      </w:r>
      <w:r w:rsidRPr="003F6F45">
        <w:rPr>
          <w:rFonts w:cs="Arial"/>
          <w:lang w:val="es-ES_tradnl"/>
        </w:rPr>
        <w:t xml:space="preserve">debe </w:t>
      </w:r>
      <w:r>
        <w:rPr>
          <w:rFonts w:cs="Arial"/>
          <w:lang w:val="es-ES_tradnl"/>
        </w:rPr>
        <w:t>liderar</w:t>
      </w:r>
      <w:r w:rsidRPr="003F6F45">
        <w:rPr>
          <w:rFonts w:cs="Arial"/>
          <w:lang w:val="es-ES_tradnl"/>
        </w:rPr>
        <w:t xml:space="preserve"> la coordinación de los </w:t>
      </w:r>
      <w:r>
        <w:rPr>
          <w:rFonts w:cs="Arial"/>
          <w:lang w:val="es-ES_tradnl"/>
        </w:rPr>
        <w:t xml:space="preserve">miembros </w:t>
      </w:r>
      <w:r w:rsidRPr="003F6F45">
        <w:rPr>
          <w:rFonts w:cs="Arial"/>
          <w:lang w:val="es-ES_tradnl"/>
        </w:rPr>
        <w:t xml:space="preserve">del Movimiento y la respuesta </w:t>
      </w:r>
      <w:r>
        <w:rPr>
          <w:rFonts w:cs="Arial"/>
          <w:lang w:val="es-ES_tradnl"/>
        </w:rPr>
        <w:t xml:space="preserve">con </w:t>
      </w:r>
      <w:r w:rsidRPr="003F6F45">
        <w:rPr>
          <w:rFonts w:cs="Arial"/>
          <w:lang w:val="es-ES_tradnl"/>
        </w:rPr>
        <w:t>PTE dentro de un país.</w:t>
      </w:r>
    </w:p>
    <w:p w14:paraId="1F2D7E72" w14:textId="16EE01AB" w:rsidR="003F6F45" w:rsidRPr="003F6F45" w:rsidRDefault="003F6F45" w:rsidP="003F6F45">
      <w:pPr>
        <w:rPr>
          <w:rFonts w:cs="Arial"/>
          <w:lang w:val="es-ES_tradnl"/>
        </w:rPr>
      </w:pPr>
      <w:r w:rsidRPr="003F6F45">
        <w:rPr>
          <w:rFonts w:cs="Arial"/>
          <w:lang w:val="es-ES_tradnl"/>
        </w:rPr>
        <w:t xml:space="preserve">El punto focal </w:t>
      </w:r>
      <w:r>
        <w:rPr>
          <w:rFonts w:cs="Arial"/>
          <w:lang w:val="es-ES_tradnl"/>
        </w:rPr>
        <w:t xml:space="preserve">para </w:t>
      </w:r>
      <w:r w:rsidRPr="003F6F45">
        <w:rPr>
          <w:rFonts w:cs="Arial"/>
          <w:lang w:val="es-ES_tradnl"/>
        </w:rPr>
        <w:t>PTE debe participar en las reuniones de coordinac</w:t>
      </w:r>
      <w:r>
        <w:rPr>
          <w:rFonts w:cs="Arial"/>
          <w:lang w:val="es-ES_tradnl"/>
        </w:rPr>
        <w:t xml:space="preserve">ión nacionales y regionales. </w:t>
      </w:r>
      <w:r w:rsidRPr="003F6F45">
        <w:rPr>
          <w:rFonts w:cs="Arial"/>
          <w:lang w:val="es-ES_tradnl"/>
        </w:rPr>
        <w:t>Esto a</w:t>
      </w:r>
      <w:r>
        <w:rPr>
          <w:rFonts w:cs="Arial"/>
          <w:lang w:val="es-ES_tradnl"/>
        </w:rPr>
        <w:t xml:space="preserve">yudará a la Sociedad Nacional a involucrarse </w:t>
      </w:r>
      <w:r w:rsidRPr="003F6F45">
        <w:rPr>
          <w:rFonts w:cs="Arial"/>
          <w:lang w:val="es-ES_tradnl"/>
        </w:rPr>
        <w:t xml:space="preserve">en el intercambio de información vital, la coordinación, la preparación </w:t>
      </w:r>
      <w:r>
        <w:rPr>
          <w:rFonts w:cs="Arial"/>
          <w:lang w:val="es-ES_tradnl"/>
        </w:rPr>
        <w:t xml:space="preserve">para </w:t>
      </w:r>
      <w:r w:rsidRPr="003F6F45">
        <w:rPr>
          <w:rFonts w:cs="Arial"/>
          <w:lang w:val="es-ES_tradnl"/>
        </w:rPr>
        <w:t xml:space="preserve">PTE y la creación de capacidad con otras organizaciones en el país </w:t>
      </w:r>
      <w:r>
        <w:rPr>
          <w:rFonts w:cs="Arial"/>
          <w:lang w:val="es-ES_tradnl"/>
        </w:rPr>
        <w:t xml:space="preserve">o en el exterior. </w:t>
      </w:r>
      <w:r w:rsidRPr="003F6F45">
        <w:rPr>
          <w:rFonts w:cs="Arial"/>
          <w:lang w:val="es-ES_tradnl"/>
        </w:rPr>
        <w:t xml:space="preserve">Las herramientas </w:t>
      </w:r>
      <w:r>
        <w:rPr>
          <w:rFonts w:cs="Arial"/>
          <w:lang w:val="es-ES_tradnl"/>
        </w:rPr>
        <w:t xml:space="preserve">de la </w:t>
      </w:r>
      <w:r w:rsidRPr="003F6F45">
        <w:rPr>
          <w:rFonts w:cs="Arial"/>
          <w:lang w:val="es-ES_tradnl"/>
        </w:rPr>
        <w:t>sub</w:t>
      </w:r>
      <w:r>
        <w:rPr>
          <w:rFonts w:cs="Arial"/>
          <w:lang w:val="es-ES_tradnl"/>
        </w:rPr>
        <w:t>-</w:t>
      </w:r>
      <w:r w:rsidRPr="003F6F45">
        <w:rPr>
          <w:rFonts w:cs="Arial"/>
          <w:lang w:val="es-ES_tradnl"/>
        </w:rPr>
        <w:t xml:space="preserve">etapa incluyen los recursos </w:t>
      </w:r>
      <w:r>
        <w:rPr>
          <w:rFonts w:cs="Arial"/>
          <w:lang w:val="es-ES_tradnl"/>
        </w:rPr>
        <w:t xml:space="preserve">necesarios de cara a la </w:t>
      </w:r>
      <w:r w:rsidRPr="003F6F45">
        <w:rPr>
          <w:rFonts w:cs="Arial"/>
          <w:lang w:val="es-ES_tradnl"/>
        </w:rPr>
        <w:t>coordinación de</w:t>
      </w:r>
      <w:r>
        <w:rPr>
          <w:rFonts w:cs="Arial"/>
          <w:lang w:val="es-ES_tradnl"/>
        </w:rPr>
        <w:t>l M</w:t>
      </w:r>
      <w:r w:rsidRPr="003F6F45">
        <w:rPr>
          <w:rFonts w:cs="Arial"/>
          <w:lang w:val="es-ES_tradnl"/>
        </w:rPr>
        <w:t>ovimiento.</w:t>
      </w:r>
    </w:p>
    <w:p w14:paraId="3F9DF80F" w14:textId="2308C797" w:rsidR="004B33D9" w:rsidRPr="006C649B" w:rsidRDefault="003F6F45" w:rsidP="00290958">
      <w:pPr>
        <w:pStyle w:val="Heading3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Elaborar y ejecutar una estrategia de comunicación y materiales de promoción </w:t>
      </w:r>
    </w:p>
    <w:p w14:paraId="740B8E42" w14:textId="44DFAF76" w:rsidR="003F6F45" w:rsidRPr="003F6F45" w:rsidRDefault="003F6F45" w:rsidP="003F6F45">
      <w:pPr>
        <w:rPr>
          <w:rFonts w:cs="Arial"/>
          <w:lang w:val="es-ES_tradnl"/>
        </w:rPr>
      </w:pPr>
      <w:r>
        <w:rPr>
          <w:rFonts w:cs="Arial"/>
          <w:lang w:val="es-ES_tradnl"/>
        </w:rPr>
        <w:t>Las comunicaciones sobre</w:t>
      </w:r>
      <w:r w:rsidRPr="003F6F45">
        <w:rPr>
          <w:rFonts w:cs="Arial"/>
          <w:lang w:val="es-ES_tradnl"/>
        </w:rPr>
        <w:t xml:space="preserve"> PTE deberían integrarse en la estrategia </w:t>
      </w:r>
      <w:r>
        <w:rPr>
          <w:rFonts w:cs="Arial"/>
          <w:lang w:val="es-ES_tradnl"/>
        </w:rPr>
        <w:t>r</w:t>
      </w:r>
      <w:r w:rsidRPr="003F6F45">
        <w:rPr>
          <w:rFonts w:cs="Arial"/>
          <w:lang w:val="es-ES_tradnl"/>
        </w:rPr>
        <w:t>egular</w:t>
      </w:r>
      <w:r>
        <w:rPr>
          <w:rFonts w:cs="Arial"/>
          <w:lang w:val="es-ES_tradnl"/>
        </w:rPr>
        <w:t xml:space="preserve"> de comunicación </w:t>
      </w:r>
      <w:r w:rsidRPr="003F6F45">
        <w:rPr>
          <w:rFonts w:cs="Arial"/>
          <w:lang w:val="es-ES_tradnl"/>
        </w:rPr>
        <w:t xml:space="preserve">y </w:t>
      </w:r>
      <w:r>
        <w:rPr>
          <w:rFonts w:cs="Arial"/>
          <w:lang w:val="es-ES_tradnl"/>
        </w:rPr>
        <w:t xml:space="preserve">en los </w:t>
      </w:r>
      <w:r w:rsidRPr="003F6F45">
        <w:rPr>
          <w:rFonts w:cs="Arial"/>
          <w:lang w:val="es-ES_tradnl"/>
        </w:rPr>
        <w:t>planes</w:t>
      </w:r>
      <w:r>
        <w:rPr>
          <w:rFonts w:cs="Arial"/>
          <w:lang w:val="es-ES_tradnl"/>
        </w:rPr>
        <w:t xml:space="preserve"> de comunicación</w:t>
      </w:r>
      <w:r w:rsidRPr="003F6F45">
        <w:rPr>
          <w:rFonts w:cs="Arial"/>
          <w:lang w:val="es-ES_tradnl"/>
        </w:rPr>
        <w:t xml:space="preserve">. Las actualizaciones regulares e informes sobre las actividades </w:t>
      </w:r>
      <w:r>
        <w:rPr>
          <w:rFonts w:cs="Arial"/>
          <w:lang w:val="es-ES_tradnl"/>
        </w:rPr>
        <w:t xml:space="preserve">de </w:t>
      </w:r>
      <w:r w:rsidRPr="003F6F45">
        <w:rPr>
          <w:rFonts w:cs="Arial"/>
          <w:lang w:val="es-ES_tradnl"/>
        </w:rPr>
        <w:t>PTE deben compartirse internamente y externamente para promover el conocimiento y la comprensión a través de la organización y entre los interesados ​​externos. Además de los materiales y canales de comunicación tradicionales, es posible considerar la creación de una página web dedicada a actividade</w:t>
      </w:r>
      <w:r>
        <w:rPr>
          <w:rFonts w:cs="Arial"/>
          <w:lang w:val="es-ES_tradnl"/>
        </w:rPr>
        <w:t xml:space="preserve">s de </w:t>
      </w:r>
      <w:r w:rsidRPr="003F6F45">
        <w:rPr>
          <w:rFonts w:cs="Arial"/>
          <w:lang w:val="es-ES_tradnl"/>
        </w:rPr>
        <w:t xml:space="preserve">PTE que se han </w:t>
      </w:r>
      <w:r w:rsidR="00382F53">
        <w:rPr>
          <w:rFonts w:cs="Arial"/>
          <w:lang w:val="es-ES_tradnl"/>
        </w:rPr>
        <w:t xml:space="preserve">implementado </w:t>
      </w:r>
      <w:r w:rsidRPr="003F6F45">
        <w:rPr>
          <w:rFonts w:cs="Arial"/>
          <w:lang w:val="es-ES_tradnl"/>
        </w:rPr>
        <w:t xml:space="preserve">y </w:t>
      </w:r>
      <w:r w:rsidR="00382F53">
        <w:rPr>
          <w:rFonts w:cs="Arial"/>
          <w:lang w:val="es-ES_tradnl"/>
        </w:rPr>
        <w:t>también activar</w:t>
      </w:r>
      <w:r w:rsidRPr="003F6F45">
        <w:rPr>
          <w:rFonts w:cs="Arial"/>
          <w:lang w:val="es-ES_tradnl"/>
        </w:rPr>
        <w:t xml:space="preserve"> los medios de comunicación social</w:t>
      </w:r>
      <w:r w:rsidR="00382F53">
        <w:rPr>
          <w:rFonts w:cs="Arial"/>
          <w:lang w:val="es-ES_tradnl"/>
        </w:rPr>
        <w:t>es</w:t>
      </w:r>
      <w:r w:rsidRPr="003F6F45">
        <w:rPr>
          <w:rFonts w:cs="Arial"/>
          <w:lang w:val="es-ES_tradnl"/>
        </w:rPr>
        <w:t xml:space="preserve"> para promover la</w:t>
      </w:r>
      <w:r w:rsidR="00382F53">
        <w:rPr>
          <w:rFonts w:cs="Arial"/>
          <w:lang w:val="es-ES_tradnl"/>
        </w:rPr>
        <w:t>s</w:t>
      </w:r>
      <w:r w:rsidRPr="003F6F45">
        <w:rPr>
          <w:rFonts w:cs="Arial"/>
          <w:lang w:val="es-ES_tradnl"/>
        </w:rPr>
        <w:t xml:space="preserve"> experiencia</w:t>
      </w:r>
      <w:r w:rsidR="00382F53">
        <w:rPr>
          <w:rFonts w:cs="Arial"/>
          <w:lang w:val="es-ES_tradnl"/>
        </w:rPr>
        <w:t>s con</w:t>
      </w:r>
      <w:r w:rsidRPr="003F6F45">
        <w:rPr>
          <w:rFonts w:cs="Arial"/>
          <w:lang w:val="es-ES_tradnl"/>
        </w:rPr>
        <w:t xml:space="preserve"> PTE </w:t>
      </w:r>
      <w:r w:rsidR="00382F53">
        <w:rPr>
          <w:rFonts w:cs="Arial"/>
          <w:lang w:val="es-ES_tradnl"/>
        </w:rPr>
        <w:t xml:space="preserve">entre </w:t>
      </w:r>
      <w:r w:rsidRPr="003F6F45">
        <w:rPr>
          <w:rFonts w:cs="Arial"/>
          <w:lang w:val="es-ES_tradnl"/>
        </w:rPr>
        <w:t xml:space="preserve">un público más amplio. Las herramientas </w:t>
      </w:r>
      <w:r w:rsidR="00382F53">
        <w:rPr>
          <w:rFonts w:cs="Arial"/>
          <w:lang w:val="es-ES_tradnl"/>
        </w:rPr>
        <w:t xml:space="preserve">de la </w:t>
      </w:r>
      <w:r w:rsidRPr="003F6F45">
        <w:rPr>
          <w:rFonts w:cs="Arial"/>
          <w:lang w:val="es-ES_tradnl"/>
        </w:rPr>
        <w:t>sub</w:t>
      </w:r>
      <w:r w:rsidR="00382F53">
        <w:rPr>
          <w:rFonts w:cs="Arial"/>
          <w:lang w:val="es-ES_tradnl"/>
        </w:rPr>
        <w:t>-</w:t>
      </w:r>
      <w:r w:rsidRPr="003F6F45">
        <w:rPr>
          <w:rFonts w:cs="Arial"/>
          <w:lang w:val="es-ES_tradnl"/>
        </w:rPr>
        <w:t xml:space="preserve">etapa incluyen </w:t>
      </w:r>
      <w:r w:rsidR="00382F53">
        <w:rPr>
          <w:rFonts w:cs="Arial"/>
          <w:lang w:val="es-ES_tradnl"/>
        </w:rPr>
        <w:t xml:space="preserve">un listado de </w:t>
      </w:r>
      <w:r w:rsidRPr="003F6F45">
        <w:rPr>
          <w:rFonts w:cs="Arial"/>
          <w:lang w:val="es-ES_tradnl"/>
        </w:rPr>
        <w:t xml:space="preserve">respuestas </w:t>
      </w:r>
      <w:r w:rsidR="00382F53">
        <w:rPr>
          <w:rFonts w:cs="Arial"/>
          <w:lang w:val="es-ES_tradnl"/>
        </w:rPr>
        <w:t xml:space="preserve">a las preguntas más frecuentes </w:t>
      </w:r>
      <w:r w:rsidRPr="003F6F45">
        <w:rPr>
          <w:rFonts w:cs="Arial"/>
          <w:lang w:val="es-ES_tradnl"/>
        </w:rPr>
        <w:t>sobre PTE.</w:t>
      </w:r>
    </w:p>
    <w:p w14:paraId="30912CF7" w14:textId="40650650" w:rsidR="003F6F45" w:rsidRDefault="00382F53" w:rsidP="003F6F45">
      <w:pPr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Los </w:t>
      </w:r>
      <w:r w:rsidR="003F6F45" w:rsidRPr="003F6F45">
        <w:rPr>
          <w:rFonts w:cs="Arial"/>
          <w:lang w:val="es-ES_tradnl"/>
        </w:rPr>
        <w:t xml:space="preserve">materiales de comunicación </w:t>
      </w:r>
      <w:r>
        <w:rPr>
          <w:rFonts w:cs="Arial"/>
          <w:lang w:val="es-ES_tradnl"/>
        </w:rPr>
        <w:t xml:space="preserve">con </w:t>
      </w:r>
      <w:r w:rsidR="003F6F45" w:rsidRPr="003F6F45">
        <w:rPr>
          <w:rFonts w:cs="Arial"/>
          <w:lang w:val="es-ES_tradnl"/>
        </w:rPr>
        <w:t>beneficiario</w:t>
      </w:r>
      <w:r>
        <w:rPr>
          <w:rFonts w:cs="Arial"/>
          <w:lang w:val="es-ES_tradnl"/>
        </w:rPr>
        <w:t>s sobre</w:t>
      </w:r>
      <w:r w:rsidR="003F6F45" w:rsidRPr="003F6F45">
        <w:rPr>
          <w:rFonts w:cs="Arial"/>
          <w:lang w:val="es-ES_tradnl"/>
        </w:rPr>
        <w:t xml:space="preserve"> PTE, </w:t>
      </w:r>
      <w:r>
        <w:rPr>
          <w:rFonts w:cs="Arial"/>
          <w:lang w:val="es-ES_tradnl"/>
        </w:rPr>
        <w:t xml:space="preserve">tales como </w:t>
      </w:r>
      <w:r w:rsidR="003F6F45" w:rsidRPr="003F6F45">
        <w:rPr>
          <w:rFonts w:cs="Arial"/>
          <w:lang w:val="es-ES_tradnl"/>
        </w:rPr>
        <w:t xml:space="preserve">carteles, folletos y otros enfoques, se pueden desarrollar durante la fase de preparación y </w:t>
      </w:r>
      <w:r>
        <w:rPr>
          <w:rFonts w:cs="Arial"/>
          <w:lang w:val="es-ES_tradnl"/>
        </w:rPr>
        <w:t xml:space="preserve">ser </w:t>
      </w:r>
      <w:r w:rsidR="003F6F45" w:rsidRPr="003F6F45">
        <w:rPr>
          <w:rFonts w:cs="Arial"/>
          <w:lang w:val="es-ES_tradnl"/>
        </w:rPr>
        <w:t xml:space="preserve">adaptados </w:t>
      </w:r>
      <w:r>
        <w:rPr>
          <w:rFonts w:cs="Arial"/>
          <w:lang w:val="es-ES_tradnl"/>
        </w:rPr>
        <w:t>más tarde para las intervenciones</w:t>
      </w:r>
      <w:r w:rsidR="003F6F45" w:rsidRPr="003F6F45">
        <w:rPr>
          <w:rFonts w:cs="Arial"/>
          <w:lang w:val="es-ES_tradnl"/>
        </w:rPr>
        <w:t xml:space="preserve"> específicas. Durante una intervención de emergencia, </w:t>
      </w:r>
      <w:r>
        <w:rPr>
          <w:rFonts w:cs="Arial"/>
          <w:lang w:val="es-ES_tradnl"/>
        </w:rPr>
        <w:t xml:space="preserve">los </w:t>
      </w:r>
      <w:r w:rsidR="003F6F45" w:rsidRPr="003F6F45">
        <w:rPr>
          <w:rFonts w:cs="Arial"/>
          <w:lang w:val="es-ES_tradnl"/>
        </w:rPr>
        <w:t xml:space="preserve">sistemas </w:t>
      </w:r>
      <w:r w:rsidRPr="003F6F45">
        <w:rPr>
          <w:rFonts w:cs="Arial"/>
          <w:lang w:val="es-ES_tradnl"/>
        </w:rPr>
        <w:t xml:space="preserve">y herramientas </w:t>
      </w:r>
      <w:r w:rsidR="003F6F45" w:rsidRPr="003F6F45">
        <w:rPr>
          <w:rFonts w:cs="Arial"/>
          <w:lang w:val="es-ES_tradnl"/>
        </w:rPr>
        <w:t xml:space="preserve">de comunicación </w:t>
      </w:r>
      <w:r>
        <w:rPr>
          <w:rFonts w:cs="Arial"/>
          <w:lang w:val="es-ES_tradnl"/>
        </w:rPr>
        <w:t xml:space="preserve">con los </w:t>
      </w:r>
      <w:r w:rsidR="003F6F45" w:rsidRPr="003F6F45">
        <w:rPr>
          <w:rFonts w:cs="Arial"/>
          <w:lang w:val="es-ES_tradnl"/>
        </w:rPr>
        <w:t>beneficiario</w:t>
      </w:r>
      <w:r>
        <w:rPr>
          <w:rFonts w:cs="Arial"/>
          <w:lang w:val="es-ES_tradnl"/>
        </w:rPr>
        <w:t>s</w:t>
      </w:r>
      <w:r w:rsidR="003F6F45" w:rsidRPr="003F6F45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>deben estar lista</w:t>
      </w:r>
      <w:r w:rsidR="003F6F45" w:rsidRPr="003F6F45">
        <w:rPr>
          <w:rFonts w:cs="Arial"/>
          <w:lang w:val="es-ES_tradnl"/>
        </w:rPr>
        <w:t xml:space="preserve">s para el acceso y </w:t>
      </w:r>
      <w:r>
        <w:rPr>
          <w:rFonts w:cs="Arial"/>
          <w:lang w:val="es-ES_tradnl"/>
        </w:rPr>
        <w:t xml:space="preserve">el </w:t>
      </w:r>
      <w:r w:rsidR="003F6F45" w:rsidRPr="003F6F45">
        <w:rPr>
          <w:rFonts w:cs="Arial"/>
          <w:lang w:val="es-ES_tradnl"/>
        </w:rPr>
        <w:t xml:space="preserve">uso. </w:t>
      </w:r>
      <w:r>
        <w:rPr>
          <w:rFonts w:cs="Arial"/>
          <w:lang w:val="es-ES_tradnl"/>
        </w:rPr>
        <w:t xml:space="preserve">Los </w:t>
      </w:r>
      <w:r w:rsidR="003F6F45" w:rsidRPr="003F6F45">
        <w:rPr>
          <w:rFonts w:cs="Arial"/>
          <w:lang w:val="es-ES_tradnl"/>
        </w:rPr>
        <w:t>elementos</w:t>
      </w:r>
      <w:r>
        <w:rPr>
          <w:rFonts w:cs="Arial"/>
          <w:lang w:val="es-ES_tradnl"/>
        </w:rPr>
        <w:t xml:space="preserve"> sobre los</w:t>
      </w:r>
      <w:r w:rsidR="003F6F45" w:rsidRPr="003F6F45">
        <w:rPr>
          <w:rFonts w:cs="Arial"/>
          <w:lang w:val="es-ES_tradnl"/>
        </w:rPr>
        <w:t xml:space="preserve"> </w:t>
      </w:r>
      <w:r w:rsidRPr="003F6F45">
        <w:rPr>
          <w:rFonts w:cs="Arial"/>
          <w:lang w:val="es-ES_tradnl"/>
        </w:rPr>
        <w:t xml:space="preserve">PTE </w:t>
      </w:r>
      <w:r w:rsidR="003F6F45" w:rsidRPr="003F6F45">
        <w:rPr>
          <w:rFonts w:cs="Arial"/>
          <w:lang w:val="es-ES_tradnl"/>
        </w:rPr>
        <w:t xml:space="preserve">deben ser compartidos directamente con la población afectada para mejorar la eficacia y la rendición de cuentas de la respuesta. Las herramientas </w:t>
      </w:r>
      <w:r>
        <w:rPr>
          <w:rFonts w:cs="Arial"/>
          <w:lang w:val="es-ES_tradnl"/>
        </w:rPr>
        <w:t xml:space="preserve">de la </w:t>
      </w:r>
      <w:r w:rsidR="003F6F45" w:rsidRPr="003F6F45">
        <w:rPr>
          <w:rFonts w:cs="Arial"/>
          <w:lang w:val="es-ES_tradnl"/>
        </w:rPr>
        <w:t>sub</w:t>
      </w:r>
      <w:r>
        <w:rPr>
          <w:rFonts w:cs="Arial"/>
          <w:lang w:val="es-ES_tradnl"/>
        </w:rPr>
        <w:t>-</w:t>
      </w:r>
      <w:r w:rsidR="003F6F45" w:rsidRPr="003F6F45">
        <w:rPr>
          <w:rFonts w:cs="Arial"/>
          <w:lang w:val="es-ES_tradnl"/>
        </w:rPr>
        <w:t>etapa incluyen una hoja de ruta que proporciona orientación sobre cómo comunicar y rendir cuentas a los beneficiarios.</w:t>
      </w:r>
    </w:p>
    <w:tbl>
      <w:tblPr>
        <w:tblStyle w:val="TableGray"/>
        <w:tblW w:w="0" w:type="auto"/>
        <w:tblInd w:w="142" w:type="dxa"/>
        <w:tblLook w:val="04A0" w:firstRow="1" w:lastRow="0" w:firstColumn="1" w:lastColumn="0" w:noHBand="0" w:noVBand="1"/>
      </w:tblPr>
      <w:tblGrid>
        <w:gridCol w:w="9490"/>
      </w:tblGrid>
      <w:tr w:rsidR="00290958" w:rsidRPr="006C649B" w14:paraId="2CE6D0B8" w14:textId="77777777" w:rsidTr="00382F53">
        <w:tc>
          <w:tcPr>
            <w:tcW w:w="9490" w:type="dxa"/>
          </w:tcPr>
          <w:p w14:paraId="1D9D13A1" w14:textId="2C7E45C7" w:rsidR="00290958" w:rsidRPr="006C649B" w:rsidRDefault="00382F53" w:rsidP="00290958">
            <w:pPr>
              <w:pStyle w:val="RefTitre"/>
              <w:rPr>
                <w:rFonts w:cs="Arial"/>
                <w:lang w:val="es-ES_tradnl"/>
              </w:rPr>
            </w:pPr>
            <w:r w:rsidRPr="006C649B">
              <w:rPr>
                <w:rFonts w:cs="Arial"/>
                <w:lang w:val="es-ES_tradnl"/>
              </w:rPr>
              <w:t>DOCUMENT</w:t>
            </w:r>
            <w:r>
              <w:rPr>
                <w:rFonts w:cs="Arial"/>
                <w:lang w:val="es-ES_tradnl"/>
              </w:rPr>
              <w:t>O</w:t>
            </w:r>
            <w:r w:rsidRPr="006C649B">
              <w:rPr>
                <w:rFonts w:cs="Arial"/>
                <w:lang w:val="es-ES_tradnl"/>
              </w:rPr>
              <w:t xml:space="preserve">S </w:t>
            </w:r>
            <w:r>
              <w:rPr>
                <w:rFonts w:cs="Arial"/>
                <w:lang w:val="es-ES_tradnl"/>
              </w:rPr>
              <w:t xml:space="preserve">DE </w:t>
            </w:r>
            <w:r w:rsidR="00290958" w:rsidRPr="006C649B">
              <w:rPr>
                <w:rFonts w:cs="Arial"/>
                <w:lang w:val="es-ES_tradnl"/>
              </w:rPr>
              <w:t>REFERENC</w:t>
            </w:r>
            <w:r>
              <w:rPr>
                <w:rFonts w:cs="Arial"/>
                <w:lang w:val="es-ES_tradnl"/>
              </w:rPr>
              <w:t xml:space="preserve">IA </w:t>
            </w:r>
          </w:p>
          <w:p w14:paraId="2E06D172" w14:textId="15EF5AB8" w:rsidR="00290958" w:rsidRPr="006C649B" w:rsidRDefault="00382F53" w:rsidP="00382F53">
            <w:pPr>
              <w:pStyle w:val="RefItem1"/>
              <w:rPr>
                <w:rFonts w:cs="Arial"/>
                <w:lang w:val="es-ES_tradnl"/>
              </w:rPr>
            </w:pPr>
            <w:r w:rsidRPr="00382F53">
              <w:rPr>
                <w:rFonts w:cs="Arial"/>
                <w:lang w:val="es-ES_tradnl"/>
              </w:rPr>
              <w:t>Programas de transferencias de efectivo</w:t>
            </w:r>
            <w:r>
              <w:rPr>
                <w:rFonts w:cs="Arial"/>
                <w:lang w:val="es-ES_tradnl"/>
              </w:rPr>
              <w:t xml:space="preserve"> - H</w:t>
            </w:r>
            <w:r w:rsidRPr="00382F53">
              <w:rPr>
                <w:rFonts w:cs="Arial"/>
                <w:lang w:val="es-ES_tradnl"/>
              </w:rPr>
              <w:t>aciendo partícipe al liderazgo de la Sociedad Nacional</w:t>
            </w:r>
            <w:r>
              <w:rPr>
                <w:rFonts w:cs="Arial"/>
                <w:lang w:val="es-ES_tradnl"/>
              </w:rPr>
              <w:t xml:space="preserve">. </w:t>
            </w:r>
            <w:r w:rsidRPr="00382F53">
              <w:rPr>
                <w:rFonts w:cs="Arial"/>
                <w:lang w:val="es-ES_tradnl"/>
              </w:rPr>
              <w:t>Directrices y materiales para facilitar la promoción interna</w:t>
            </w:r>
            <w:r w:rsidR="00290958" w:rsidRPr="006C649B">
              <w:rPr>
                <w:rFonts w:cs="Arial"/>
                <w:lang w:val="es-ES_tradnl"/>
              </w:rPr>
              <w:t xml:space="preserve">. </w:t>
            </w:r>
            <w:r>
              <w:rPr>
                <w:rFonts w:cs="Arial"/>
                <w:lang w:val="es-ES_tradnl"/>
              </w:rPr>
              <w:t xml:space="preserve">FICR </w:t>
            </w:r>
            <w:r w:rsidR="00290958" w:rsidRPr="006C649B">
              <w:rPr>
                <w:rFonts w:cs="Arial"/>
                <w:lang w:val="es-ES_tradnl"/>
              </w:rPr>
              <w:t xml:space="preserve">2013 </w:t>
            </w:r>
          </w:p>
          <w:p w14:paraId="569DC09A" w14:textId="0DB6D58C" w:rsidR="00290958" w:rsidRPr="006C649B" w:rsidRDefault="00290958" w:rsidP="00290958">
            <w:pPr>
              <w:pStyle w:val="RefItem1"/>
              <w:rPr>
                <w:rFonts w:cs="Arial"/>
                <w:lang w:val="es-ES_tradnl"/>
              </w:rPr>
            </w:pPr>
            <w:r w:rsidRPr="006C649B">
              <w:rPr>
                <w:rFonts w:cs="Arial"/>
                <w:lang w:val="es-ES_tradnl"/>
              </w:rPr>
              <w:t xml:space="preserve">IFRC (2011) </w:t>
            </w:r>
            <w:proofErr w:type="spellStart"/>
            <w:r w:rsidRPr="006C649B">
              <w:rPr>
                <w:rFonts w:cs="Arial"/>
                <w:lang w:val="es-ES_tradnl"/>
              </w:rPr>
              <w:t>Beneficiary</w:t>
            </w:r>
            <w:proofErr w:type="spellEnd"/>
            <w:r w:rsidRPr="006C649B">
              <w:rPr>
                <w:rFonts w:cs="Arial"/>
                <w:lang w:val="es-ES_tradnl"/>
              </w:rPr>
              <w:t xml:space="preserve"> </w:t>
            </w:r>
            <w:proofErr w:type="spellStart"/>
            <w:r w:rsidRPr="006C649B">
              <w:rPr>
                <w:rFonts w:cs="Arial"/>
                <w:lang w:val="es-ES_tradnl"/>
              </w:rPr>
              <w:t>Communication</w:t>
            </w:r>
            <w:proofErr w:type="spellEnd"/>
            <w:r w:rsidRPr="006C649B">
              <w:rPr>
                <w:rFonts w:cs="Arial"/>
                <w:lang w:val="es-ES_tradnl"/>
              </w:rPr>
              <w:t xml:space="preserve"> and </w:t>
            </w:r>
            <w:proofErr w:type="spellStart"/>
            <w:r w:rsidRPr="006C649B">
              <w:rPr>
                <w:rFonts w:cs="Arial"/>
                <w:lang w:val="es-ES_tradnl"/>
              </w:rPr>
              <w:t>Accountability</w:t>
            </w:r>
            <w:proofErr w:type="spellEnd"/>
            <w:r w:rsidRPr="006C649B">
              <w:rPr>
                <w:rFonts w:cs="Arial"/>
                <w:lang w:val="es-ES_tradnl"/>
              </w:rPr>
              <w:t xml:space="preserve"> </w:t>
            </w:r>
            <w:hyperlink r:id="rId8" w:history="1">
              <w:r w:rsidRPr="006C649B">
                <w:rPr>
                  <w:rStyle w:val="Hyperlink"/>
                  <w:rFonts w:cs="Arial"/>
                  <w:lang w:val="es-ES_tradnl"/>
                </w:rPr>
                <w:t>http://www.ifrc.org/PageFiles/94411/IFRC%20BCA%20Lesson%20Learned%20doc_final.pdf</w:t>
              </w:r>
            </w:hyperlink>
          </w:p>
          <w:p w14:paraId="7CF2CB01" w14:textId="77777777" w:rsidR="00290958" w:rsidRPr="006C649B" w:rsidRDefault="00290958" w:rsidP="00290958">
            <w:pPr>
              <w:pStyle w:val="RefItem1"/>
              <w:rPr>
                <w:rFonts w:cs="Arial"/>
                <w:lang w:val="es-ES_tradnl"/>
              </w:rPr>
            </w:pPr>
            <w:proofErr w:type="spellStart"/>
            <w:r w:rsidRPr="006C649B">
              <w:rPr>
                <w:rFonts w:cs="Arial"/>
                <w:lang w:val="es-ES_tradnl"/>
              </w:rPr>
              <w:t>CaLP</w:t>
            </w:r>
            <w:proofErr w:type="spellEnd"/>
            <w:r w:rsidRPr="006C649B">
              <w:rPr>
                <w:rFonts w:cs="Arial"/>
                <w:lang w:val="es-ES_tradnl"/>
              </w:rPr>
              <w:t xml:space="preserve"> (2011) </w:t>
            </w:r>
            <w:proofErr w:type="spellStart"/>
            <w:r w:rsidRPr="006C649B">
              <w:rPr>
                <w:rFonts w:cs="Arial"/>
                <w:lang w:val="es-ES_tradnl"/>
              </w:rPr>
              <w:t>Communicating</w:t>
            </w:r>
            <w:proofErr w:type="spellEnd"/>
            <w:r w:rsidRPr="006C649B">
              <w:rPr>
                <w:rFonts w:cs="Arial"/>
                <w:lang w:val="es-ES_tradnl"/>
              </w:rPr>
              <w:t xml:space="preserve"> cash: A </w:t>
            </w:r>
            <w:proofErr w:type="spellStart"/>
            <w:r w:rsidRPr="006C649B">
              <w:rPr>
                <w:rFonts w:cs="Arial"/>
                <w:lang w:val="es-ES_tradnl"/>
              </w:rPr>
              <w:t>field</w:t>
            </w:r>
            <w:proofErr w:type="spellEnd"/>
            <w:r w:rsidRPr="006C649B">
              <w:rPr>
                <w:rFonts w:cs="Arial"/>
                <w:lang w:val="es-ES_tradnl"/>
              </w:rPr>
              <w:t xml:space="preserve"> </w:t>
            </w:r>
            <w:proofErr w:type="spellStart"/>
            <w:r w:rsidRPr="006C649B">
              <w:rPr>
                <w:rFonts w:cs="Arial"/>
                <w:lang w:val="es-ES_tradnl"/>
              </w:rPr>
              <w:t>guide</w:t>
            </w:r>
            <w:proofErr w:type="spellEnd"/>
            <w:r w:rsidRPr="006C649B">
              <w:rPr>
                <w:rFonts w:cs="Arial"/>
                <w:lang w:val="es-ES_tradnl"/>
              </w:rPr>
              <w:t xml:space="preserve"> to </w:t>
            </w:r>
            <w:proofErr w:type="spellStart"/>
            <w:r w:rsidRPr="006C649B">
              <w:rPr>
                <w:rFonts w:cs="Arial"/>
                <w:lang w:val="es-ES_tradnl"/>
              </w:rPr>
              <w:t>beneficiary</w:t>
            </w:r>
            <w:proofErr w:type="spellEnd"/>
            <w:r w:rsidRPr="006C649B">
              <w:rPr>
                <w:rFonts w:cs="Arial"/>
                <w:lang w:val="es-ES_tradnl"/>
              </w:rPr>
              <w:t xml:space="preserve"> </w:t>
            </w:r>
            <w:proofErr w:type="spellStart"/>
            <w:r w:rsidRPr="006C649B">
              <w:rPr>
                <w:rFonts w:cs="Arial"/>
                <w:lang w:val="es-ES_tradnl"/>
              </w:rPr>
              <w:t>communications</w:t>
            </w:r>
            <w:proofErr w:type="spellEnd"/>
            <w:r w:rsidRPr="006C649B">
              <w:rPr>
                <w:rFonts w:cs="Arial"/>
                <w:lang w:val="es-ES_tradnl"/>
              </w:rPr>
              <w:t xml:space="preserve"> in cash transfer </w:t>
            </w:r>
            <w:proofErr w:type="spellStart"/>
            <w:r w:rsidRPr="006C649B">
              <w:rPr>
                <w:rFonts w:cs="Arial"/>
                <w:lang w:val="es-ES_tradnl"/>
              </w:rPr>
              <w:t>programming</w:t>
            </w:r>
            <w:proofErr w:type="spellEnd"/>
          </w:p>
          <w:p w14:paraId="39AFEB68" w14:textId="0C1AAD3F" w:rsidR="00290958" w:rsidRPr="006C649B" w:rsidRDefault="00682BD2" w:rsidP="00D249AE">
            <w:pPr>
              <w:pStyle w:val="RefItem1"/>
              <w:rPr>
                <w:rFonts w:cs="Arial"/>
                <w:lang w:val="es-ES_tradnl"/>
              </w:rPr>
            </w:pPr>
            <w:hyperlink r:id="rId9" w:history="1">
              <w:r w:rsidR="00290958" w:rsidRPr="006C649B">
                <w:rPr>
                  <w:rStyle w:val="Hyperlink"/>
                  <w:rFonts w:cs="Arial"/>
                  <w:lang w:val="es-ES_tradnl"/>
                </w:rPr>
                <w:t>http://www.cashlearning.org/resources/library/28-communicating-cash-a-field-guide-to-beneficiary-communications-in-cash-transfer-programming-screen-version</w:t>
              </w:r>
            </w:hyperlink>
          </w:p>
        </w:tc>
      </w:tr>
    </w:tbl>
    <w:p w14:paraId="4F9EFBCF" w14:textId="77777777" w:rsidR="00D13AC3" w:rsidRPr="006C649B" w:rsidRDefault="00D13AC3" w:rsidP="00D249AE">
      <w:pPr>
        <w:widowControl w:val="0"/>
        <w:autoSpaceDE w:val="0"/>
        <w:autoSpaceDN w:val="0"/>
        <w:adjustRightInd w:val="0"/>
        <w:spacing w:after="240"/>
        <w:rPr>
          <w:rFonts w:cs="Arial"/>
          <w:lang w:val="es-ES_tradnl"/>
        </w:rPr>
      </w:pPr>
    </w:p>
    <w:sectPr w:rsidR="00D13AC3" w:rsidRPr="006C649B" w:rsidSect="00DD01F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8B714" w14:textId="77777777" w:rsidR="00682BD2" w:rsidRDefault="00682BD2" w:rsidP="002D7B20">
      <w:r>
        <w:separator/>
      </w:r>
    </w:p>
  </w:endnote>
  <w:endnote w:type="continuationSeparator" w:id="0">
    <w:p w14:paraId="1EE51F36" w14:textId="77777777" w:rsidR="00682BD2" w:rsidRDefault="00682BD2" w:rsidP="002D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6913" w14:textId="77777777" w:rsidR="00BE6D4B" w:rsidRDefault="00BE6D4B" w:rsidP="004B33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1E335" w14:textId="77777777" w:rsidR="00BE6D4B" w:rsidRDefault="00BE6D4B" w:rsidP="006137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8052" w14:textId="0E15D646" w:rsidR="00BE6D4B" w:rsidRDefault="00BE6D4B" w:rsidP="004B33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E4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B8D157" w14:textId="7095EAE9" w:rsidR="00BE6D4B" w:rsidRPr="0016388A" w:rsidRDefault="000C3D87" w:rsidP="00613753">
    <w:pPr>
      <w:pStyle w:val="Footer"/>
      <w:ind w:right="360"/>
      <w:rPr>
        <w:szCs w:val="16"/>
      </w:rPr>
    </w:pPr>
    <w:proofErr w:type="spellStart"/>
    <w:r>
      <w:rPr>
        <w:b/>
        <w:szCs w:val="16"/>
      </w:rPr>
      <w:t>Módulo</w:t>
    </w:r>
    <w:proofErr w:type="spellEnd"/>
    <w:r w:rsidR="00BE6D4B" w:rsidRPr="0016388A">
      <w:rPr>
        <w:b/>
        <w:szCs w:val="16"/>
      </w:rPr>
      <w:t xml:space="preserve"> </w:t>
    </w:r>
    <w:r w:rsidR="00BD3D0D" w:rsidRPr="0016388A">
      <w:rPr>
        <w:b/>
        <w:szCs w:val="16"/>
      </w:rPr>
      <w:t>1.</w:t>
    </w:r>
    <w:r w:rsidR="00BD3D0D" w:rsidRPr="0016388A">
      <w:rPr>
        <w:szCs w:val="16"/>
      </w:rPr>
      <w:t xml:space="preserve"> </w:t>
    </w:r>
    <w:proofErr w:type="spellStart"/>
    <w:r>
      <w:rPr>
        <w:szCs w:val="16"/>
      </w:rPr>
      <w:t>Hoja</w:t>
    </w:r>
    <w:proofErr w:type="spellEnd"/>
    <w:r>
      <w:rPr>
        <w:szCs w:val="16"/>
      </w:rPr>
      <w:t xml:space="preserve"> de </w:t>
    </w:r>
    <w:proofErr w:type="spellStart"/>
    <w:r>
      <w:rPr>
        <w:szCs w:val="16"/>
      </w:rPr>
      <w:t>ruta</w:t>
    </w:r>
    <w:proofErr w:type="spellEnd"/>
    <w:r>
      <w:rPr>
        <w:szCs w:val="16"/>
      </w:rPr>
      <w:t xml:space="preserve"> para la </w:t>
    </w:r>
    <w:proofErr w:type="spellStart"/>
    <w:r>
      <w:rPr>
        <w:szCs w:val="16"/>
      </w:rPr>
      <w:t>elaboración</w:t>
    </w:r>
    <w:proofErr w:type="spellEnd"/>
    <w:r>
      <w:rPr>
        <w:szCs w:val="16"/>
      </w:rPr>
      <w:t xml:space="preserve"> y </w:t>
    </w:r>
    <w:proofErr w:type="spellStart"/>
    <w:r>
      <w:rPr>
        <w:szCs w:val="16"/>
      </w:rPr>
      <w:t>ejecución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4439B" w14:textId="55C15C14" w:rsidR="0016388A" w:rsidRPr="00B45C74" w:rsidRDefault="0016388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F1E4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1625FE8" w14:textId="051BFF18" w:rsidR="0016388A" w:rsidRPr="003A3500" w:rsidRDefault="006C649B" w:rsidP="00ED1B2B">
    <w:pPr>
      <w:pStyle w:val="Footer"/>
    </w:pPr>
    <w:proofErr w:type="spellStart"/>
    <w:r>
      <w:rPr>
        <w:b/>
      </w:rPr>
      <w:t>Módulo</w:t>
    </w:r>
    <w:proofErr w:type="spellEnd"/>
    <w:r w:rsidR="0016388A" w:rsidRPr="00107E15">
      <w:rPr>
        <w:b/>
      </w:rPr>
      <w:t xml:space="preserve"> </w:t>
    </w:r>
    <w:r w:rsidR="0016388A">
      <w:rPr>
        <w:b/>
      </w:rPr>
      <w:t>1</w:t>
    </w:r>
    <w:r w:rsidR="0016388A" w:rsidRPr="00107E15">
      <w:rPr>
        <w:b/>
      </w:rPr>
      <w:t>.</w:t>
    </w:r>
    <w:r w:rsidR="0016388A" w:rsidRPr="00107E15">
      <w:t xml:space="preserve"> </w:t>
    </w:r>
    <w:r w:rsidR="0016388A" w:rsidRPr="00107E15">
      <w:rPr>
        <w:i/>
      </w:rPr>
      <w:fldChar w:fldCharType="begin"/>
    </w:r>
    <w:r w:rsidR="0016388A" w:rsidRPr="00107E15">
      <w:rPr>
        <w:i/>
      </w:rPr>
      <w:instrText xml:space="preserve"> STYLEREF  H1 \t  \* MERGEFORMAT </w:instrText>
    </w:r>
    <w:r w:rsidR="0016388A" w:rsidRPr="00107E15">
      <w:rPr>
        <w:i/>
      </w:rPr>
      <w:fldChar w:fldCharType="separate"/>
    </w:r>
    <w:r w:rsidR="002F1E4A">
      <w:rPr>
        <w:i/>
        <w:noProof/>
      </w:rPr>
      <w:t>Hoja de ruta para la elaboración y ejecución</w:t>
    </w:r>
    <w:r w:rsidR="0016388A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7750A" w14:textId="77777777" w:rsidR="00682BD2" w:rsidRDefault="00682BD2" w:rsidP="002D7B20">
      <w:r>
        <w:separator/>
      </w:r>
    </w:p>
  </w:footnote>
  <w:footnote w:type="continuationSeparator" w:id="0">
    <w:p w14:paraId="6EF2079F" w14:textId="77777777" w:rsidR="00682BD2" w:rsidRDefault="00682BD2" w:rsidP="002D7B20">
      <w:r>
        <w:continuationSeparator/>
      </w:r>
    </w:p>
  </w:footnote>
  <w:footnote w:id="1">
    <w:p w14:paraId="788D6020" w14:textId="6F1A12CC" w:rsidR="00820EC1" w:rsidRPr="00820EC1" w:rsidRDefault="00820EC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las </w:t>
      </w:r>
      <w:proofErr w:type="spellStart"/>
      <w:r>
        <w:rPr>
          <w:lang w:val="en-GB"/>
        </w:rPr>
        <w:t>herramientas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documentos</w:t>
      </w:r>
      <w:proofErr w:type="spellEnd"/>
      <w:r>
        <w:rPr>
          <w:lang w:val="en-GB"/>
        </w:rPr>
        <w:t xml:space="preserve"> de la </w:t>
      </w:r>
      <w:proofErr w:type="spellStart"/>
      <w:r>
        <w:rPr>
          <w:lang w:val="en-GB"/>
        </w:rPr>
        <w:t>presente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caja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herramientas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términos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ejecutar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implementar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utilizarán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indistintamente</w:t>
      </w:r>
      <w:proofErr w:type="spellEnd"/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1CFC" w14:textId="77777777" w:rsidR="00635EFB" w:rsidRPr="00C746A5" w:rsidRDefault="00635EFB" w:rsidP="00635EFB">
    <w:pPr>
      <w:pStyle w:val="Header"/>
      <w:rPr>
        <w:szCs w:val="16"/>
        <w:lang w:val="es-ES"/>
      </w:rPr>
    </w:pPr>
    <w:r w:rsidRPr="00C746A5">
      <w:rPr>
        <w:rStyle w:val="Pantone485"/>
        <w:lang w:val="es-ES"/>
      </w:rPr>
      <w:t xml:space="preserve">Movimiento Internacional </w:t>
    </w:r>
    <w:r>
      <w:rPr>
        <w:rStyle w:val="Pantone485"/>
        <w:lang w:val="es-ES"/>
      </w:rPr>
      <w:t xml:space="preserve">de </w:t>
    </w:r>
    <w:r w:rsidRPr="00C746A5">
      <w:rPr>
        <w:rStyle w:val="Pantone485"/>
        <w:lang w:val="es-ES"/>
      </w:rPr>
      <w:t xml:space="preserve">la Cruz Roja y </w:t>
    </w:r>
    <w:r>
      <w:rPr>
        <w:rStyle w:val="Pantone485"/>
        <w:lang w:val="es-ES"/>
      </w:rPr>
      <w:t xml:space="preserve">de </w:t>
    </w:r>
    <w:r w:rsidRPr="00C746A5">
      <w:rPr>
        <w:rStyle w:val="Pantone485"/>
        <w:lang w:val="es-ES"/>
      </w:rPr>
      <w:t>la Media Luna Roja</w:t>
    </w:r>
    <w:r w:rsidRPr="00C746A5">
      <w:rPr>
        <w:rFonts w:cs="Caecilia-Light"/>
        <w:color w:val="FF0000"/>
        <w:szCs w:val="16"/>
        <w:lang w:val="es-ES"/>
      </w:rPr>
      <w:t xml:space="preserve"> </w:t>
    </w:r>
    <w:r w:rsidRPr="00C746A5">
      <w:rPr>
        <w:rStyle w:val="PageNumber"/>
        <w:bCs/>
        <w:szCs w:val="16"/>
        <w:lang w:val="es-ES"/>
      </w:rPr>
      <w:t>I</w:t>
    </w:r>
    <w:r w:rsidRPr="00C746A5">
      <w:rPr>
        <w:rStyle w:val="PageNumber"/>
        <w:color w:val="FF0000"/>
        <w:szCs w:val="16"/>
        <w:lang w:val="es-ES"/>
      </w:rPr>
      <w:t xml:space="preserve"> </w:t>
    </w:r>
    <w:r w:rsidRPr="00C746A5">
      <w:rPr>
        <w:b/>
        <w:szCs w:val="16"/>
        <w:lang w:val="es-ES"/>
      </w:rPr>
      <w:t>C</w:t>
    </w:r>
    <w:r>
      <w:rPr>
        <w:b/>
        <w:szCs w:val="16"/>
        <w:lang w:val="es-ES"/>
      </w:rPr>
      <w:t>aja de Herramientas para PTE en emergencias</w:t>
    </w:r>
  </w:p>
  <w:p w14:paraId="58712B2E" w14:textId="7BC76B2E" w:rsidR="00DD01F6" w:rsidRPr="00635EFB" w:rsidRDefault="00DD01F6" w:rsidP="00635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E5216" w14:textId="30411403" w:rsidR="00DD01F6" w:rsidRDefault="006C649B" w:rsidP="00050617">
    <w:pPr>
      <w:pStyle w:val="Header1"/>
    </w:pPr>
    <w:r>
      <w:rPr>
        <w:noProof/>
        <w:color w:val="DC281E"/>
        <w:lang w:val="es-ES_tradnl" w:eastAsia="es-ES_tradnl"/>
      </w:rPr>
      <w:drawing>
        <wp:anchor distT="0" distB="0" distL="114300" distR="114300" simplePos="0" relativeHeight="251664384" behindDoc="1" locked="0" layoutInCell="1" allowOverlap="1" wp14:anchorId="6B1D168D" wp14:editId="44903FEB">
          <wp:simplePos x="0" y="0"/>
          <wp:positionH relativeFrom="column">
            <wp:posOffset>361950</wp:posOffset>
          </wp:positionH>
          <wp:positionV relativeFrom="paragraph">
            <wp:posOffset>-20495</wp:posOffset>
          </wp:positionV>
          <wp:extent cx="597535" cy="682625"/>
          <wp:effectExtent l="0" t="0" r="0" b="3175"/>
          <wp:wrapTight wrapText="bothSides">
            <wp:wrapPolygon edited="0">
              <wp:start x="6198" y="0"/>
              <wp:lineTo x="3443" y="2411"/>
              <wp:lineTo x="2066" y="6028"/>
              <wp:lineTo x="0" y="16275"/>
              <wp:lineTo x="0" y="21098"/>
              <wp:lineTo x="20659" y="21098"/>
              <wp:lineTo x="20659" y="16275"/>
              <wp:lineTo x="17904" y="9645"/>
              <wp:lineTo x="17904" y="3617"/>
              <wp:lineTo x="14461" y="0"/>
              <wp:lineTo x="619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FD3CF" w14:textId="361ADDE4" w:rsidR="00DD01F6" w:rsidRDefault="006C649B" w:rsidP="00050617">
    <w:pPr>
      <w:pStyle w:val="Header1"/>
    </w:pPr>
    <w:r>
      <w:rPr>
        <w:b w:val="0"/>
        <w:noProof/>
        <w:color w:val="DC281E"/>
        <w:lang w:val="es-ES_tradnl" w:eastAsia="es-ES_tradnl"/>
      </w:rPr>
      <w:drawing>
        <wp:anchor distT="0" distB="0" distL="114300" distR="114300" simplePos="0" relativeHeight="251665408" behindDoc="1" locked="0" layoutInCell="1" allowOverlap="1" wp14:anchorId="733F0EE1" wp14:editId="0B7150CA">
          <wp:simplePos x="0" y="0"/>
          <wp:positionH relativeFrom="column">
            <wp:posOffset>2647950</wp:posOffset>
          </wp:positionH>
          <wp:positionV relativeFrom="paragraph">
            <wp:posOffset>141780</wp:posOffset>
          </wp:positionV>
          <wp:extent cx="3298190" cy="328930"/>
          <wp:effectExtent l="0" t="0" r="0" b="0"/>
          <wp:wrapTight wrapText="bothSides">
            <wp:wrapPolygon edited="0">
              <wp:start x="0" y="0"/>
              <wp:lineTo x="0" y="20015"/>
              <wp:lineTo x="21459" y="20015"/>
              <wp:lineTo x="2145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D8ECE" w14:textId="714318C9" w:rsidR="00DD01F6" w:rsidRDefault="00DD01F6" w:rsidP="00CB38F7">
    <w:pPr>
      <w:pStyle w:val="Header"/>
      <w:rPr>
        <w:color w:val="DC281E"/>
        <w:sz w:val="24"/>
        <w:szCs w:val="24"/>
      </w:rPr>
    </w:pPr>
  </w:p>
  <w:p w14:paraId="5FEC502C" w14:textId="25B80802" w:rsidR="00DD01F6" w:rsidRDefault="00DD01F6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07CC91F0" w14:textId="77777777" w:rsidR="00DD01F6" w:rsidRDefault="00DD01F6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4E075185" w14:textId="16D6A121" w:rsidR="00DD01F6" w:rsidRPr="002D63CE" w:rsidRDefault="006C649B" w:rsidP="00050617">
    <w:pPr>
      <w:pStyle w:val="Header1"/>
      <w:rPr>
        <w:rStyle w:val="Pantone485"/>
      </w:rPr>
    </w:pPr>
    <w:proofErr w:type="spellStart"/>
    <w:r w:rsidRPr="006C649B">
      <w:rPr>
        <w:rStyle w:val="Pantone485"/>
      </w:rPr>
      <w:t>Caja</w:t>
    </w:r>
    <w:proofErr w:type="spellEnd"/>
    <w:r w:rsidRPr="006C649B">
      <w:rPr>
        <w:rStyle w:val="Pantone485"/>
      </w:rPr>
      <w:t xml:space="preserve"> de </w:t>
    </w:r>
    <w:proofErr w:type="spellStart"/>
    <w:r w:rsidRPr="006C649B">
      <w:rPr>
        <w:rStyle w:val="Pantone485"/>
      </w:rPr>
      <w:t>herramientas</w:t>
    </w:r>
    <w:proofErr w:type="spellEnd"/>
    <w:r w:rsidRPr="006C649B">
      <w:rPr>
        <w:rStyle w:val="Pantone485"/>
      </w:rPr>
      <w:t xml:space="preserve"> para PTE </w:t>
    </w:r>
    <w:proofErr w:type="spellStart"/>
    <w:r w:rsidRPr="006C649B">
      <w:rPr>
        <w:rStyle w:val="Pantone485"/>
      </w:rPr>
      <w:t>en</w:t>
    </w:r>
    <w:proofErr w:type="spellEnd"/>
    <w:r w:rsidRPr="006C649B">
      <w:rPr>
        <w:rStyle w:val="Pantone485"/>
      </w:rPr>
      <w:t xml:space="preserve"> </w:t>
    </w:r>
    <w:proofErr w:type="spellStart"/>
    <w:r w:rsidRPr="006C649B">
      <w:rPr>
        <w:rStyle w:val="Pantone485"/>
      </w:rPr>
      <w:t>emergencias</w:t>
    </w:r>
    <w:proofErr w:type="spellEnd"/>
    <w:r w:rsidRPr="006C649B">
      <w:rPr>
        <w:rStyle w:val="Pantone48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B22"/>
    <w:multiLevelType w:val="hybridMultilevel"/>
    <w:tmpl w:val="16CA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9AE"/>
    <w:multiLevelType w:val="hybridMultilevel"/>
    <w:tmpl w:val="6F8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0E5C"/>
    <w:multiLevelType w:val="hybridMultilevel"/>
    <w:tmpl w:val="156AD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B8A"/>
    <w:multiLevelType w:val="hybridMultilevel"/>
    <w:tmpl w:val="BE6C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319F9"/>
    <w:multiLevelType w:val="hybridMultilevel"/>
    <w:tmpl w:val="44FE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84973"/>
    <w:multiLevelType w:val="hybridMultilevel"/>
    <w:tmpl w:val="F716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361D4"/>
    <w:multiLevelType w:val="hybridMultilevel"/>
    <w:tmpl w:val="9EE2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658E9"/>
    <w:multiLevelType w:val="hybridMultilevel"/>
    <w:tmpl w:val="ADFA0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51017"/>
    <w:multiLevelType w:val="hybridMultilevel"/>
    <w:tmpl w:val="FD2C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A2C90"/>
    <w:multiLevelType w:val="hybridMultilevel"/>
    <w:tmpl w:val="B9DA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845E3"/>
    <w:multiLevelType w:val="hybridMultilevel"/>
    <w:tmpl w:val="41DE663E"/>
    <w:lvl w:ilvl="0" w:tplc="C5803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73AA2"/>
    <w:multiLevelType w:val="hybridMultilevel"/>
    <w:tmpl w:val="4754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C4288"/>
    <w:multiLevelType w:val="hybridMultilevel"/>
    <w:tmpl w:val="C002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B361D"/>
    <w:multiLevelType w:val="hybridMultilevel"/>
    <w:tmpl w:val="697E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E6B49"/>
    <w:multiLevelType w:val="hybridMultilevel"/>
    <w:tmpl w:val="1DA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D4D49"/>
    <w:multiLevelType w:val="hybridMultilevel"/>
    <w:tmpl w:val="51A8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D2622"/>
    <w:multiLevelType w:val="hybridMultilevel"/>
    <w:tmpl w:val="25FA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65E0F"/>
    <w:multiLevelType w:val="hybridMultilevel"/>
    <w:tmpl w:val="740EB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F1D11"/>
    <w:multiLevelType w:val="hybridMultilevel"/>
    <w:tmpl w:val="B46E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D43A2"/>
    <w:multiLevelType w:val="hybridMultilevel"/>
    <w:tmpl w:val="C47C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206DD"/>
    <w:multiLevelType w:val="hybridMultilevel"/>
    <w:tmpl w:val="EBFA7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CA16FB"/>
    <w:multiLevelType w:val="hybridMultilevel"/>
    <w:tmpl w:val="9678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17092"/>
    <w:multiLevelType w:val="hybridMultilevel"/>
    <w:tmpl w:val="D3A6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F7911"/>
    <w:multiLevelType w:val="hybridMultilevel"/>
    <w:tmpl w:val="BDA0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7"/>
  </w:num>
  <w:num w:numId="5">
    <w:abstractNumId w:val="11"/>
  </w:num>
  <w:num w:numId="6">
    <w:abstractNumId w:val="3"/>
  </w:num>
  <w:num w:numId="7">
    <w:abstractNumId w:val="21"/>
  </w:num>
  <w:num w:numId="8">
    <w:abstractNumId w:val="30"/>
  </w:num>
  <w:num w:numId="9">
    <w:abstractNumId w:val="9"/>
  </w:num>
  <w:num w:numId="10">
    <w:abstractNumId w:val="32"/>
  </w:num>
  <w:num w:numId="11">
    <w:abstractNumId w:val="27"/>
  </w:num>
  <w:num w:numId="12">
    <w:abstractNumId w:val="0"/>
  </w:num>
  <w:num w:numId="13">
    <w:abstractNumId w:val="15"/>
  </w:num>
  <w:num w:numId="14">
    <w:abstractNumId w:val="2"/>
  </w:num>
  <w:num w:numId="15">
    <w:abstractNumId w:val="22"/>
  </w:num>
  <w:num w:numId="16">
    <w:abstractNumId w:val="28"/>
  </w:num>
  <w:num w:numId="17">
    <w:abstractNumId w:val="23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0"/>
  </w:num>
  <w:num w:numId="23">
    <w:abstractNumId w:val="31"/>
  </w:num>
  <w:num w:numId="24">
    <w:abstractNumId w:val="16"/>
  </w:num>
  <w:num w:numId="25">
    <w:abstractNumId w:val="1"/>
  </w:num>
  <w:num w:numId="26">
    <w:abstractNumId w:val="20"/>
  </w:num>
  <w:num w:numId="27">
    <w:abstractNumId w:val="5"/>
  </w:num>
  <w:num w:numId="28">
    <w:abstractNumId w:val="24"/>
  </w:num>
  <w:num w:numId="29">
    <w:abstractNumId w:val="26"/>
  </w:num>
  <w:num w:numId="30">
    <w:abstractNumId w:val="25"/>
  </w:num>
  <w:num w:numId="31">
    <w:abstractNumId w:val="4"/>
  </w:num>
  <w:num w:numId="32">
    <w:abstractNumId w:val="1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58"/>
    <w:rsid w:val="00003964"/>
    <w:rsid w:val="00003B3D"/>
    <w:rsid w:val="0001446C"/>
    <w:rsid w:val="00031303"/>
    <w:rsid w:val="0003763D"/>
    <w:rsid w:val="0008124D"/>
    <w:rsid w:val="000B0070"/>
    <w:rsid w:val="000C1CAA"/>
    <w:rsid w:val="000C3D87"/>
    <w:rsid w:val="000C724B"/>
    <w:rsid w:val="000D636F"/>
    <w:rsid w:val="000E621C"/>
    <w:rsid w:val="000E634D"/>
    <w:rsid w:val="0011165A"/>
    <w:rsid w:val="001358BB"/>
    <w:rsid w:val="00146C67"/>
    <w:rsid w:val="0015178D"/>
    <w:rsid w:val="001550A8"/>
    <w:rsid w:val="00162C10"/>
    <w:rsid w:val="0016388A"/>
    <w:rsid w:val="001F4918"/>
    <w:rsid w:val="0023608F"/>
    <w:rsid w:val="00242688"/>
    <w:rsid w:val="00245C39"/>
    <w:rsid w:val="00263642"/>
    <w:rsid w:val="00270234"/>
    <w:rsid w:val="00290958"/>
    <w:rsid w:val="00296EA2"/>
    <w:rsid w:val="002D29DE"/>
    <w:rsid w:val="002D63CE"/>
    <w:rsid w:val="002D7B20"/>
    <w:rsid w:val="002E4C2C"/>
    <w:rsid w:val="002E5E99"/>
    <w:rsid w:val="002F04B7"/>
    <w:rsid w:val="002F1E4A"/>
    <w:rsid w:val="002F350A"/>
    <w:rsid w:val="002F6DA2"/>
    <w:rsid w:val="00300351"/>
    <w:rsid w:val="00302293"/>
    <w:rsid w:val="003036FD"/>
    <w:rsid w:val="00311C86"/>
    <w:rsid w:val="0031761A"/>
    <w:rsid w:val="0032086A"/>
    <w:rsid w:val="00350E83"/>
    <w:rsid w:val="00371E86"/>
    <w:rsid w:val="003741A5"/>
    <w:rsid w:val="00382F53"/>
    <w:rsid w:val="003904A5"/>
    <w:rsid w:val="003A0AAC"/>
    <w:rsid w:val="003A2361"/>
    <w:rsid w:val="003A3FA3"/>
    <w:rsid w:val="003A46EF"/>
    <w:rsid w:val="003B45A0"/>
    <w:rsid w:val="003E41BC"/>
    <w:rsid w:val="003E45F4"/>
    <w:rsid w:val="003F6457"/>
    <w:rsid w:val="003F6F45"/>
    <w:rsid w:val="00406A55"/>
    <w:rsid w:val="00427A4B"/>
    <w:rsid w:val="00444D59"/>
    <w:rsid w:val="0045211A"/>
    <w:rsid w:val="00486168"/>
    <w:rsid w:val="004B33D9"/>
    <w:rsid w:val="004C2E03"/>
    <w:rsid w:val="004D28A7"/>
    <w:rsid w:val="004D2F62"/>
    <w:rsid w:val="004E0162"/>
    <w:rsid w:val="004F2A15"/>
    <w:rsid w:val="004F4945"/>
    <w:rsid w:val="00501DDE"/>
    <w:rsid w:val="005107E2"/>
    <w:rsid w:val="00550432"/>
    <w:rsid w:val="005605E1"/>
    <w:rsid w:val="00564155"/>
    <w:rsid w:val="00571809"/>
    <w:rsid w:val="00575DBA"/>
    <w:rsid w:val="005809CC"/>
    <w:rsid w:val="00586CE2"/>
    <w:rsid w:val="005A1F4A"/>
    <w:rsid w:val="005A56D7"/>
    <w:rsid w:val="006048E8"/>
    <w:rsid w:val="0061065E"/>
    <w:rsid w:val="00613753"/>
    <w:rsid w:val="006167DD"/>
    <w:rsid w:val="00635EFB"/>
    <w:rsid w:val="0066163D"/>
    <w:rsid w:val="00675158"/>
    <w:rsid w:val="00682BD2"/>
    <w:rsid w:val="00694323"/>
    <w:rsid w:val="00694B31"/>
    <w:rsid w:val="006C649B"/>
    <w:rsid w:val="006D2AF6"/>
    <w:rsid w:val="006D4D75"/>
    <w:rsid w:val="006F0744"/>
    <w:rsid w:val="006F26A6"/>
    <w:rsid w:val="006F459D"/>
    <w:rsid w:val="00762657"/>
    <w:rsid w:val="00763CE9"/>
    <w:rsid w:val="00784BBB"/>
    <w:rsid w:val="007A239E"/>
    <w:rsid w:val="007A2908"/>
    <w:rsid w:val="007A2F5D"/>
    <w:rsid w:val="007C7455"/>
    <w:rsid w:val="007C74F6"/>
    <w:rsid w:val="007E1787"/>
    <w:rsid w:val="007F2B1F"/>
    <w:rsid w:val="008078F9"/>
    <w:rsid w:val="0081299C"/>
    <w:rsid w:val="00812EB4"/>
    <w:rsid w:val="00816531"/>
    <w:rsid w:val="00817420"/>
    <w:rsid w:val="00820EC1"/>
    <w:rsid w:val="0083036C"/>
    <w:rsid w:val="00842A1A"/>
    <w:rsid w:val="0087406A"/>
    <w:rsid w:val="00876F1E"/>
    <w:rsid w:val="008C6453"/>
    <w:rsid w:val="008C6D1C"/>
    <w:rsid w:val="008E0517"/>
    <w:rsid w:val="008F794F"/>
    <w:rsid w:val="009143C6"/>
    <w:rsid w:val="00920B58"/>
    <w:rsid w:val="009538C9"/>
    <w:rsid w:val="00965414"/>
    <w:rsid w:val="009710CB"/>
    <w:rsid w:val="00973DC5"/>
    <w:rsid w:val="0099732F"/>
    <w:rsid w:val="009A0440"/>
    <w:rsid w:val="009A0457"/>
    <w:rsid w:val="009A1757"/>
    <w:rsid w:val="009A7DE0"/>
    <w:rsid w:val="009B1B16"/>
    <w:rsid w:val="00A1173A"/>
    <w:rsid w:val="00A1283F"/>
    <w:rsid w:val="00A32BBB"/>
    <w:rsid w:val="00A66049"/>
    <w:rsid w:val="00A72094"/>
    <w:rsid w:val="00A84F2B"/>
    <w:rsid w:val="00A9210B"/>
    <w:rsid w:val="00AC217B"/>
    <w:rsid w:val="00AD05AA"/>
    <w:rsid w:val="00AD3909"/>
    <w:rsid w:val="00AD6DF0"/>
    <w:rsid w:val="00B1590E"/>
    <w:rsid w:val="00B253DA"/>
    <w:rsid w:val="00B44B10"/>
    <w:rsid w:val="00B47DD6"/>
    <w:rsid w:val="00B51EF7"/>
    <w:rsid w:val="00BC3B39"/>
    <w:rsid w:val="00BD3D0D"/>
    <w:rsid w:val="00BE3C0C"/>
    <w:rsid w:val="00BE6B99"/>
    <w:rsid w:val="00BE6D4B"/>
    <w:rsid w:val="00BF4481"/>
    <w:rsid w:val="00C03F5B"/>
    <w:rsid w:val="00C04768"/>
    <w:rsid w:val="00C05699"/>
    <w:rsid w:val="00C05BB4"/>
    <w:rsid w:val="00C25639"/>
    <w:rsid w:val="00C30FE1"/>
    <w:rsid w:val="00C46F40"/>
    <w:rsid w:val="00C87EB4"/>
    <w:rsid w:val="00D06AAC"/>
    <w:rsid w:val="00D13AC3"/>
    <w:rsid w:val="00D1559C"/>
    <w:rsid w:val="00D1674A"/>
    <w:rsid w:val="00D17487"/>
    <w:rsid w:val="00D20F06"/>
    <w:rsid w:val="00D249AE"/>
    <w:rsid w:val="00D47298"/>
    <w:rsid w:val="00D73164"/>
    <w:rsid w:val="00D845FC"/>
    <w:rsid w:val="00D918FD"/>
    <w:rsid w:val="00DA0A18"/>
    <w:rsid w:val="00DB3355"/>
    <w:rsid w:val="00DB57DB"/>
    <w:rsid w:val="00DC11CA"/>
    <w:rsid w:val="00DD01F6"/>
    <w:rsid w:val="00DD770D"/>
    <w:rsid w:val="00DF17C2"/>
    <w:rsid w:val="00E13828"/>
    <w:rsid w:val="00E3647F"/>
    <w:rsid w:val="00E6726C"/>
    <w:rsid w:val="00E6778B"/>
    <w:rsid w:val="00E753A8"/>
    <w:rsid w:val="00E847AE"/>
    <w:rsid w:val="00E85C88"/>
    <w:rsid w:val="00E86FD2"/>
    <w:rsid w:val="00E90D1C"/>
    <w:rsid w:val="00EB6117"/>
    <w:rsid w:val="00F245B6"/>
    <w:rsid w:val="00F34A81"/>
    <w:rsid w:val="00F370A9"/>
    <w:rsid w:val="00F73AC1"/>
    <w:rsid w:val="00F772BE"/>
    <w:rsid w:val="00F9081F"/>
    <w:rsid w:val="00F950FD"/>
    <w:rsid w:val="00FC6D2E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CCF7A5"/>
  <w14:defaultImageDpi w14:val="300"/>
  <w15:docId w15:val="{81FF6830-4663-4701-A3A5-023C0B29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778B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E6778B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778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78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75158"/>
    <w:pPr>
      <w:spacing w:line="480" w:lineRule="auto"/>
    </w:pPr>
    <w:rPr>
      <w:rFonts w:ascii="Times New Roman" w:eastAsia="Times New Roman" w:hAnsi="Times New Roman"/>
      <w:lang w:val="x-none"/>
    </w:rPr>
  </w:style>
  <w:style w:type="character" w:customStyle="1" w:styleId="BodyText2Char">
    <w:name w:val="Body Text 2 Char"/>
    <w:basedOn w:val="DefaultParagraphFont"/>
    <w:link w:val="BodyText2"/>
    <w:rsid w:val="00675158"/>
    <w:rPr>
      <w:rFonts w:ascii="Times New Roman" w:eastAsia="Times New Roman" w:hAnsi="Times New Roman"/>
      <w:color w:val="auto"/>
      <w:sz w:val="20"/>
      <w:szCs w:val="20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E6778B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778B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E6778B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550A8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6778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778B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E677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7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8B"/>
    <w:rPr>
      <w:rFonts w:ascii="Lucida Grande" w:hAnsi="Lucida Grande" w:cs="Lucida Grande"/>
      <w:color w:val="auto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F4945"/>
    <w:pPr>
      <w:spacing w:after="100"/>
    </w:pPr>
    <w:rPr>
      <w:rFonts w:ascii="Calibri" w:hAnsi="Calibri" w:cstheme="minorBidi"/>
      <w:sz w:val="24"/>
      <w:szCs w:val="24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945"/>
    <w:rPr>
      <w:rFonts w:ascii="Calibri" w:hAnsi="Calibri" w:cstheme="minorBidi"/>
      <w:color w:val="auto"/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E6778B"/>
    <w:rPr>
      <w:rFonts w:ascii="Arial" w:hAnsi="Arial" w:cs="Arial"/>
      <w:color w:val="auto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6778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6778B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6778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778B"/>
    <w:rPr>
      <w:rFonts w:ascii="Arial" w:hAnsi="Arial"/>
      <w:color w:val="auto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E6778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E6778B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6778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6778B"/>
    <w:rPr>
      <w:rFonts w:ascii="Arial" w:hAnsi="Arial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778B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6778B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778B"/>
    <w:rPr>
      <w:rFonts w:ascii="Arial" w:hAnsi="Arial"/>
      <w:b/>
      <w:color w:val="auto"/>
      <w:szCs w:val="24"/>
    </w:rPr>
  </w:style>
  <w:style w:type="paragraph" w:customStyle="1" w:styleId="Default">
    <w:name w:val="Default"/>
    <w:rsid w:val="00E677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77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78B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E677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6778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6778B"/>
    <w:pPr>
      <w:numPr>
        <w:numId w:val="27"/>
      </w:numPr>
      <w:spacing w:before="60"/>
      <w:ind w:left="714" w:hanging="357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6778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6778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6778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6778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6778B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E6778B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6778B"/>
    <w:pPr>
      <w:numPr>
        <w:numId w:val="28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E6778B"/>
    <w:pPr>
      <w:numPr>
        <w:ilvl w:val="1"/>
        <w:numId w:val="2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6778B"/>
    <w:pPr>
      <w:numPr>
        <w:numId w:val="2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6778B"/>
    <w:pPr>
      <w:numPr>
        <w:numId w:val="2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6778B"/>
    <w:pPr>
      <w:ind w:left="567"/>
    </w:pPr>
    <w:rPr>
      <w:rFonts w:cs="Arial"/>
      <w:b/>
    </w:rPr>
  </w:style>
  <w:style w:type="paragraph" w:customStyle="1" w:styleId="Heading3NotBold">
    <w:name w:val="Heading 3 Not Bold"/>
    <w:basedOn w:val="Normal"/>
    <w:qFormat/>
    <w:rsid w:val="002D63CE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Normal"/>
    <w:qFormat/>
    <w:rsid w:val="00E6778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6778B"/>
    <w:pPr>
      <w:keepNext/>
      <w:keepLines/>
      <w:framePr w:hSpace="141" w:wrap="around" w:vAnchor="text" w:hAnchor="margin" w:y="402"/>
      <w:numPr>
        <w:numId w:val="3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c.org/PageFiles/94411/IFRC%20BCA%20Lesson%20Learned%20doc_final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hlearning.org/resources/library/28-communicating-cash-a-field-guide-to-beneficiary-communications-in-cash-transfer-programming-screen-version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7643-09B4-424C-B404-872E46D9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98</TotalTime>
  <Pages>1</Pages>
  <Words>2490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5</cp:revision>
  <cp:lastPrinted>2015-09-17T01:54:00Z</cp:lastPrinted>
  <dcterms:created xsi:type="dcterms:W3CDTF">2016-02-10T09:46:00Z</dcterms:created>
  <dcterms:modified xsi:type="dcterms:W3CDTF">2016-02-22T17:56:00Z</dcterms:modified>
</cp:coreProperties>
</file>