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CAF4" w14:textId="05592D01" w:rsidR="00996780" w:rsidRPr="009D5E7B" w:rsidRDefault="00257E4F" w:rsidP="00935B48">
      <w:pPr>
        <w:pStyle w:val="H1"/>
        <w:rPr>
          <w:rFonts w:cs="Arial"/>
          <w:lang w:val="es-ES"/>
        </w:rPr>
      </w:pPr>
      <w:r>
        <w:rPr>
          <w:rFonts w:cs="Arial"/>
          <w:lang w:val="es-ES"/>
        </w:rPr>
        <w:t>Hoja</w:t>
      </w:r>
      <w:r w:rsidR="009D5E7B" w:rsidRPr="009D5E7B">
        <w:rPr>
          <w:rFonts w:cs="Arial"/>
          <w:lang w:val="es-ES"/>
        </w:rPr>
        <w:t xml:space="preserve"> de ruta para la evaluación de necesidades </w:t>
      </w:r>
      <w:r w:rsidR="00752615" w:rsidRPr="009D5E7B">
        <w:rPr>
          <w:rFonts w:cs="Arial"/>
          <w:lang w:val="es-ES"/>
        </w:rPr>
        <w:t xml:space="preserve"> </w:t>
      </w:r>
    </w:p>
    <w:p w14:paraId="53D22EAA" w14:textId="77777777" w:rsidR="00CC4944" w:rsidRPr="009D5E7B" w:rsidRDefault="00CC4944" w:rsidP="00935B48">
      <w:pPr>
        <w:pStyle w:val="H1"/>
        <w:rPr>
          <w:rFonts w:cs="Arial"/>
          <w:lang w:val="es-ES"/>
        </w:rPr>
      </w:pPr>
    </w:p>
    <w:p w14:paraId="32326DF2" w14:textId="689C02A3" w:rsidR="007D1A58" w:rsidRPr="00257E4F" w:rsidRDefault="009D5E7B" w:rsidP="00935B48">
      <w:pPr>
        <w:pStyle w:val="Heading2"/>
        <w:rPr>
          <w:rFonts w:cs="Arial"/>
          <w:lang w:val="es-ES"/>
        </w:rPr>
      </w:pPr>
      <w:r w:rsidRPr="00257E4F">
        <w:rPr>
          <w:rFonts w:cs="Arial"/>
          <w:lang w:val="es-ES"/>
        </w:rPr>
        <w:t>INTRODUCCIó</w:t>
      </w:r>
      <w:r w:rsidR="007D1A58" w:rsidRPr="00257E4F">
        <w:rPr>
          <w:rFonts w:cs="Arial"/>
          <w:lang w:val="es-ES"/>
        </w:rPr>
        <w:t>N</w:t>
      </w:r>
    </w:p>
    <w:p w14:paraId="53B0A751" w14:textId="209E8F7C" w:rsidR="00A74426" w:rsidRPr="00257E4F" w:rsidRDefault="00736C40" w:rsidP="00CC4944">
      <w:pPr>
        <w:rPr>
          <w:rFonts w:cs="Arial"/>
          <w:lang w:val="es-ES"/>
        </w:rPr>
      </w:pPr>
      <w:r w:rsidRPr="00736C40">
        <w:rPr>
          <w:rFonts w:cs="Arial"/>
          <w:lang w:val="es-ES"/>
        </w:rPr>
        <w:t>P</w:t>
      </w:r>
      <w:r w:rsidRPr="009D5E7B">
        <w:rPr>
          <w:rFonts w:cs="Arial"/>
          <w:lang w:val="es-ES"/>
        </w:rPr>
        <w:t xml:space="preserve">ara que se puedan tener en cuenta intervenciones con entrega de efectivo </w:t>
      </w:r>
      <w:r>
        <w:rPr>
          <w:rFonts w:cs="Arial"/>
          <w:lang w:val="es-ES"/>
        </w:rPr>
        <w:t>a</w:t>
      </w:r>
      <w:r w:rsidR="009D5E7B" w:rsidRPr="009D5E7B">
        <w:rPr>
          <w:rFonts w:cs="Arial"/>
          <w:lang w:val="es-ES"/>
        </w:rPr>
        <w:t xml:space="preserve"> la hora de valorar las distintas pos</w:t>
      </w:r>
      <w:r>
        <w:rPr>
          <w:rFonts w:cs="Arial"/>
          <w:lang w:val="es-ES"/>
        </w:rPr>
        <w:t>ibles alternativas de respuesta</w:t>
      </w:r>
      <w:r w:rsidR="009D5E7B">
        <w:rPr>
          <w:rFonts w:cs="Arial"/>
          <w:lang w:val="es-ES"/>
        </w:rPr>
        <w:t xml:space="preserve"> en la fase de emergencia</w:t>
      </w:r>
      <w:r w:rsidR="009D5E7B" w:rsidRPr="009D5E7B">
        <w:rPr>
          <w:rFonts w:cs="Arial"/>
          <w:lang w:val="es-ES"/>
        </w:rPr>
        <w:t>,</w:t>
      </w:r>
      <w:r>
        <w:rPr>
          <w:rFonts w:cs="Arial"/>
          <w:lang w:val="es-ES"/>
        </w:rPr>
        <w:t xml:space="preserve"> </w:t>
      </w:r>
      <w:r w:rsidR="009D5E7B" w:rsidRPr="009D5E7B">
        <w:rPr>
          <w:rFonts w:cs="Arial"/>
          <w:lang w:val="es-ES"/>
        </w:rPr>
        <w:t xml:space="preserve">es necesario </w:t>
      </w:r>
      <w:r w:rsidR="009D5E7B">
        <w:rPr>
          <w:rFonts w:cs="Arial"/>
          <w:lang w:val="es-ES"/>
        </w:rPr>
        <w:t>que los aspectos específicos relativos a la entrega de efectivo se hayan</w:t>
      </w:r>
      <w:r>
        <w:rPr>
          <w:rFonts w:cs="Arial"/>
          <w:lang w:val="es-ES"/>
        </w:rPr>
        <w:t xml:space="preserve"> incorporado en la evaluación de necesidades. </w:t>
      </w:r>
      <w:r w:rsidRPr="00736C40">
        <w:rPr>
          <w:rFonts w:cs="Arial"/>
          <w:lang w:val="es-ES"/>
        </w:rPr>
        <w:t xml:space="preserve">El módulo de evaluación de necesidades de la Caja de herramientas para PTE en emergencias </w:t>
      </w:r>
      <w:r>
        <w:rPr>
          <w:rFonts w:cs="Arial"/>
          <w:lang w:val="es-ES"/>
        </w:rPr>
        <w:t xml:space="preserve">se centra en ayudar a los </w:t>
      </w:r>
      <w:r w:rsidR="007008D2">
        <w:rPr>
          <w:rFonts w:cs="Arial"/>
          <w:lang w:val="es-ES"/>
        </w:rPr>
        <w:t xml:space="preserve">profesionales de la ayuda humanitaria a integrar aspectos específicos relacionados con la entrega de efectivo en sus procesos y herramientas habituales de evaluación de necesidades. </w:t>
      </w:r>
      <w:r w:rsidR="007008D2" w:rsidRPr="007008D2">
        <w:rPr>
          <w:rFonts w:cs="Arial"/>
          <w:lang w:val="es-ES"/>
        </w:rPr>
        <w:t>La información recogida durante la evaluación de necesidades deberá ser tenida en cuenta en el an</w:t>
      </w:r>
      <w:r w:rsidR="007008D2">
        <w:rPr>
          <w:rFonts w:cs="Arial"/>
          <w:lang w:val="es-ES"/>
        </w:rPr>
        <w:t xml:space="preserve">álisis de </w:t>
      </w:r>
      <w:r w:rsidR="004120D9">
        <w:rPr>
          <w:rFonts w:cs="Arial"/>
          <w:lang w:val="es-ES"/>
        </w:rPr>
        <w:t xml:space="preserve">las intervenciones. </w:t>
      </w:r>
      <w:r w:rsidR="007008D2">
        <w:rPr>
          <w:rFonts w:cs="Arial"/>
          <w:lang w:val="es-ES"/>
        </w:rPr>
        <w:t xml:space="preserve"> </w:t>
      </w:r>
    </w:p>
    <w:p w14:paraId="1D6EF0A2" w14:textId="65F38DC9" w:rsidR="00461C1A" w:rsidRPr="00605759" w:rsidRDefault="007008D2" w:rsidP="0014319C">
      <w:pPr>
        <w:rPr>
          <w:rFonts w:cs="Arial"/>
          <w:lang w:val="es-ES"/>
        </w:rPr>
      </w:pPr>
      <w:r w:rsidRPr="00605759">
        <w:rPr>
          <w:rFonts w:cs="Arial"/>
          <w:lang w:val="es-ES"/>
        </w:rPr>
        <w:t xml:space="preserve">Las etapas y sub-etapas sugeridas no son necesariamente </w:t>
      </w:r>
      <w:r w:rsidR="00605759" w:rsidRPr="00605759">
        <w:rPr>
          <w:rFonts w:cs="Arial"/>
          <w:lang w:val="es-ES"/>
        </w:rPr>
        <w:t xml:space="preserve">consecutivas, e incluso pueden llevarse a cabo simultáneamente. Cada sub-etapa está asociada con herramientas, y los </w:t>
      </w:r>
      <w:r w:rsidR="00605759">
        <w:rPr>
          <w:rFonts w:cs="Arial"/>
          <w:lang w:val="es-ES"/>
        </w:rPr>
        <w:t xml:space="preserve">productos desarrollados </w:t>
      </w:r>
      <w:r w:rsidR="00605759" w:rsidRPr="00605759">
        <w:rPr>
          <w:rFonts w:cs="Arial"/>
          <w:lang w:val="es-ES"/>
        </w:rPr>
        <w:t>a lo la</w:t>
      </w:r>
      <w:r w:rsidR="00605759">
        <w:rPr>
          <w:rFonts w:cs="Arial"/>
          <w:lang w:val="es-ES"/>
        </w:rPr>
        <w:t>rgo del proceso se retroalimentan entre ellos</w:t>
      </w:r>
      <w:r w:rsidR="00572A6E" w:rsidRPr="00605759">
        <w:rPr>
          <w:rFonts w:cs="Arial"/>
          <w:lang w:val="es-ES"/>
        </w:rPr>
        <w:t xml:space="preserve">. </w:t>
      </w:r>
      <w:r w:rsidR="00605759" w:rsidRPr="00605759">
        <w:rPr>
          <w:rFonts w:cs="Arial"/>
          <w:lang w:val="es-ES"/>
        </w:rPr>
        <w:t xml:space="preserve">En </w:t>
      </w:r>
      <w:r w:rsidR="00461C1A" w:rsidRPr="00605759">
        <w:rPr>
          <w:rFonts w:cs="Arial"/>
          <w:lang w:val="es-ES"/>
        </w:rPr>
        <w:t xml:space="preserve">particular, </w:t>
      </w:r>
      <w:r w:rsidR="00605759" w:rsidRPr="00605759">
        <w:rPr>
          <w:rFonts w:cs="Arial"/>
          <w:lang w:val="es-ES"/>
        </w:rPr>
        <w:t xml:space="preserve">la evaluación de mercados y sobre servicios financieros </w:t>
      </w:r>
      <w:r w:rsidR="00C64D67">
        <w:rPr>
          <w:rFonts w:cs="Arial"/>
          <w:lang w:val="es-ES"/>
        </w:rPr>
        <w:t xml:space="preserve">se beneficia de la información recogida a nivel de comunidad. </w:t>
      </w:r>
      <w:r w:rsidR="00572A6E" w:rsidRPr="00605759">
        <w:rPr>
          <w:rFonts w:cs="Arial"/>
          <w:lang w:val="es-ES"/>
        </w:rPr>
        <w:t xml:space="preserve"> </w:t>
      </w:r>
    </w:p>
    <w:p w14:paraId="66F1E33D" w14:textId="31AEA1D2" w:rsidR="004E3A34" w:rsidRDefault="00C64D67" w:rsidP="004E3A34">
      <w:pPr>
        <w:rPr>
          <w:rFonts w:cs="Arial"/>
          <w:color w:val="000000"/>
          <w:szCs w:val="22"/>
          <w:shd w:val="clear" w:color="auto" w:fill="FFFFFF"/>
          <w:lang w:val="es-ES" w:eastAsia="it-IT"/>
        </w:rPr>
      </w:pPr>
      <w:r w:rsidRPr="00C64D67"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Las etapas, sub-etapas y herramientas pueden ser adaptadas </w:t>
      </w:r>
      <w:r w:rsidR="004120D9" w:rsidRPr="00C64D67">
        <w:rPr>
          <w:rFonts w:cs="Arial"/>
          <w:color w:val="000000"/>
          <w:szCs w:val="22"/>
          <w:shd w:val="clear" w:color="auto" w:fill="FFFFFF"/>
          <w:lang w:val="es-ES" w:eastAsia="it-IT"/>
        </w:rPr>
        <w:t>por distintas organizaciones</w:t>
      </w:r>
      <w:r w:rsidR="004120D9" w:rsidRPr="00C64D67"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 </w:t>
      </w:r>
      <w:r w:rsidRPr="00C64D67">
        <w:rPr>
          <w:rFonts w:cs="Arial"/>
          <w:color w:val="000000"/>
          <w:szCs w:val="22"/>
          <w:shd w:val="clear" w:color="auto" w:fill="FFFFFF"/>
          <w:lang w:val="es-ES" w:eastAsia="it-IT"/>
        </w:rPr>
        <w:t>para ser usadas en distintos ti</w:t>
      </w:r>
      <w:r w:rsidR="004120D9">
        <w:rPr>
          <w:rFonts w:cs="Arial"/>
          <w:color w:val="000000"/>
          <w:szCs w:val="22"/>
          <w:shd w:val="clear" w:color="auto" w:fill="FFFFFF"/>
          <w:lang w:val="es-ES" w:eastAsia="it-IT"/>
        </w:rPr>
        <w:t>pos de evaluaciones y contextos.</w:t>
      </w:r>
      <w:r w:rsidRPr="00C64D67"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 La primera etapa pretende apoyar en la planificación y preparaci</w:t>
      </w:r>
      <w:r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ón de </w:t>
      </w:r>
      <w:r w:rsidRPr="00C64D67">
        <w:rPr>
          <w:rFonts w:cs="Arial"/>
          <w:color w:val="000000"/>
          <w:szCs w:val="22"/>
          <w:shd w:val="clear" w:color="auto" w:fill="FFFFFF"/>
          <w:lang w:val="es-ES" w:eastAsia="it-IT"/>
        </w:rPr>
        <w:t>evaluaci</w:t>
      </w:r>
      <w:r>
        <w:rPr>
          <w:rFonts w:cs="Arial"/>
          <w:color w:val="000000"/>
          <w:szCs w:val="22"/>
          <w:shd w:val="clear" w:color="auto" w:fill="FFFFFF"/>
          <w:lang w:val="es-ES" w:eastAsia="it-IT"/>
        </w:rPr>
        <w:t>ones de necesid</w:t>
      </w:r>
      <w:r w:rsidRPr="00C64D67">
        <w:rPr>
          <w:rFonts w:cs="Arial"/>
          <w:color w:val="000000"/>
          <w:szCs w:val="22"/>
          <w:shd w:val="clear" w:color="auto" w:fill="FFFFFF"/>
          <w:lang w:val="es-ES" w:eastAsia="it-IT"/>
        </w:rPr>
        <w:t>ades que tiene</w:t>
      </w:r>
      <w:r>
        <w:rPr>
          <w:rFonts w:cs="Arial"/>
          <w:color w:val="000000"/>
          <w:szCs w:val="22"/>
          <w:shd w:val="clear" w:color="auto" w:fill="FFFFFF"/>
          <w:lang w:val="es-ES" w:eastAsia="it-IT"/>
        </w:rPr>
        <w:t>n</w:t>
      </w:r>
      <w:r w:rsidRPr="00C64D67"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 en cuenta una potencial entrega de efectivo. La segunda etapa pretende apoyar en la recogida de información específica sobre entrega de efectivo en comunidades y hogares que se</w:t>
      </w:r>
      <w:r w:rsidR="004120D9"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 han visto afectado</w:t>
      </w:r>
      <w:r w:rsidRPr="00C64D67"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s por un choque. La tercera etapa pretende apoyar en el análisis rápido de </w:t>
      </w:r>
      <w:r w:rsidR="004E3A34"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mercado. </w:t>
      </w:r>
      <w:r w:rsidR="004E3A34" w:rsidRPr="004E3A34"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La cuarta y última etapa está dedicada a promocionar y entender cuáles son las capacidades existentes para poder ejecutar PTE, y los riesgos asociados con este tipo de respuestas. </w:t>
      </w:r>
    </w:p>
    <w:p w14:paraId="0BCAAD53" w14:textId="57B73BF4" w:rsidR="00D24E98" w:rsidRPr="004E3A34" w:rsidRDefault="004E3A34" w:rsidP="004E3A34">
      <w:pPr>
        <w:rPr>
          <w:rFonts w:cs="Arial"/>
          <w:lang w:val="es-ES"/>
        </w:rPr>
      </w:pPr>
      <w:r w:rsidRPr="004E3A34">
        <w:rPr>
          <w:rFonts w:cs="Arial"/>
          <w:color w:val="000000"/>
          <w:szCs w:val="22"/>
          <w:shd w:val="clear" w:color="auto" w:fill="FFFFFF"/>
          <w:lang w:val="es-ES" w:eastAsia="it-IT"/>
        </w:rPr>
        <w:t>Cuando se quieran adaptar herramientas a un contexto y necesidades concretas, se puede</w:t>
      </w:r>
      <w:r>
        <w:rPr>
          <w:rFonts w:cs="Arial"/>
          <w:color w:val="000000"/>
          <w:szCs w:val="22"/>
          <w:shd w:val="clear" w:color="auto" w:fill="FFFFFF"/>
          <w:lang w:val="es-ES" w:eastAsia="it-IT"/>
        </w:rPr>
        <w:t>n</w:t>
      </w:r>
      <w:r w:rsidRPr="004E3A34"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 conseguir</w:t>
      </w:r>
      <w:r>
        <w:rPr>
          <w:rFonts w:cs="Arial"/>
          <w:color w:val="000000"/>
          <w:szCs w:val="22"/>
          <w:shd w:val="clear" w:color="auto" w:fill="FFFFFF"/>
          <w:lang w:val="es-ES" w:eastAsia="it-IT"/>
        </w:rPr>
        <w:t xml:space="preserve"> orientaciones detalladas en evaluación de necesidades de los documentos de referencia sugeridos tanto en el módulo como a nivel de las distintas etapas. </w:t>
      </w:r>
      <w:r w:rsidR="00F2556D" w:rsidRPr="004E3A34">
        <w:rPr>
          <w:rFonts w:cs="Arial"/>
          <w:lang w:val="es-ES"/>
        </w:rPr>
        <w:t xml:space="preserve"> </w:t>
      </w:r>
    </w:p>
    <w:p w14:paraId="0D120B9A" w14:textId="16691EA5" w:rsidR="001B79C9" w:rsidRPr="00CC4944" w:rsidRDefault="003743FF" w:rsidP="00CC4944">
      <w:pPr>
        <w:pStyle w:val="Heading2"/>
      </w:pPr>
      <w:r>
        <w:t>e</w:t>
      </w:r>
      <w:r w:rsidR="004E3A34">
        <w:t>STÁ</w:t>
      </w:r>
      <w:r w:rsidR="004E3A34" w:rsidRPr="00CC4944">
        <w:t>NDARD</w:t>
      </w:r>
      <w:r w:rsidR="004E3A34">
        <w:t>e</w:t>
      </w:r>
      <w:r w:rsidR="004E3A34" w:rsidRPr="00CC4944">
        <w:t xml:space="preserve">S </w:t>
      </w:r>
      <w:r w:rsidR="004E3A34">
        <w:t>MÍNIMos</w:t>
      </w:r>
      <w:r w:rsidR="00333EA9" w:rsidRPr="00CC4944">
        <w:t xml:space="preserve"> </w:t>
      </w:r>
    </w:p>
    <w:p w14:paraId="0853DB41" w14:textId="40E3D6DE" w:rsidR="001A7AD5" w:rsidRPr="00A5199B" w:rsidRDefault="00A5199B" w:rsidP="00CC4944">
      <w:pPr>
        <w:pStyle w:val="Bullet1"/>
        <w:rPr>
          <w:lang w:val="es-ES"/>
        </w:rPr>
      </w:pPr>
      <w:r w:rsidRPr="00A5199B">
        <w:rPr>
          <w:lang w:val="es-ES"/>
        </w:rPr>
        <w:t>En cualquier evaluaci</w:t>
      </w:r>
      <w:r w:rsidR="00562B19">
        <w:rPr>
          <w:lang w:val="es-ES"/>
        </w:rPr>
        <w:t>ón de necesidades en</w:t>
      </w:r>
      <w:r w:rsidRPr="00A5199B">
        <w:rPr>
          <w:lang w:val="es-ES"/>
        </w:rPr>
        <w:t xml:space="preserve"> emergencia</w:t>
      </w:r>
      <w:r w:rsidR="00562B19">
        <w:rPr>
          <w:lang w:val="es-ES"/>
        </w:rPr>
        <w:t>s</w:t>
      </w:r>
      <w:r w:rsidRPr="00A5199B">
        <w:rPr>
          <w:lang w:val="es-ES"/>
        </w:rPr>
        <w:t xml:space="preserve"> se deb</w:t>
      </w:r>
      <w:r w:rsidR="00562B19">
        <w:rPr>
          <w:lang w:val="es-ES"/>
        </w:rPr>
        <w:t xml:space="preserve">e considerar </w:t>
      </w:r>
      <w:r w:rsidR="004120D9">
        <w:rPr>
          <w:lang w:val="es-ES"/>
        </w:rPr>
        <w:t xml:space="preserve">la </w:t>
      </w:r>
      <w:r w:rsidRPr="00A5199B">
        <w:rPr>
          <w:lang w:val="es-ES"/>
        </w:rPr>
        <w:t xml:space="preserve">información específica sobre entrega de efectivo. </w:t>
      </w:r>
      <w:r w:rsidR="001A7AD5" w:rsidRPr="00A5199B">
        <w:rPr>
          <w:lang w:val="es-ES"/>
        </w:rPr>
        <w:t xml:space="preserve"> </w:t>
      </w:r>
    </w:p>
    <w:p w14:paraId="51510C7B" w14:textId="0CDE4661" w:rsidR="00BC241B" w:rsidRPr="00562B19" w:rsidRDefault="00D97ABF" w:rsidP="00CC4944">
      <w:pPr>
        <w:pStyle w:val="Bullet1"/>
        <w:rPr>
          <w:color w:val="000000" w:themeColor="text1"/>
          <w:lang w:val="es-ES"/>
        </w:rPr>
      </w:pPr>
      <w:r w:rsidRPr="00562B19">
        <w:rPr>
          <w:lang w:val="es-ES"/>
        </w:rPr>
        <w:t>D</w:t>
      </w:r>
      <w:r w:rsidR="00BC241B" w:rsidRPr="00562B19">
        <w:rPr>
          <w:lang w:val="es-ES"/>
        </w:rPr>
        <w:t>i</w:t>
      </w:r>
      <w:r w:rsidR="00562B19" w:rsidRPr="00562B19">
        <w:rPr>
          <w:lang w:val="es-ES"/>
        </w:rPr>
        <w:t>stintos d</w:t>
      </w:r>
      <w:r w:rsidR="00BC241B" w:rsidRPr="00562B19">
        <w:rPr>
          <w:lang w:val="es-ES"/>
        </w:rPr>
        <w:t>epart</w:t>
      </w:r>
      <w:r w:rsidR="00562B19" w:rsidRPr="00562B19">
        <w:rPr>
          <w:lang w:val="es-ES"/>
        </w:rPr>
        <w:t>a</w:t>
      </w:r>
      <w:r w:rsidR="00BC241B" w:rsidRPr="00562B19">
        <w:rPr>
          <w:lang w:val="es-ES"/>
        </w:rPr>
        <w:t>ment</w:t>
      </w:r>
      <w:r w:rsidR="00562B19" w:rsidRPr="00562B19">
        <w:rPr>
          <w:lang w:val="es-ES"/>
        </w:rPr>
        <w:t>o</w:t>
      </w:r>
      <w:r w:rsidR="00BC241B" w:rsidRPr="00562B19">
        <w:rPr>
          <w:lang w:val="es-ES"/>
        </w:rPr>
        <w:t>s</w:t>
      </w:r>
      <w:r w:rsidR="005C34AD" w:rsidRPr="00562B19">
        <w:rPr>
          <w:lang w:val="es-ES"/>
        </w:rPr>
        <w:t xml:space="preserve">, </w:t>
      </w:r>
      <w:r w:rsidR="00562B19" w:rsidRPr="00562B19">
        <w:rPr>
          <w:lang w:val="es-ES"/>
        </w:rPr>
        <w:t>en particular logística y finanzas, deben colaborar en las evaluaciones de necesidades en emergencias</w:t>
      </w:r>
      <w:r w:rsidR="00E46D47">
        <w:rPr>
          <w:lang w:val="es-ES"/>
        </w:rPr>
        <w:t>, tal y como está definido en los proced</w:t>
      </w:r>
      <w:r w:rsidR="004120D9">
        <w:rPr>
          <w:lang w:val="es-ES"/>
        </w:rPr>
        <w:t>imientos operativos estándares</w:t>
      </w:r>
      <w:r w:rsidR="005C34AD" w:rsidRPr="00562B19">
        <w:rPr>
          <w:lang w:val="es-ES"/>
        </w:rPr>
        <w:t xml:space="preserve">. </w:t>
      </w:r>
    </w:p>
    <w:p w14:paraId="279560D1" w14:textId="79A2253F" w:rsidR="00BC241B" w:rsidRPr="00126D5E" w:rsidRDefault="00E46D47" w:rsidP="00CC4944">
      <w:pPr>
        <w:pStyle w:val="Bullet1"/>
        <w:rPr>
          <w:lang w:val="es-ES"/>
        </w:rPr>
      </w:pPr>
      <w:r w:rsidRPr="00126D5E">
        <w:rPr>
          <w:color w:val="000000" w:themeColor="text1"/>
          <w:lang w:val="es-ES"/>
        </w:rPr>
        <w:t xml:space="preserve">Las decisiones sobre la viabilidad inmediata de la entrega de efectivo en contextos post-choque deben ser tomadas por personal </w:t>
      </w:r>
      <w:r w:rsidR="00126D5E" w:rsidRPr="00126D5E">
        <w:rPr>
          <w:color w:val="000000" w:themeColor="text1"/>
          <w:lang w:val="es-ES"/>
        </w:rPr>
        <w:t>con experiencia técnica y experto en la materia</w:t>
      </w:r>
      <w:r w:rsidR="00126D5E">
        <w:rPr>
          <w:color w:val="000000" w:themeColor="text1"/>
          <w:lang w:val="es-ES"/>
        </w:rPr>
        <w:t xml:space="preserve">. </w:t>
      </w:r>
      <w:r w:rsidR="00126D5E" w:rsidRPr="00126D5E">
        <w:rPr>
          <w:color w:val="000000" w:themeColor="text1"/>
          <w:lang w:val="es-ES"/>
        </w:rPr>
        <w:t xml:space="preserve">Además, debe ser confirmado en las fases siguientes de la evaluación de necesidades y en el análisis de respuestas. </w:t>
      </w:r>
      <w:r w:rsidR="00105565" w:rsidRPr="00126D5E">
        <w:rPr>
          <w:color w:val="000000" w:themeColor="text1"/>
          <w:lang w:val="es-ES"/>
        </w:rPr>
        <w:t xml:space="preserve"> </w:t>
      </w:r>
    </w:p>
    <w:p w14:paraId="20241147" w14:textId="6F1D0EC9" w:rsidR="00105565" w:rsidRPr="00126D5E" w:rsidRDefault="00126D5E" w:rsidP="00CC4944">
      <w:pPr>
        <w:pStyle w:val="Bullet1"/>
        <w:rPr>
          <w:color w:val="000000" w:themeColor="text1"/>
          <w:lang w:val="es-ES"/>
        </w:rPr>
      </w:pPr>
      <w:r w:rsidRPr="00126D5E">
        <w:rPr>
          <w:lang w:val="es-ES"/>
        </w:rPr>
        <w:t>La información específica sobre entrega de efectivo recogida a nivel de comunidad y de hogar debe incluir: acceso y uso del dinero, mercados y servicios financieros; preferencias de los beneficiarios; y riesgos asociados a la entrega de efectivo percibidos por la comunidad y</w:t>
      </w:r>
      <w:r>
        <w:rPr>
          <w:lang w:val="es-ES"/>
        </w:rPr>
        <w:t>/o</w:t>
      </w:r>
      <w:r w:rsidRPr="00126D5E">
        <w:rPr>
          <w:lang w:val="es-ES"/>
        </w:rPr>
        <w:t xml:space="preserve"> los hogares. </w:t>
      </w:r>
    </w:p>
    <w:p w14:paraId="22B79415" w14:textId="7CF404C6" w:rsidR="00105565" w:rsidRPr="00257E4F" w:rsidRDefault="0073164E" w:rsidP="00CC4944">
      <w:pPr>
        <w:pStyle w:val="Bullet1"/>
        <w:rPr>
          <w:color w:val="000000" w:themeColor="text1"/>
          <w:lang w:val="es-ES"/>
        </w:rPr>
      </w:pPr>
      <w:r w:rsidRPr="0073164E">
        <w:rPr>
          <w:lang w:val="es-ES"/>
        </w:rPr>
        <w:t>Las necesidades priorizadas por la población afectada por el choque debe</w:t>
      </w:r>
      <w:r w:rsidR="00257E4F">
        <w:rPr>
          <w:lang w:val="es-ES"/>
        </w:rPr>
        <w:t>n</w:t>
      </w:r>
      <w:r w:rsidRPr="0073164E">
        <w:rPr>
          <w:lang w:val="es-ES"/>
        </w:rPr>
        <w:t xml:space="preserve"> ser identificada</w:t>
      </w:r>
      <w:r w:rsidR="00257E4F">
        <w:rPr>
          <w:lang w:val="es-ES"/>
        </w:rPr>
        <w:t>s</w:t>
      </w:r>
      <w:r w:rsidRPr="0073164E">
        <w:rPr>
          <w:lang w:val="es-ES"/>
        </w:rPr>
        <w:t xml:space="preserve"> y cuantificada</w:t>
      </w:r>
      <w:r w:rsidR="00257E4F">
        <w:rPr>
          <w:lang w:val="es-ES"/>
        </w:rPr>
        <w:t>s</w:t>
      </w:r>
      <w:r w:rsidRPr="0073164E">
        <w:rPr>
          <w:lang w:val="es-ES"/>
        </w:rPr>
        <w:t xml:space="preserve"> en t</w:t>
      </w:r>
      <w:r>
        <w:rPr>
          <w:lang w:val="es-ES"/>
        </w:rPr>
        <w:t xml:space="preserve">érminos monetarios, utilizando precios locales. </w:t>
      </w:r>
    </w:p>
    <w:p w14:paraId="77B8A173" w14:textId="04AE51F7" w:rsidR="00FD30C8" w:rsidRPr="0073164E" w:rsidRDefault="0073164E" w:rsidP="00CC4944">
      <w:pPr>
        <w:pStyle w:val="Bullet1"/>
        <w:rPr>
          <w:color w:val="000000" w:themeColor="text1"/>
          <w:lang w:val="es-ES"/>
        </w:rPr>
      </w:pPr>
      <w:r w:rsidRPr="0073164E">
        <w:rPr>
          <w:lang w:val="es-ES"/>
        </w:rPr>
        <w:lastRenderedPageBreak/>
        <w:t>Las evaluaciones de</w:t>
      </w:r>
      <w:r w:rsidR="004120D9">
        <w:rPr>
          <w:lang w:val="es-ES"/>
        </w:rPr>
        <w:t>l</w:t>
      </w:r>
      <w:r w:rsidRPr="0073164E">
        <w:rPr>
          <w:lang w:val="es-ES"/>
        </w:rPr>
        <w:t xml:space="preserve"> m</w:t>
      </w:r>
      <w:r w:rsidR="004120D9">
        <w:rPr>
          <w:lang w:val="es-ES"/>
        </w:rPr>
        <w:t>ercado</w:t>
      </w:r>
      <w:r w:rsidRPr="0073164E">
        <w:rPr>
          <w:lang w:val="es-ES"/>
        </w:rPr>
        <w:t xml:space="preserve"> deben centrarse en los productos, servicios y los mercados físicos primordiales para la</w:t>
      </w:r>
      <w:r>
        <w:rPr>
          <w:lang w:val="es-ES"/>
        </w:rPr>
        <w:t>s</w:t>
      </w:r>
      <w:r w:rsidRPr="0073164E">
        <w:rPr>
          <w:lang w:val="es-ES"/>
        </w:rPr>
        <w:t xml:space="preserve"> necesidades prioritarias y los medios de vida de </w:t>
      </w:r>
      <w:r>
        <w:rPr>
          <w:lang w:val="es-ES"/>
        </w:rPr>
        <w:t xml:space="preserve">los hogares. </w:t>
      </w:r>
    </w:p>
    <w:p w14:paraId="01169EFC" w14:textId="3C77A9FA" w:rsidR="00456081" w:rsidRPr="0000639C" w:rsidRDefault="0073164E" w:rsidP="00CC4944">
      <w:pPr>
        <w:pStyle w:val="Bullet1"/>
        <w:rPr>
          <w:color w:val="000000" w:themeColor="text1"/>
          <w:lang w:val="es-ES"/>
        </w:rPr>
      </w:pPr>
      <w:r w:rsidRPr="0073164E">
        <w:rPr>
          <w:color w:val="000000" w:themeColor="text1"/>
          <w:lang w:val="es-ES"/>
        </w:rPr>
        <w:t xml:space="preserve">La evaluación de la capacidad de los proveedores de servicios financieros debe centrarse en los servicios </w:t>
      </w:r>
      <w:r w:rsidR="0000639C">
        <w:rPr>
          <w:color w:val="000000" w:themeColor="text1"/>
          <w:lang w:val="es-ES"/>
        </w:rPr>
        <w:t>que ofrecen</w:t>
      </w:r>
      <w:r w:rsidRPr="0073164E">
        <w:rPr>
          <w:color w:val="000000" w:themeColor="text1"/>
          <w:lang w:val="es-ES"/>
        </w:rPr>
        <w:t xml:space="preserve">, la cobertura, la accesibilidad, los costes y los aspectos relacionados con </w:t>
      </w:r>
      <w:r w:rsidR="0000639C">
        <w:rPr>
          <w:color w:val="000000" w:themeColor="text1"/>
          <w:lang w:val="es-ES"/>
        </w:rPr>
        <w:t xml:space="preserve">las regulaciones. </w:t>
      </w:r>
    </w:p>
    <w:p w14:paraId="5BDDD3BB" w14:textId="7F84ECE7" w:rsidR="00687489" w:rsidRPr="0000639C" w:rsidRDefault="004120D9" w:rsidP="00CC4944">
      <w:pPr>
        <w:pStyle w:val="Bullet1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La capacidad de las Sociedades N</w:t>
      </w:r>
      <w:r w:rsidR="0000639C" w:rsidRPr="0000639C">
        <w:rPr>
          <w:color w:val="000000" w:themeColor="text1"/>
          <w:lang w:val="es-ES"/>
        </w:rPr>
        <w:t xml:space="preserve">acionales y sus socios </w:t>
      </w:r>
      <w:r>
        <w:rPr>
          <w:color w:val="000000" w:themeColor="text1"/>
          <w:lang w:val="es-ES"/>
        </w:rPr>
        <w:t>para ejecutar PTE a tiempo y en</w:t>
      </w:r>
      <w:r w:rsidR="0000639C" w:rsidRPr="0000639C">
        <w:rPr>
          <w:color w:val="000000" w:themeColor="text1"/>
          <w:lang w:val="es-ES"/>
        </w:rPr>
        <w:t xml:space="preserve"> la escala necesaria debe ser evaluada.</w:t>
      </w:r>
      <w:r w:rsidR="0000639C">
        <w:rPr>
          <w:color w:val="000000" w:themeColor="text1"/>
          <w:lang w:val="es-ES"/>
        </w:rPr>
        <w:t xml:space="preserve"> </w:t>
      </w:r>
    </w:p>
    <w:p w14:paraId="52E22FC9" w14:textId="29F16C94" w:rsidR="00F57C12" w:rsidRPr="0000639C" w:rsidRDefault="0000639C" w:rsidP="00CC4944">
      <w:pPr>
        <w:pStyle w:val="Bullet1"/>
        <w:rPr>
          <w:lang w:val="es-ES"/>
        </w:rPr>
      </w:pPr>
      <w:r w:rsidRPr="0000639C">
        <w:rPr>
          <w:lang w:val="es-ES"/>
        </w:rPr>
        <w:t>La evaluación de los riesgos debe incluir por lo menos la identificación de</w:t>
      </w:r>
      <w:r>
        <w:rPr>
          <w:lang w:val="es-ES"/>
        </w:rPr>
        <w:t xml:space="preserve"> </w:t>
      </w:r>
      <w:r w:rsidRPr="0000639C">
        <w:rPr>
          <w:lang w:val="es-ES"/>
        </w:rPr>
        <w:t>l</w:t>
      </w:r>
      <w:r>
        <w:rPr>
          <w:lang w:val="es-ES"/>
        </w:rPr>
        <w:t xml:space="preserve">os riesgos </w:t>
      </w:r>
      <w:r w:rsidRPr="0000639C">
        <w:rPr>
          <w:lang w:val="es-ES"/>
        </w:rPr>
        <w:t>context</w:t>
      </w:r>
      <w:r>
        <w:rPr>
          <w:lang w:val="es-ES"/>
        </w:rPr>
        <w:t xml:space="preserve">uales, institucionales y programáticos asociados con una posible respuesta con entrega de efectivo. </w:t>
      </w:r>
    </w:p>
    <w:p w14:paraId="4A50221D" w14:textId="22804125" w:rsidR="00D528AB" w:rsidRPr="00B536FA" w:rsidRDefault="0000639C" w:rsidP="00CC4944">
      <w:pPr>
        <w:pStyle w:val="Heading2"/>
        <w:rPr>
          <w:lang w:val="es-ES"/>
        </w:rPr>
      </w:pPr>
      <w:r w:rsidRPr="00B536FA">
        <w:rPr>
          <w:lang w:val="es-ES"/>
        </w:rPr>
        <w:t>ETAPAS Y S</w:t>
      </w:r>
      <w:r w:rsidR="00996780" w:rsidRPr="00B536FA">
        <w:rPr>
          <w:lang w:val="es-ES"/>
        </w:rPr>
        <w:t>UB-</w:t>
      </w:r>
      <w:r w:rsidRPr="00B536FA">
        <w:rPr>
          <w:lang w:val="es-ES"/>
        </w:rPr>
        <w:t xml:space="preserve">etapas </w:t>
      </w:r>
    </w:p>
    <w:p w14:paraId="7F39822E" w14:textId="0E5B31A3" w:rsidR="00105565" w:rsidRPr="00257E4F" w:rsidRDefault="00257E4F" w:rsidP="00CC068F">
      <w:pPr>
        <w:rPr>
          <w:rFonts w:cs="Arial"/>
          <w:szCs w:val="22"/>
          <w:lang w:val="es-ES"/>
        </w:rPr>
      </w:pPr>
      <w:r w:rsidRPr="00257E4F">
        <w:rPr>
          <w:rFonts w:cs="Arial"/>
          <w:szCs w:val="22"/>
          <w:lang w:val="es-ES"/>
        </w:rPr>
        <w:t>La caja de herramientas para PTE en emergencias propone cuatro pasos para la incorporación de aspectos directamente relacionados con la entrega de efectivo en el proceso de identificaci</w:t>
      </w:r>
      <w:r>
        <w:rPr>
          <w:rFonts w:cs="Arial"/>
          <w:szCs w:val="22"/>
          <w:lang w:val="es-ES"/>
        </w:rPr>
        <w:t xml:space="preserve">ón de necesidades, a la </w:t>
      </w:r>
      <w:r w:rsidR="001A6EA9">
        <w:rPr>
          <w:rFonts w:cs="Arial"/>
          <w:szCs w:val="22"/>
          <w:lang w:val="es-ES"/>
        </w:rPr>
        <w:t>vez que</w:t>
      </w:r>
      <w:r>
        <w:rPr>
          <w:rFonts w:cs="Arial"/>
          <w:szCs w:val="22"/>
          <w:lang w:val="es-ES"/>
        </w:rPr>
        <w:t xml:space="preserve"> pone a disposición los recursos necesarios. </w:t>
      </w:r>
      <w:r w:rsidR="00D712BF" w:rsidRPr="00257E4F">
        <w:rPr>
          <w:rFonts w:cs="Arial"/>
          <w:szCs w:val="22"/>
          <w:lang w:val="es-ES"/>
        </w:rPr>
        <w:t xml:space="preserve"> </w:t>
      </w:r>
    </w:p>
    <w:p w14:paraId="5C442222" w14:textId="3901138A" w:rsidR="008C2CBC" w:rsidRPr="008B2B0D" w:rsidRDefault="00105565" w:rsidP="00CC4944">
      <w:pPr>
        <w:pStyle w:val="Heading3"/>
        <w:rPr>
          <w:shd w:val="clear" w:color="auto" w:fill="FFFFFF"/>
          <w:lang w:val="es-ES" w:eastAsia="it-IT"/>
        </w:rPr>
      </w:pPr>
      <w:r w:rsidRPr="008B2B0D">
        <w:rPr>
          <w:shd w:val="clear" w:color="auto" w:fill="FFFFFF"/>
          <w:lang w:val="es-ES" w:eastAsia="it-IT"/>
        </w:rPr>
        <w:t>Plan</w:t>
      </w:r>
      <w:r w:rsidR="00257E4F" w:rsidRPr="008B2B0D">
        <w:rPr>
          <w:shd w:val="clear" w:color="auto" w:fill="FFFFFF"/>
          <w:lang w:val="es-ES" w:eastAsia="it-IT"/>
        </w:rPr>
        <w:t xml:space="preserve">ificación y preparación </w:t>
      </w:r>
    </w:p>
    <w:p w14:paraId="2D9C4DE9" w14:textId="7148E12C" w:rsidR="005C34AD" w:rsidRPr="00C35DFB" w:rsidRDefault="00257E4F" w:rsidP="005C34AD">
      <w:pPr>
        <w:rPr>
          <w:lang w:val="es-ES"/>
        </w:rPr>
      </w:pPr>
      <w:r w:rsidRPr="001A6EA9">
        <w:rPr>
          <w:lang w:val="es-ES"/>
        </w:rPr>
        <w:t xml:space="preserve">Las decisiones </w:t>
      </w:r>
      <w:r w:rsidR="001A6EA9" w:rsidRPr="001A6EA9">
        <w:rPr>
          <w:lang w:val="es-ES"/>
        </w:rPr>
        <w:t xml:space="preserve">iniciales sobre el </w:t>
      </w:r>
      <w:r w:rsidRPr="001A6EA9">
        <w:rPr>
          <w:lang w:val="es-ES"/>
        </w:rPr>
        <w:t xml:space="preserve">uso de efectivo </w:t>
      </w:r>
      <w:r w:rsidR="001A6EA9" w:rsidRPr="001A6EA9">
        <w:rPr>
          <w:lang w:val="es-ES"/>
        </w:rPr>
        <w:t>se pueden tomar inmediatamente después del choque, por parte de person</w:t>
      </w:r>
      <w:r w:rsidR="008B2B0D">
        <w:rPr>
          <w:lang w:val="es-ES"/>
        </w:rPr>
        <w:t>al de la organización que tenga experiencia y sea experto</w:t>
      </w:r>
      <w:r w:rsidR="001A6EA9" w:rsidRPr="001A6EA9">
        <w:rPr>
          <w:lang w:val="es-ES"/>
        </w:rPr>
        <w:t xml:space="preserve"> en la materia, en base a la información </w:t>
      </w:r>
      <w:r w:rsidRPr="001A6EA9">
        <w:rPr>
          <w:lang w:val="es-ES"/>
        </w:rPr>
        <w:t>o</w:t>
      </w:r>
      <w:r w:rsidR="001A6EA9" w:rsidRPr="001A6EA9">
        <w:rPr>
          <w:lang w:val="es-ES"/>
        </w:rPr>
        <w:t>btenida directamente durante las primeras visitas</w:t>
      </w:r>
      <w:r w:rsidR="008B2B0D">
        <w:rPr>
          <w:lang w:val="es-ES"/>
        </w:rPr>
        <w:t xml:space="preserve"> al terreno, en base a los plane</w:t>
      </w:r>
      <w:r w:rsidR="001A6EA9" w:rsidRPr="001A6EA9">
        <w:rPr>
          <w:lang w:val="es-ES"/>
        </w:rPr>
        <w:t>s de contingencia o a las reunion</w:t>
      </w:r>
      <w:r w:rsidR="001A6EA9">
        <w:rPr>
          <w:lang w:val="es-ES"/>
        </w:rPr>
        <w:t>e</w:t>
      </w:r>
      <w:r w:rsidR="001A6EA9" w:rsidRPr="001A6EA9">
        <w:rPr>
          <w:lang w:val="es-ES"/>
        </w:rPr>
        <w:t>s de coordinación.</w:t>
      </w:r>
      <w:r w:rsidR="001A6EA9">
        <w:rPr>
          <w:lang w:val="es-ES"/>
        </w:rPr>
        <w:t xml:space="preserve">  </w:t>
      </w:r>
      <w:r w:rsidR="001A6EA9" w:rsidRPr="001A6EA9">
        <w:rPr>
          <w:lang w:val="es-ES"/>
        </w:rPr>
        <w:t xml:space="preserve">Es importante considerar que cualquiera que sea la </w:t>
      </w:r>
      <w:r w:rsidR="00020FD3" w:rsidRPr="001A6EA9">
        <w:rPr>
          <w:lang w:val="es-ES"/>
        </w:rPr>
        <w:t>decisión</w:t>
      </w:r>
      <w:r w:rsidR="001A6EA9" w:rsidRPr="001A6EA9">
        <w:rPr>
          <w:lang w:val="es-ES"/>
        </w:rPr>
        <w:t xml:space="preserve"> tomada inicialmente, solo la subsiguiente evaluación de necesidades seguida del análisis de </w:t>
      </w:r>
      <w:r w:rsidR="00020FD3">
        <w:rPr>
          <w:lang w:val="es-ES"/>
        </w:rPr>
        <w:t xml:space="preserve">las </w:t>
      </w:r>
      <w:r w:rsidR="008B2B0D">
        <w:rPr>
          <w:lang w:val="es-ES"/>
        </w:rPr>
        <w:t>distintas opciones de intervención</w:t>
      </w:r>
      <w:r w:rsidR="00020FD3">
        <w:rPr>
          <w:lang w:val="es-ES"/>
        </w:rPr>
        <w:t xml:space="preserve"> puede confirmar si los PTE son la mejor opción para cubrir las necesidades de la población en las siguientes fases. </w:t>
      </w:r>
      <w:r w:rsidR="00020FD3" w:rsidRPr="006A57D8">
        <w:rPr>
          <w:lang w:val="es-ES"/>
        </w:rPr>
        <w:t xml:space="preserve">Al elegir </w:t>
      </w:r>
      <w:r w:rsidR="006A57D8" w:rsidRPr="006A57D8">
        <w:rPr>
          <w:lang w:val="es-ES"/>
        </w:rPr>
        <w:t xml:space="preserve">el enfoque y las herramientas </w:t>
      </w:r>
      <w:r w:rsidR="006A57D8">
        <w:rPr>
          <w:lang w:val="es-ES"/>
        </w:rPr>
        <w:t>para</w:t>
      </w:r>
      <w:r w:rsidR="006A57D8" w:rsidRPr="006A57D8">
        <w:rPr>
          <w:lang w:val="es-ES"/>
        </w:rPr>
        <w:t xml:space="preserve"> la evaluación de necesidades hay que tener en cuenta que la mayor</w:t>
      </w:r>
      <w:r w:rsidR="006A57D8">
        <w:rPr>
          <w:lang w:val="es-ES"/>
        </w:rPr>
        <w:t xml:space="preserve">ía de ellos no incluyen aspectos específicos relacionados con la entrega de efectivo. </w:t>
      </w:r>
      <w:r w:rsidR="00750F0F" w:rsidRPr="00750F0F">
        <w:rPr>
          <w:lang w:val="es-ES"/>
        </w:rPr>
        <w:t xml:space="preserve">Cuando la información </w:t>
      </w:r>
      <w:r w:rsidR="006A57D8" w:rsidRPr="00750F0F">
        <w:rPr>
          <w:lang w:val="es-ES"/>
        </w:rPr>
        <w:t xml:space="preserve">específica </w:t>
      </w:r>
      <w:r w:rsidR="00750F0F" w:rsidRPr="00750F0F">
        <w:rPr>
          <w:lang w:val="es-ES"/>
        </w:rPr>
        <w:t>relativa</w:t>
      </w:r>
      <w:r w:rsidR="005C34AD" w:rsidRPr="00750F0F">
        <w:rPr>
          <w:lang w:val="es-ES"/>
        </w:rPr>
        <w:t xml:space="preserve"> </w:t>
      </w:r>
      <w:r w:rsidR="00750F0F" w:rsidRPr="00750F0F">
        <w:rPr>
          <w:lang w:val="es-ES"/>
        </w:rPr>
        <w:t>a la entrega de efectivo no ha sido integrada en la fase de preparación, es muy probable que se tenga que hacer cuando se planifica y se prepara la evaluaci</w:t>
      </w:r>
      <w:r w:rsidR="00750F0F">
        <w:rPr>
          <w:lang w:val="es-ES"/>
        </w:rPr>
        <w:t xml:space="preserve">ón de necesidades. </w:t>
      </w:r>
      <w:r w:rsidR="00750F0F" w:rsidRPr="00750F0F">
        <w:rPr>
          <w:lang w:val="es-ES"/>
        </w:rPr>
        <w:t>Cuando se busca información secundaria, hay que asegurarse de que se comprueban las fuentes de informaci</w:t>
      </w:r>
      <w:r w:rsidR="00750F0F">
        <w:rPr>
          <w:lang w:val="es-ES"/>
        </w:rPr>
        <w:t xml:space="preserve">ón secundaria </w:t>
      </w:r>
      <w:r w:rsidR="00F44DCD">
        <w:rPr>
          <w:lang w:val="es-ES"/>
        </w:rPr>
        <w:t>disponibles</w:t>
      </w:r>
      <w:r w:rsidR="00F44DCD">
        <w:rPr>
          <w:lang w:val="es-ES"/>
        </w:rPr>
        <w:t xml:space="preserve"> </w:t>
      </w:r>
      <w:r w:rsidR="00750F0F">
        <w:rPr>
          <w:lang w:val="es-ES"/>
        </w:rPr>
        <w:t xml:space="preserve">que contienen información específica sobre entrega de efectivo. </w:t>
      </w:r>
      <w:r w:rsidR="00750F0F" w:rsidRPr="00C35DFB">
        <w:rPr>
          <w:lang w:val="es-ES"/>
        </w:rPr>
        <w:t xml:space="preserve">Finalmente, </w:t>
      </w:r>
      <w:r w:rsidR="00C35DFB" w:rsidRPr="00C35DFB">
        <w:rPr>
          <w:lang w:val="es-ES"/>
        </w:rPr>
        <w:t xml:space="preserve">cuando se identifica a los </w:t>
      </w:r>
      <w:r w:rsidR="00F44DCD">
        <w:rPr>
          <w:lang w:val="es-ES"/>
        </w:rPr>
        <w:t>actores/</w:t>
      </w:r>
      <w:r w:rsidR="00C35DFB" w:rsidRPr="00C35DFB">
        <w:rPr>
          <w:lang w:val="es-ES"/>
        </w:rPr>
        <w:t xml:space="preserve">grupos interesados hay que tener en cuenta principalmente a aquellos que pueden </w:t>
      </w:r>
      <w:r w:rsidR="00C35DFB">
        <w:rPr>
          <w:lang w:val="es-ES"/>
        </w:rPr>
        <w:t xml:space="preserve">resultar importantes para el éxito de una hipotética intervención con PTE o que pueden </w:t>
      </w:r>
      <w:r w:rsidR="00C35DFB" w:rsidRPr="00C35DFB">
        <w:rPr>
          <w:lang w:val="es-ES"/>
        </w:rPr>
        <w:t>influenciar</w:t>
      </w:r>
      <w:r w:rsidR="00C35DFB">
        <w:rPr>
          <w:lang w:val="es-ES"/>
        </w:rPr>
        <w:t>la</w:t>
      </w:r>
      <w:r w:rsidR="00C35DFB" w:rsidRPr="00C35DFB">
        <w:rPr>
          <w:lang w:val="es-ES"/>
        </w:rPr>
        <w:t xml:space="preserve"> de manera significativa</w:t>
      </w:r>
      <w:r w:rsidR="00C35DFB">
        <w:rPr>
          <w:lang w:val="es-ES"/>
        </w:rPr>
        <w:t xml:space="preserve">. </w:t>
      </w:r>
      <w:r w:rsidR="005C34AD" w:rsidRPr="00C35DFB">
        <w:rPr>
          <w:lang w:val="es-ES"/>
        </w:rPr>
        <w:t xml:space="preserve"> </w:t>
      </w:r>
    </w:p>
    <w:p w14:paraId="3A931DA4" w14:textId="4C7D54B3" w:rsidR="00E10038" w:rsidRPr="00C35DFB" w:rsidRDefault="00C35DFB" w:rsidP="00CC4944">
      <w:pPr>
        <w:pStyle w:val="Heading3"/>
        <w:rPr>
          <w:lang w:val="es-ES"/>
        </w:rPr>
      </w:pPr>
      <w:r>
        <w:rPr>
          <w:lang w:val="es-ES"/>
        </w:rPr>
        <w:t>Evaluación de neces</w:t>
      </w:r>
      <w:r w:rsidR="00BB7654">
        <w:rPr>
          <w:lang w:val="es-ES"/>
        </w:rPr>
        <w:t xml:space="preserve">idades a nivel de comunidad valorando aspectos relativos a la entrega de efectivo </w:t>
      </w:r>
    </w:p>
    <w:p w14:paraId="209F776E" w14:textId="7F77D03A" w:rsidR="005C34AD" w:rsidRPr="00A02E02" w:rsidRDefault="00BB7654" w:rsidP="005C34AD">
      <w:pPr>
        <w:spacing w:before="240"/>
        <w:rPr>
          <w:lang w:val="es-ES"/>
        </w:rPr>
      </w:pPr>
      <w:r w:rsidRPr="00BB7654">
        <w:rPr>
          <w:lang w:val="es-ES"/>
        </w:rPr>
        <w:t xml:space="preserve">Para realizar una evaluación de necesidades que tiene en cuenta los aspectos relativos a la entrega de efectivo, es necesario </w:t>
      </w:r>
      <w:r>
        <w:rPr>
          <w:lang w:val="es-ES"/>
        </w:rPr>
        <w:t xml:space="preserve">recabar información específica sobre entrega de efectivo a nivel de comunidad y de los hogares. </w:t>
      </w:r>
      <w:r w:rsidRPr="00BB7654">
        <w:rPr>
          <w:lang w:val="es-ES"/>
        </w:rPr>
        <w:t>Es especialmente importante entender tanto el acceso como el uso del dinero por parte de las comunidades y de los hogares</w:t>
      </w:r>
      <w:r>
        <w:rPr>
          <w:lang w:val="es-ES"/>
        </w:rPr>
        <w:t>, los mercados y los servicios financieros, así como las sus preferencias y los riesgos asociados con este tipo de asistencia percibidos por los hogares</w:t>
      </w:r>
      <w:r w:rsidR="008B2B0D">
        <w:rPr>
          <w:lang w:val="es-ES"/>
        </w:rPr>
        <w:t xml:space="preserve">. </w:t>
      </w:r>
      <w:r w:rsidR="008B2B0D" w:rsidRPr="008B2B0D">
        <w:rPr>
          <w:lang w:val="es-ES"/>
        </w:rPr>
        <w:t>Otro componente importante de una evaluación de necesidades es cuantificar las necesidades prioritarias de la poblaci</w:t>
      </w:r>
      <w:r w:rsidR="008B2B0D">
        <w:rPr>
          <w:lang w:val="es-ES"/>
        </w:rPr>
        <w:t xml:space="preserve">ón afectada por el choque en términos monetarios y usando los precios a nivel local. Para cuantificar las necesidades prioritarias durante la evaluación de necesidades será necesario realizar supervisiones de los precios a nivel de mercados (siguiente etapa) </w:t>
      </w:r>
      <w:r w:rsidR="00A02E02">
        <w:rPr>
          <w:lang w:val="es-ES"/>
        </w:rPr>
        <w:t xml:space="preserve">y/o consultas con las comunidades. </w:t>
      </w:r>
      <w:r w:rsidR="00A02E02" w:rsidRPr="00A02E02">
        <w:rPr>
          <w:lang w:val="es-ES"/>
        </w:rPr>
        <w:t>Al final, las conclusiones sobre aspectos relativos a la entrega d</w:t>
      </w:r>
      <w:r w:rsidR="00A02E02">
        <w:rPr>
          <w:lang w:val="es-ES"/>
        </w:rPr>
        <w:t>e efectivo deben ser consolidadas e integrada</w:t>
      </w:r>
      <w:r w:rsidR="00A02E02" w:rsidRPr="00A02E02">
        <w:rPr>
          <w:lang w:val="es-ES"/>
        </w:rPr>
        <w:t>s en el informe de evaluaci</w:t>
      </w:r>
      <w:r w:rsidR="00A02E02">
        <w:rPr>
          <w:lang w:val="es-ES"/>
        </w:rPr>
        <w:t xml:space="preserve">ón de necesidades estándar. </w:t>
      </w:r>
    </w:p>
    <w:p w14:paraId="423E7F02" w14:textId="7CBAA583" w:rsidR="00D25E2D" w:rsidRDefault="00A02E02" w:rsidP="00CC4944">
      <w:pPr>
        <w:pStyle w:val="Heading3"/>
      </w:pPr>
      <w:proofErr w:type="spellStart"/>
      <w:r>
        <w:t>Evaluación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de</w:t>
      </w:r>
      <w:r w:rsidR="00F44DCD">
        <w:t xml:space="preserve">l </w:t>
      </w:r>
      <w:proofErr w:type="spellStart"/>
      <w:r w:rsidR="00F44DCD">
        <w:t>mercado</w:t>
      </w:r>
      <w:proofErr w:type="spellEnd"/>
    </w:p>
    <w:p w14:paraId="0BE9A224" w14:textId="27653646" w:rsidR="00B536FA" w:rsidRPr="00B536FA" w:rsidRDefault="00B536FA" w:rsidP="00B536FA">
      <w:pPr>
        <w:rPr>
          <w:lang w:val="es-ES"/>
        </w:rPr>
      </w:pPr>
      <w:r w:rsidRPr="00B536FA">
        <w:rPr>
          <w:lang w:val="es-ES"/>
        </w:rPr>
        <w:t xml:space="preserve">Una evaluación rápida del mercado comienza con la identificación de los productos básicos y los mercados que son importantes para la población afectada. La información recogida </w:t>
      </w:r>
      <w:r w:rsidR="00F44DCD" w:rsidRPr="00B536FA">
        <w:rPr>
          <w:lang w:val="es-ES"/>
        </w:rPr>
        <w:t>sobre</w:t>
      </w:r>
      <w:r w:rsidRPr="00B536FA">
        <w:rPr>
          <w:lang w:val="es-ES"/>
        </w:rPr>
        <w:t xml:space="preserve"> el mercado debe ser cotejada con información secundaria obtenida durante la planificación y preparación, así como con la información recogida a nivel de comunidad y de los hogares. Se aconseja el uso de mapas de mercado ya que facilitan la representación y comprensión de la estructura de un sistema de mercado. Los mapas preliminares de mercado pueden ser muy útiles para la identificación de informantes clave que se debe entrevistar y cuellos de botella que requieren mayor investigación en el campo. Los hallazgos sobre el mercado deben permitir comprender la capacidad del mercado para abastecer a la población afectada por </w:t>
      </w:r>
      <w:r w:rsidR="00F44DCD" w:rsidRPr="00B536FA">
        <w:rPr>
          <w:lang w:val="es-ES"/>
        </w:rPr>
        <w:t>el choque</w:t>
      </w:r>
      <w:r w:rsidRPr="00B536FA">
        <w:rPr>
          <w:lang w:val="es-ES"/>
        </w:rPr>
        <w:t xml:space="preserve"> con las cantidades suficientes de los productos más </w:t>
      </w:r>
      <w:r w:rsidR="00F44DCD" w:rsidRPr="00B536FA">
        <w:rPr>
          <w:lang w:val="es-ES"/>
        </w:rPr>
        <w:t>necesarios en</w:t>
      </w:r>
      <w:r w:rsidRPr="00B536FA">
        <w:rPr>
          <w:lang w:val="es-ES"/>
        </w:rPr>
        <w:t xml:space="preserve"> el momento oportuno.</w:t>
      </w:r>
    </w:p>
    <w:p w14:paraId="059F84CD" w14:textId="51E16947" w:rsidR="007310FA" w:rsidRPr="003743FF" w:rsidRDefault="00F44DCD" w:rsidP="00CC4944">
      <w:pPr>
        <w:pStyle w:val="Heading3"/>
        <w:rPr>
          <w:lang w:val="es-ES"/>
        </w:rPr>
      </w:pPr>
      <w:r>
        <w:rPr>
          <w:lang w:val="es-ES"/>
        </w:rPr>
        <w:lastRenderedPageBreak/>
        <w:t>P</w:t>
      </w:r>
      <w:r w:rsidR="003743FF" w:rsidRPr="003743FF">
        <w:rPr>
          <w:lang w:val="es-ES"/>
        </w:rPr>
        <w:t>roveed</w:t>
      </w:r>
      <w:r>
        <w:rPr>
          <w:lang w:val="es-ES"/>
        </w:rPr>
        <w:t xml:space="preserve">ores de servicios, capacidad de la </w:t>
      </w:r>
      <w:r w:rsidR="003743FF" w:rsidRPr="003743FF">
        <w:rPr>
          <w:lang w:val="es-ES"/>
        </w:rPr>
        <w:t>organizaci</w:t>
      </w:r>
      <w:r>
        <w:rPr>
          <w:lang w:val="es-ES"/>
        </w:rPr>
        <w:t xml:space="preserve">ón </w:t>
      </w:r>
      <w:r w:rsidR="003743FF" w:rsidRPr="003743FF">
        <w:rPr>
          <w:lang w:val="es-ES"/>
        </w:rPr>
        <w:t xml:space="preserve">y análisis </w:t>
      </w:r>
      <w:r>
        <w:rPr>
          <w:lang w:val="es-ES"/>
        </w:rPr>
        <w:t>de riesgos</w:t>
      </w:r>
    </w:p>
    <w:p w14:paraId="1D982A1D" w14:textId="3394ACDC" w:rsidR="003743FF" w:rsidRPr="003743FF" w:rsidRDefault="003743FF" w:rsidP="003743FF">
      <w:pPr>
        <w:rPr>
          <w:lang w:val="es-ES"/>
        </w:rPr>
      </w:pPr>
      <w:r w:rsidRPr="003743FF">
        <w:rPr>
          <w:lang w:val="es-ES"/>
        </w:rPr>
        <w:t>El objetivo de este paso es doble: medir las capacidades existentes para poner en práctica las r</w:t>
      </w:r>
      <w:r w:rsidR="00F44DCD">
        <w:rPr>
          <w:lang w:val="es-ES"/>
        </w:rPr>
        <w:t>espuestas basadas en efectivo a</w:t>
      </w:r>
      <w:r w:rsidRPr="003743FF">
        <w:rPr>
          <w:lang w:val="es-ES"/>
        </w:rPr>
        <w:t xml:space="preserve"> tiempo y en la escala</w:t>
      </w:r>
      <w:r w:rsidR="00F44DCD">
        <w:rPr>
          <w:lang w:val="es-ES"/>
        </w:rPr>
        <w:t xml:space="preserve"> adecuada</w:t>
      </w:r>
      <w:r w:rsidRPr="003743FF">
        <w:rPr>
          <w:lang w:val="es-ES"/>
        </w:rPr>
        <w:t>, y la comprensión de los riesgos asociados con las respuestas basadas en efectivo.</w:t>
      </w:r>
    </w:p>
    <w:p w14:paraId="71944BFC" w14:textId="0349BDDF" w:rsidR="003743FF" w:rsidRPr="003743FF" w:rsidRDefault="00F44DCD" w:rsidP="003743FF">
      <w:pPr>
        <w:rPr>
          <w:lang w:val="es-ES"/>
        </w:rPr>
      </w:pPr>
      <w:r>
        <w:rPr>
          <w:lang w:val="es-ES"/>
        </w:rPr>
        <w:t>La e</w:t>
      </w:r>
      <w:r w:rsidR="003743FF" w:rsidRPr="003743FF">
        <w:rPr>
          <w:lang w:val="es-ES"/>
        </w:rPr>
        <w:t>valuación de la capacidad debe centrarse tanto en la capacidad de los proveedores de servicios (incluidos los operadores de telefonía móvil, institucion</w:t>
      </w:r>
      <w:r>
        <w:rPr>
          <w:lang w:val="es-ES"/>
        </w:rPr>
        <w:t xml:space="preserve">es financieras y comerciantes) como en </w:t>
      </w:r>
      <w:r w:rsidR="003743FF" w:rsidRPr="003743FF">
        <w:rPr>
          <w:lang w:val="es-ES"/>
        </w:rPr>
        <w:t xml:space="preserve">la capacidad de </w:t>
      </w:r>
      <w:r>
        <w:rPr>
          <w:lang w:val="es-ES"/>
        </w:rPr>
        <w:t xml:space="preserve">la </w:t>
      </w:r>
      <w:r w:rsidR="003743FF" w:rsidRPr="003743FF">
        <w:rPr>
          <w:lang w:val="es-ES"/>
        </w:rPr>
        <w:t>organización (incluyendo la Sociedad Nacional y asociados en la ejecución).</w:t>
      </w:r>
    </w:p>
    <w:p w14:paraId="58310DE0" w14:textId="0AF16465" w:rsidR="001A7D31" w:rsidRPr="003743FF" w:rsidRDefault="003743FF" w:rsidP="003743FF">
      <w:pPr>
        <w:rPr>
          <w:rFonts w:eastAsia="Times New Roman" w:cs="Arial"/>
          <w:szCs w:val="22"/>
          <w:lang w:val="es-ES"/>
        </w:rPr>
      </w:pPr>
      <w:r w:rsidRPr="003743FF">
        <w:rPr>
          <w:lang w:val="es-ES"/>
        </w:rPr>
        <w:t>El análisis de riesgos es un proceso continuo que se inicia durante el trabajo de preparación, se lleva a cabo a lo largo de la fase de evaluación en todos los niveles (comunitario, de</w:t>
      </w:r>
      <w:r w:rsidR="00F44DCD">
        <w:rPr>
          <w:lang w:val="es-ES"/>
        </w:rPr>
        <w:t xml:space="preserve"> mercado, etc.) y se actualiza</w:t>
      </w:r>
      <w:r w:rsidRPr="003743FF">
        <w:rPr>
          <w:lang w:val="es-ES"/>
        </w:rPr>
        <w:t xml:space="preserve"> a lo largo del ciclo del p</w:t>
      </w:r>
      <w:r w:rsidR="00F44DCD">
        <w:rPr>
          <w:lang w:val="es-ES"/>
        </w:rPr>
        <w:t xml:space="preserve">royecto. Por esta razón, la Caja </w:t>
      </w:r>
      <w:r w:rsidRPr="003743FF">
        <w:rPr>
          <w:lang w:val="es-ES"/>
        </w:rPr>
        <w:t xml:space="preserve">de herramientas </w:t>
      </w:r>
      <w:r w:rsidR="00F44DCD">
        <w:rPr>
          <w:lang w:val="es-ES"/>
        </w:rPr>
        <w:t>propone</w:t>
      </w:r>
      <w:r w:rsidRPr="003743FF">
        <w:rPr>
          <w:lang w:val="es-ES"/>
        </w:rPr>
        <w:t xml:space="preserve"> las mismas herramie</w:t>
      </w:r>
      <w:r w:rsidR="00F44DCD">
        <w:rPr>
          <w:lang w:val="es-ES"/>
        </w:rPr>
        <w:t xml:space="preserve">ntas de análisis de riesgos en cada uno de </w:t>
      </w:r>
      <w:r w:rsidRPr="003743FF">
        <w:rPr>
          <w:lang w:val="es-ES"/>
        </w:rPr>
        <w:t>los di</w:t>
      </w:r>
      <w:r w:rsidR="00F44DCD">
        <w:rPr>
          <w:lang w:val="es-ES"/>
        </w:rPr>
        <w:t xml:space="preserve">stintos </w:t>
      </w:r>
      <w:r w:rsidRPr="003743FF">
        <w:rPr>
          <w:lang w:val="es-ES"/>
        </w:rPr>
        <w:t>módulos. Estas herramientas pueden ser completada</w:t>
      </w:r>
      <w:r>
        <w:rPr>
          <w:lang w:val="es-ES"/>
        </w:rPr>
        <w:t>s y actualizada</w:t>
      </w:r>
      <w:r w:rsidRPr="003743FF">
        <w:rPr>
          <w:lang w:val="es-ES"/>
        </w:rPr>
        <w:t xml:space="preserve">s a medida que </w:t>
      </w:r>
      <w:r>
        <w:rPr>
          <w:lang w:val="es-ES"/>
        </w:rPr>
        <w:t xml:space="preserve">se </w:t>
      </w:r>
      <w:r w:rsidRPr="003743FF">
        <w:rPr>
          <w:lang w:val="es-ES"/>
        </w:rPr>
        <w:t xml:space="preserve">avanza </w:t>
      </w:r>
      <w:r>
        <w:rPr>
          <w:lang w:val="es-ES"/>
        </w:rPr>
        <w:t xml:space="preserve">en </w:t>
      </w:r>
      <w:r w:rsidRPr="003743FF">
        <w:rPr>
          <w:lang w:val="es-ES"/>
        </w:rPr>
        <w:t>las fases del proyecto.</w:t>
      </w:r>
    </w:p>
    <w:p w14:paraId="0BFE7B12" w14:textId="2F0DFDD7" w:rsidR="001A7D31" w:rsidRPr="003743FF" w:rsidRDefault="001A7D31">
      <w:pPr>
        <w:spacing w:after="0"/>
        <w:jc w:val="left"/>
        <w:rPr>
          <w:rFonts w:eastAsia="Times New Roman" w:cs="Arial"/>
          <w:szCs w:val="22"/>
          <w:lang w:val="es-ES"/>
        </w:rPr>
      </w:pPr>
      <w:bookmarkStart w:id="0" w:name="_GoBack"/>
      <w:bookmarkEnd w:id="0"/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632"/>
      </w:tblGrid>
      <w:tr w:rsidR="001A7D31" w14:paraId="48149D4F" w14:textId="77777777" w:rsidTr="001A7D31">
        <w:tc>
          <w:tcPr>
            <w:tcW w:w="9848" w:type="dxa"/>
          </w:tcPr>
          <w:p w14:paraId="72EF33D4" w14:textId="05893FB5" w:rsidR="001A7D31" w:rsidRPr="00E0659E" w:rsidRDefault="003743FF" w:rsidP="001A7D31">
            <w:pPr>
              <w:pStyle w:val="RefTitre"/>
              <w:rPr>
                <w:lang w:val="es-ES"/>
              </w:rPr>
            </w:pPr>
            <w:r w:rsidRPr="00E0659E">
              <w:rPr>
                <w:lang w:val="es-ES"/>
              </w:rPr>
              <w:t xml:space="preserve">DOCUMENTOS DE </w:t>
            </w:r>
            <w:r w:rsidR="001A7D31" w:rsidRPr="00E0659E">
              <w:rPr>
                <w:lang w:val="es-ES"/>
              </w:rPr>
              <w:t>REFERENC</w:t>
            </w:r>
            <w:r w:rsidRPr="00E0659E">
              <w:rPr>
                <w:lang w:val="es-ES"/>
              </w:rPr>
              <w:t xml:space="preserve">IA </w:t>
            </w:r>
          </w:p>
          <w:p w14:paraId="5DA4300B" w14:textId="32EBDD25" w:rsidR="001A7D31" w:rsidRPr="00E0659E" w:rsidRDefault="001A7D31" w:rsidP="001A7D31">
            <w:pPr>
              <w:pStyle w:val="RefItem1"/>
              <w:rPr>
                <w:shd w:val="clear" w:color="auto" w:fill="D9D9D9"/>
                <w:lang w:val="es-ES"/>
              </w:rPr>
            </w:pPr>
            <w:r w:rsidRPr="00E0659E">
              <w:rPr>
                <w:shd w:val="clear" w:color="auto" w:fill="D9D9D9"/>
                <w:lang w:val="es-ES"/>
              </w:rPr>
              <w:t>C</w:t>
            </w:r>
            <w:r w:rsidR="00E0659E" w:rsidRPr="00E0659E">
              <w:rPr>
                <w:shd w:val="clear" w:color="auto" w:fill="D9D9D9"/>
                <w:lang w:val="es-ES"/>
              </w:rPr>
              <w:t>IC</w:t>
            </w:r>
            <w:r w:rsidRPr="00E0659E">
              <w:rPr>
                <w:shd w:val="clear" w:color="auto" w:fill="D9D9D9"/>
                <w:lang w:val="es-ES"/>
              </w:rPr>
              <w:t>R</w:t>
            </w:r>
            <w:r w:rsidR="00E0659E" w:rsidRPr="00E0659E">
              <w:rPr>
                <w:shd w:val="clear" w:color="auto" w:fill="D9D9D9"/>
                <w:lang w:val="es-ES"/>
              </w:rPr>
              <w:t>/</w:t>
            </w:r>
            <w:r w:rsidRPr="00E0659E">
              <w:rPr>
                <w:shd w:val="clear" w:color="auto" w:fill="D9D9D9"/>
                <w:lang w:val="es-ES"/>
              </w:rPr>
              <w:t>F</w:t>
            </w:r>
            <w:r w:rsidR="00E0659E" w:rsidRPr="00E0659E">
              <w:rPr>
                <w:shd w:val="clear" w:color="auto" w:fill="D9D9D9"/>
                <w:lang w:val="es-ES"/>
              </w:rPr>
              <w:t>IC</w:t>
            </w:r>
            <w:r w:rsidRPr="00E0659E">
              <w:rPr>
                <w:shd w:val="clear" w:color="auto" w:fill="D9D9D9"/>
                <w:lang w:val="es-ES"/>
              </w:rPr>
              <w:t xml:space="preserve">R (2008) </w:t>
            </w:r>
            <w:r w:rsidR="00E0659E" w:rsidRPr="00E0659E">
              <w:rPr>
                <w:shd w:val="clear" w:color="auto" w:fill="D9D9D9"/>
                <w:lang w:val="es-ES"/>
              </w:rPr>
              <w:t>Directrices para evaluaciones de emergencia</w:t>
            </w:r>
            <w:r w:rsidRPr="00E0659E">
              <w:rPr>
                <w:shd w:val="clear" w:color="auto" w:fill="D9D9D9"/>
                <w:lang w:val="es-ES"/>
              </w:rPr>
              <w:t xml:space="preserve"> </w:t>
            </w:r>
          </w:p>
          <w:p w14:paraId="36CC2F51" w14:textId="5328F0BE" w:rsidR="00E0659E" w:rsidRPr="00CB3B5C" w:rsidRDefault="00E0659E" w:rsidP="001A7D31">
            <w:pPr>
              <w:pStyle w:val="RefItem1"/>
              <w:rPr>
                <w:rStyle w:val="Hyperlink"/>
                <w:lang w:val="es-ES"/>
              </w:rPr>
            </w:pPr>
            <w:r w:rsidRPr="00CB3B5C">
              <w:rPr>
                <w:rStyle w:val="Hyperlink"/>
                <w:lang w:val="es-ES"/>
              </w:rPr>
              <w:t>http://www.ifrc.org/Global/Publications/disasters/guidelines/guidelines-emergency-sp.pdf</w:t>
            </w:r>
          </w:p>
          <w:p w14:paraId="4ABF667D" w14:textId="4D76CDDF" w:rsidR="00E0659E" w:rsidRPr="00CB3B5C" w:rsidRDefault="001A7D31" w:rsidP="00E0659E">
            <w:pPr>
              <w:pStyle w:val="RefItem1"/>
              <w:rPr>
                <w:rStyle w:val="Hyperlink"/>
                <w:lang w:val="es-ES"/>
              </w:rPr>
            </w:pPr>
            <w:r w:rsidRPr="00E0659E">
              <w:rPr>
                <w:shd w:val="clear" w:color="auto" w:fill="D9D9D9"/>
                <w:lang w:val="es-ES"/>
              </w:rPr>
              <w:t xml:space="preserve">IFRC (2007) </w:t>
            </w:r>
            <w:r w:rsidR="00E0659E" w:rsidRPr="00E0659E">
              <w:rPr>
                <w:shd w:val="clear" w:color="auto" w:fill="D9D9D9"/>
                <w:lang w:val="es-ES"/>
              </w:rPr>
              <w:t xml:space="preserve">¿Cómo se hace un AVC? Guía </w:t>
            </w:r>
            <w:r w:rsidRPr="00E0659E">
              <w:rPr>
                <w:shd w:val="clear" w:color="auto" w:fill="D9D9D9"/>
                <w:lang w:val="es-ES"/>
              </w:rPr>
              <w:t>pr</w:t>
            </w:r>
            <w:r w:rsidR="00E0659E" w:rsidRPr="00E0659E">
              <w:rPr>
                <w:shd w:val="clear" w:color="auto" w:fill="D9D9D9"/>
                <w:lang w:val="es-ES"/>
              </w:rPr>
              <w:t>á</w:t>
            </w:r>
            <w:r w:rsidRPr="00E0659E">
              <w:rPr>
                <w:shd w:val="clear" w:color="auto" w:fill="D9D9D9"/>
                <w:lang w:val="es-ES"/>
              </w:rPr>
              <w:t>ctica</w:t>
            </w:r>
            <w:r w:rsidR="00E0659E" w:rsidRPr="00E0659E">
              <w:rPr>
                <w:shd w:val="clear" w:color="auto" w:fill="D9D9D9"/>
                <w:lang w:val="es-ES"/>
              </w:rPr>
              <w:t xml:space="preserve"> para personal </w:t>
            </w:r>
            <w:r w:rsidR="00E0659E">
              <w:rPr>
                <w:shd w:val="clear" w:color="auto" w:fill="D9D9D9"/>
                <w:lang w:val="es-ES"/>
              </w:rPr>
              <w:t xml:space="preserve">y voluntarios </w:t>
            </w:r>
            <w:r w:rsidR="00E0659E" w:rsidRPr="00E0659E">
              <w:rPr>
                <w:shd w:val="clear" w:color="auto" w:fill="D9D9D9"/>
                <w:lang w:val="es-ES"/>
              </w:rPr>
              <w:t>de la Cruz</w:t>
            </w:r>
            <w:r w:rsidR="00E0659E">
              <w:rPr>
                <w:shd w:val="clear" w:color="auto" w:fill="D9D9D9"/>
                <w:lang w:val="es-ES"/>
              </w:rPr>
              <w:t xml:space="preserve"> Roja y de la Media Luna Roja. </w:t>
            </w:r>
            <w:r w:rsidR="00E0659E" w:rsidRPr="00CB3B5C">
              <w:rPr>
                <w:rStyle w:val="Hyperlink"/>
                <w:lang w:val="es-ES"/>
              </w:rPr>
              <w:t>http://www.ifrc.org/Global/Publications/disasters/vca/how-to-do-vca-sp.pdf</w:t>
            </w:r>
          </w:p>
          <w:p w14:paraId="31D15E1F" w14:textId="61029245" w:rsidR="001A7D31" w:rsidRDefault="00E0659E" w:rsidP="00E0659E">
            <w:pPr>
              <w:pStyle w:val="RefItem1"/>
            </w:pPr>
            <w:r w:rsidRPr="00E0659E">
              <w:rPr>
                <w:shd w:val="clear" w:color="auto" w:fill="D9D9D9"/>
                <w:lang w:val="es-ES"/>
              </w:rPr>
              <w:t>Informe de buenas prácticas</w:t>
            </w:r>
            <w:r w:rsidR="001A7D31" w:rsidRPr="00E0659E">
              <w:rPr>
                <w:shd w:val="clear" w:color="auto" w:fill="D9D9D9"/>
                <w:lang w:val="es-ES"/>
              </w:rPr>
              <w:t xml:space="preserve">: </w:t>
            </w:r>
            <w:r w:rsidRPr="00E0659E">
              <w:rPr>
                <w:shd w:val="clear" w:color="auto" w:fill="D9D9D9"/>
                <w:lang w:val="es-ES"/>
              </w:rPr>
              <w:t>Programa de transferencia de efectivo en</w:t>
            </w:r>
            <w:r w:rsidR="001A7D31" w:rsidRPr="00E0659E">
              <w:rPr>
                <w:shd w:val="clear" w:color="auto" w:fill="D9D9D9"/>
                <w:lang w:val="es-ES"/>
              </w:rPr>
              <w:t xml:space="preserve"> </w:t>
            </w:r>
            <w:r>
              <w:rPr>
                <w:shd w:val="clear" w:color="auto" w:fill="D9D9D9"/>
                <w:lang w:val="es-ES"/>
              </w:rPr>
              <w:t>emergencia</w:t>
            </w:r>
            <w:r w:rsidR="001A7D31" w:rsidRPr="00E0659E">
              <w:rPr>
                <w:shd w:val="clear" w:color="auto" w:fill="D9D9D9"/>
                <w:lang w:val="es-ES"/>
              </w:rPr>
              <w:t xml:space="preserve">s. </w:t>
            </w:r>
            <w:r w:rsidR="001A7D31" w:rsidRPr="00CC4944">
              <w:rPr>
                <w:shd w:val="clear" w:color="auto" w:fill="D9D9D9"/>
              </w:rPr>
              <w:t>Humanitarian Practice Network (2011</w:t>
            </w:r>
            <w:proofErr w:type="gramStart"/>
            <w:r w:rsidR="001A7D31" w:rsidRPr="00CC4944">
              <w:rPr>
                <w:shd w:val="clear" w:color="auto" w:fill="D9D9D9"/>
              </w:rPr>
              <w:t>)</w:t>
            </w:r>
            <w:r w:rsidR="001A7D31" w:rsidRPr="00CC4944">
              <w:t> </w:t>
            </w:r>
            <w:r>
              <w:t xml:space="preserve"> </w:t>
            </w:r>
            <w:r w:rsidRPr="00802A70">
              <w:rPr>
                <w:rStyle w:val="Hyperlink"/>
              </w:rPr>
              <w:t>http://odihpn.org/wp-content/uploads/2011/12/GPR11_Spanish.pdf</w:t>
            </w:r>
            <w:proofErr w:type="gramEnd"/>
          </w:p>
        </w:tc>
      </w:tr>
    </w:tbl>
    <w:p w14:paraId="6BB28D7B" w14:textId="77777777" w:rsidR="00A74426" w:rsidRDefault="00A74426" w:rsidP="00CC4944"/>
    <w:sectPr w:rsidR="00A74426" w:rsidSect="00CC4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AC33" w14:textId="77777777" w:rsidR="005866AE" w:rsidRDefault="005866AE" w:rsidP="00752615">
      <w:pPr>
        <w:spacing w:after="0"/>
      </w:pPr>
      <w:r>
        <w:separator/>
      </w:r>
    </w:p>
  </w:endnote>
  <w:endnote w:type="continuationSeparator" w:id="0">
    <w:p w14:paraId="360197AE" w14:textId="77777777" w:rsidR="005866AE" w:rsidRDefault="005866AE" w:rsidP="00752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9CDD" w14:textId="77777777" w:rsidR="00D20B36" w:rsidRDefault="00D20B36" w:rsidP="007526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5275E5" w14:textId="77777777" w:rsidR="00D20B36" w:rsidRDefault="00D20B36" w:rsidP="007526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EF2B" w14:textId="58CFF29B" w:rsidR="00CC4944" w:rsidRPr="00B45C74" w:rsidRDefault="00CC494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1110A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678FD58" w14:textId="2132F815" w:rsidR="00CC4944" w:rsidRPr="003743FF" w:rsidRDefault="003743FF" w:rsidP="00ED1B2B">
    <w:pPr>
      <w:pStyle w:val="Footer"/>
      <w:rPr>
        <w:lang w:val="es-ES"/>
      </w:rPr>
    </w:pPr>
    <w:r w:rsidRPr="003743FF">
      <w:rPr>
        <w:b/>
        <w:lang w:val="es-ES"/>
      </w:rPr>
      <w:t>Módulo</w:t>
    </w:r>
    <w:r w:rsidR="00CC4944" w:rsidRPr="003743FF">
      <w:rPr>
        <w:b/>
        <w:lang w:val="es-ES"/>
      </w:rPr>
      <w:t xml:space="preserve"> 2.</w:t>
    </w:r>
    <w:r w:rsidR="00CC4944" w:rsidRPr="003743FF">
      <w:rPr>
        <w:lang w:val="es-ES"/>
      </w:rPr>
      <w:t xml:space="preserve"> </w:t>
    </w:r>
    <w:r w:rsidRPr="003743FF">
      <w:rPr>
        <w:lang w:val="es-ES"/>
      </w:rPr>
      <w:t xml:space="preserve">Hoja de ruta </w:t>
    </w:r>
    <w:r w:rsidRPr="003743FF">
      <w:rPr>
        <w:i/>
        <w:lang w:val="es-ES"/>
      </w:rPr>
      <w:t>para la evaluación de necesidades</w:t>
    </w:r>
    <w:r w:rsidRPr="003743FF">
      <w:rPr>
        <w:lang w:val="es-ES"/>
      </w:rPr>
      <w:t xml:space="preserve"> </w:t>
    </w:r>
    <w:r w:rsidR="00CC4944" w:rsidRPr="00107E15">
      <w:rPr>
        <w:i/>
      </w:rPr>
      <w:fldChar w:fldCharType="begin"/>
    </w:r>
    <w:r w:rsidR="00CC4944" w:rsidRPr="003743FF">
      <w:rPr>
        <w:i/>
        <w:lang w:val="es-ES"/>
      </w:rPr>
      <w:instrText xml:space="preserve"> STYLEREF  H1 \t  \* MERGEFORMAT </w:instrText>
    </w:r>
    <w:r w:rsidR="00CC4944" w:rsidRPr="00107E1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01D8F" w14:textId="109808EB" w:rsidR="00CC4944" w:rsidRPr="00B45C74" w:rsidRDefault="00CC494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1110A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42ACA32" w14:textId="55F39C5D" w:rsidR="00CC4944" w:rsidRPr="003A3500" w:rsidRDefault="0073164E" w:rsidP="00ED1B2B">
    <w:pPr>
      <w:pStyle w:val="Footer"/>
    </w:pPr>
    <w:proofErr w:type="spellStart"/>
    <w:r>
      <w:rPr>
        <w:b/>
      </w:rPr>
      <w:t>Módulo</w:t>
    </w:r>
    <w:proofErr w:type="spellEnd"/>
    <w:r w:rsidR="00CC4944" w:rsidRPr="00107E15">
      <w:rPr>
        <w:b/>
      </w:rPr>
      <w:t xml:space="preserve"> </w:t>
    </w:r>
    <w:r w:rsidR="00CC4944">
      <w:rPr>
        <w:b/>
      </w:rPr>
      <w:t>2</w:t>
    </w:r>
    <w:r w:rsidR="00CC4944" w:rsidRPr="00107E15">
      <w:rPr>
        <w:b/>
      </w:rPr>
      <w:t>.</w:t>
    </w:r>
    <w:r w:rsidR="00CC4944" w:rsidRPr="00107E15">
      <w:t xml:space="preserve"> </w:t>
    </w:r>
    <w:r w:rsidR="00CC4944" w:rsidRPr="00107E15">
      <w:rPr>
        <w:i/>
      </w:rPr>
      <w:fldChar w:fldCharType="begin"/>
    </w:r>
    <w:r w:rsidR="00CC4944" w:rsidRPr="00107E15">
      <w:rPr>
        <w:i/>
      </w:rPr>
      <w:instrText xml:space="preserve"> STYLEREF  H1 \t  \* MERGEFORMAT </w:instrText>
    </w:r>
    <w:r w:rsidR="00CC4944" w:rsidRPr="00107E15">
      <w:rPr>
        <w:i/>
      </w:rPr>
      <w:fldChar w:fldCharType="separate"/>
    </w:r>
    <w:r w:rsidR="0051110A" w:rsidRPr="0051110A">
      <w:rPr>
        <w:bCs/>
        <w:noProof/>
      </w:rPr>
      <w:t>Hoja de ruta</w:t>
    </w:r>
    <w:r w:rsidR="0051110A">
      <w:rPr>
        <w:i/>
        <w:noProof/>
      </w:rPr>
      <w:t xml:space="preserve"> para la evaluación de necesidades</w:t>
    </w:r>
    <w:r w:rsidR="00CC4944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240BD" w14:textId="77777777" w:rsidR="005866AE" w:rsidRDefault="005866AE" w:rsidP="00752615">
      <w:pPr>
        <w:spacing w:after="0"/>
      </w:pPr>
      <w:r>
        <w:separator/>
      </w:r>
    </w:p>
  </w:footnote>
  <w:footnote w:type="continuationSeparator" w:id="0">
    <w:p w14:paraId="31B0DAC0" w14:textId="77777777" w:rsidR="005866AE" w:rsidRDefault="005866AE" w:rsidP="007526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2A989" w14:textId="77777777" w:rsidR="00CB3B5C" w:rsidRDefault="00CB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C9CD9" w14:textId="77777777" w:rsidR="00CB3B5C" w:rsidRPr="00C746A5" w:rsidRDefault="00CB3B5C" w:rsidP="00CB3B5C">
    <w:pPr>
      <w:pStyle w:val="Header"/>
      <w:rPr>
        <w:szCs w:val="16"/>
        <w:lang w:val="es-ES"/>
      </w:rPr>
    </w:pPr>
    <w:r w:rsidRPr="00C746A5">
      <w:rPr>
        <w:rStyle w:val="Pantone485"/>
        <w:lang w:val="es-ES"/>
      </w:rPr>
      <w:t xml:space="preserve">Movimiento Internacional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 xml:space="preserve">la Cruz Roja y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>la Media Luna Roja</w:t>
    </w:r>
    <w:r w:rsidRPr="00C746A5">
      <w:rPr>
        <w:rFonts w:cs="Caecilia-Light"/>
        <w:color w:val="FF0000"/>
        <w:szCs w:val="16"/>
        <w:lang w:val="es-ES"/>
      </w:rPr>
      <w:t xml:space="preserve"> </w:t>
    </w:r>
    <w:r w:rsidRPr="00C746A5">
      <w:rPr>
        <w:rStyle w:val="PageNumber"/>
        <w:bCs/>
        <w:szCs w:val="16"/>
        <w:lang w:val="es-ES"/>
      </w:rPr>
      <w:t>I</w:t>
    </w:r>
    <w:r w:rsidRPr="00C746A5">
      <w:rPr>
        <w:rStyle w:val="PageNumber"/>
        <w:color w:val="FF0000"/>
        <w:szCs w:val="16"/>
        <w:lang w:val="es-ES"/>
      </w:rPr>
      <w:t xml:space="preserve"> </w:t>
    </w:r>
    <w:r w:rsidRPr="00C746A5">
      <w:rPr>
        <w:b/>
        <w:szCs w:val="16"/>
        <w:lang w:val="es-ES"/>
      </w:rPr>
      <w:t>C</w:t>
    </w:r>
    <w:r>
      <w:rPr>
        <w:b/>
        <w:szCs w:val="16"/>
        <w:lang w:val="es-ES"/>
      </w:rPr>
      <w:t>aja de Herramientas para PTE en emergencias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41CE2" w14:textId="091B0D93" w:rsidR="00CC4944" w:rsidRDefault="00CB3B5C" w:rsidP="00CB3B5C">
    <w:pPr>
      <w:pStyle w:val="Header1"/>
      <w:ind w:firstLine="567"/>
    </w:pPr>
    <w:r w:rsidRPr="00CB3B5C">
      <w:rPr>
        <w:noProof/>
        <w:lang w:val="es-ES_tradnl" w:eastAsia="es-ES_tradnl"/>
      </w:rPr>
      <w:drawing>
        <wp:inline distT="0" distB="0" distL="0" distR="0" wp14:anchorId="3C64579B" wp14:editId="70819A2A">
          <wp:extent cx="546100" cy="641904"/>
          <wp:effectExtent l="0" t="0" r="6350" b="6350"/>
          <wp:docPr id="7" name="Picture 7" descr="C:\Users\inesd_000\Desktop\CiE Toolbox translation IFRC\CICR ESPAÑ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esd_000\Desktop\CiE Toolbox translation IFRC\CICR ESPAÑ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86" cy="679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     </w:t>
    </w:r>
    <w:r>
      <w:rPr>
        <w:noProof/>
        <w:lang w:val="es-ES_tradnl" w:eastAsia="es-ES_tradnl"/>
      </w:rPr>
      <w:drawing>
        <wp:inline distT="0" distB="0" distL="0" distR="0" wp14:anchorId="5C2C9C53" wp14:editId="05BEF073">
          <wp:extent cx="3072765" cy="298450"/>
          <wp:effectExtent l="0" t="0" r="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</w:t>
    </w:r>
  </w:p>
  <w:p w14:paraId="1054CFB7" w14:textId="05E0FC02" w:rsidR="00CC4944" w:rsidRDefault="00CC4944" w:rsidP="00050617">
    <w:pPr>
      <w:pStyle w:val="Header1"/>
    </w:pPr>
  </w:p>
  <w:p w14:paraId="20B14925" w14:textId="38370314" w:rsidR="00CC4944" w:rsidRPr="00CB3B5C" w:rsidRDefault="00CC4944" w:rsidP="00CB3B5C">
    <w:pPr>
      <w:pStyle w:val="Header"/>
      <w:ind w:left="4253"/>
      <w:rPr>
        <w:color w:val="DC281E"/>
        <w:sz w:val="24"/>
        <w:szCs w:val="24"/>
        <w:lang w:val="es-ES"/>
      </w:rPr>
    </w:pPr>
  </w:p>
  <w:p w14:paraId="4C4FC39E" w14:textId="77777777" w:rsidR="00CC4944" w:rsidRPr="00CB3B5C" w:rsidRDefault="00CC4944" w:rsidP="00C16D71">
    <w:pPr>
      <w:pStyle w:val="Header"/>
      <w:spacing w:line="240" w:lineRule="auto"/>
      <w:rPr>
        <w:b/>
        <w:color w:val="DC281E"/>
        <w:sz w:val="24"/>
        <w:szCs w:val="24"/>
        <w:lang w:val="es-ES"/>
      </w:rPr>
    </w:pPr>
  </w:p>
  <w:p w14:paraId="2B106090" w14:textId="77777777" w:rsidR="00CC4944" w:rsidRPr="00CB3B5C" w:rsidRDefault="00CC4944" w:rsidP="00C16D71">
    <w:pPr>
      <w:pStyle w:val="Header"/>
      <w:spacing w:line="240" w:lineRule="auto"/>
      <w:rPr>
        <w:b/>
        <w:color w:val="DC281E"/>
        <w:sz w:val="24"/>
        <w:szCs w:val="24"/>
        <w:lang w:val="es-ES"/>
      </w:rPr>
    </w:pPr>
  </w:p>
  <w:p w14:paraId="2E5537D3" w14:textId="01E555FF" w:rsidR="00CC4944" w:rsidRPr="00736C40" w:rsidRDefault="00736C40" w:rsidP="00050617">
    <w:pPr>
      <w:pStyle w:val="Header1"/>
      <w:rPr>
        <w:rFonts w:ascii="Arial Bold" w:hAnsi="Arial Bold"/>
        <w:color w:val="DC281E"/>
        <w:lang w:val="es-ES"/>
      </w:rPr>
    </w:pPr>
    <w:r w:rsidRPr="00736C40">
      <w:rPr>
        <w:rFonts w:ascii="Arial Bold" w:hAnsi="Arial Bold"/>
        <w:color w:val="DC281E"/>
        <w:lang w:val="es-ES"/>
      </w:rPr>
      <w:t>Caja de herramientas para PTE en emergencias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3"/>
  </w:num>
  <w:num w:numId="5">
    <w:abstractNumId w:val="27"/>
  </w:num>
  <w:num w:numId="6">
    <w:abstractNumId w:val="12"/>
  </w:num>
  <w:num w:numId="7">
    <w:abstractNumId w:val="16"/>
  </w:num>
  <w:num w:numId="8">
    <w:abstractNumId w:val="8"/>
  </w:num>
  <w:num w:numId="9">
    <w:abstractNumId w:val="29"/>
  </w:num>
  <w:num w:numId="10">
    <w:abstractNumId w:val="19"/>
  </w:num>
  <w:num w:numId="11">
    <w:abstractNumId w:val="20"/>
  </w:num>
  <w:num w:numId="12">
    <w:abstractNumId w:val="24"/>
  </w:num>
  <w:num w:numId="13">
    <w:abstractNumId w:val="26"/>
  </w:num>
  <w:num w:numId="14">
    <w:abstractNumId w:val="6"/>
  </w:num>
  <w:num w:numId="15">
    <w:abstractNumId w:val="25"/>
  </w:num>
  <w:num w:numId="16">
    <w:abstractNumId w:val="2"/>
  </w:num>
  <w:num w:numId="17">
    <w:abstractNumId w:val="1"/>
  </w:num>
  <w:num w:numId="18">
    <w:abstractNumId w:val="28"/>
  </w:num>
  <w:num w:numId="19">
    <w:abstractNumId w:val="15"/>
  </w:num>
  <w:num w:numId="20">
    <w:abstractNumId w:val="9"/>
  </w:num>
  <w:num w:numId="21">
    <w:abstractNumId w:val="4"/>
  </w:num>
  <w:num w:numId="22">
    <w:abstractNumId w:val="10"/>
  </w:num>
  <w:num w:numId="23">
    <w:abstractNumId w:val="14"/>
  </w:num>
  <w:num w:numId="24">
    <w:abstractNumId w:val="7"/>
  </w:num>
  <w:num w:numId="25">
    <w:abstractNumId w:val="5"/>
  </w:num>
  <w:num w:numId="26">
    <w:abstractNumId w:val="0"/>
  </w:num>
  <w:num w:numId="27">
    <w:abstractNumId w:val="17"/>
  </w:num>
  <w:num w:numId="28">
    <w:abstractNumId w:val="2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embedSystemFonts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40"/>
    <w:rsid w:val="0000639C"/>
    <w:rsid w:val="00013F7A"/>
    <w:rsid w:val="00020FD3"/>
    <w:rsid w:val="00027318"/>
    <w:rsid w:val="00046C14"/>
    <w:rsid w:val="00086BFE"/>
    <w:rsid w:val="000B1137"/>
    <w:rsid w:val="000B33A0"/>
    <w:rsid w:val="000C5544"/>
    <w:rsid w:val="000D6F20"/>
    <w:rsid w:val="000D763F"/>
    <w:rsid w:val="000E7D44"/>
    <w:rsid w:val="000F0CF2"/>
    <w:rsid w:val="00105565"/>
    <w:rsid w:val="00115CAA"/>
    <w:rsid w:val="00126D5E"/>
    <w:rsid w:val="00132856"/>
    <w:rsid w:val="0014319C"/>
    <w:rsid w:val="00151A19"/>
    <w:rsid w:val="00164825"/>
    <w:rsid w:val="00166F57"/>
    <w:rsid w:val="001974A9"/>
    <w:rsid w:val="001A6EA9"/>
    <w:rsid w:val="001A7AD5"/>
    <w:rsid w:val="001A7D31"/>
    <w:rsid w:val="001B79C9"/>
    <w:rsid w:val="001C34F7"/>
    <w:rsid w:val="001D07E6"/>
    <w:rsid w:val="001F6441"/>
    <w:rsid w:val="00223CDD"/>
    <w:rsid w:val="00240B83"/>
    <w:rsid w:val="00256A0A"/>
    <w:rsid w:val="00257E4F"/>
    <w:rsid w:val="002E02BA"/>
    <w:rsid w:val="002F25F9"/>
    <w:rsid w:val="002F689F"/>
    <w:rsid w:val="003006DE"/>
    <w:rsid w:val="00325F32"/>
    <w:rsid w:val="00333EA9"/>
    <w:rsid w:val="00347951"/>
    <w:rsid w:val="00357105"/>
    <w:rsid w:val="00365158"/>
    <w:rsid w:val="003743FF"/>
    <w:rsid w:val="00393E25"/>
    <w:rsid w:val="003B6324"/>
    <w:rsid w:val="003C06FD"/>
    <w:rsid w:val="003E030A"/>
    <w:rsid w:val="003F3116"/>
    <w:rsid w:val="00403B20"/>
    <w:rsid w:val="00406965"/>
    <w:rsid w:val="004120D9"/>
    <w:rsid w:val="00456081"/>
    <w:rsid w:val="00461C1A"/>
    <w:rsid w:val="004D4B69"/>
    <w:rsid w:val="004E3A34"/>
    <w:rsid w:val="004E5BB5"/>
    <w:rsid w:val="004F3661"/>
    <w:rsid w:val="00500382"/>
    <w:rsid w:val="0051110A"/>
    <w:rsid w:val="0052353D"/>
    <w:rsid w:val="00527882"/>
    <w:rsid w:val="00537B35"/>
    <w:rsid w:val="00541FF8"/>
    <w:rsid w:val="00562B19"/>
    <w:rsid w:val="00572A6E"/>
    <w:rsid w:val="005838FA"/>
    <w:rsid w:val="005866AE"/>
    <w:rsid w:val="005C34AD"/>
    <w:rsid w:val="005F3235"/>
    <w:rsid w:val="00605759"/>
    <w:rsid w:val="00613D47"/>
    <w:rsid w:val="0062030E"/>
    <w:rsid w:val="0064141A"/>
    <w:rsid w:val="006642BE"/>
    <w:rsid w:val="00675145"/>
    <w:rsid w:val="00687489"/>
    <w:rsid w:val="00692218"/>
    <w:rsid w:val="006A57D8"/>
    <w:rsid w:val="006B3EBE"/>
    <w:rsid w:val="006C2161"/>
    <w:rsid w:val="006D3A93"/>
    <w:rsid w:val="006F4886"/>
    <w:rsid w:val="006F4903"/>
    <w:rsid w:val="007008D2"/>
    <w:rsid w:val="00703798"/>
    <w:rsid w:val="007141C7"/>
    <w:rsid w:val="007310FA"/>
    <w:rsid w:val="0073164E"/>
    <w:rsid w:val="00736C40"/>
    <w:rsid w:val="00750F0F"/>
    <w:rsid w:val="00752615"/>
    <w:rsid w:val="00764418"/>
    <w:rsid w:val="007D1A58"/>
    <w:rsid w:val="007D4C6C"/>
    <w:rsid w:val="00802A70"/>
    <w:rsid w:val="008233E8"/>
    <w:rsid w:val="00853516"/>
    <w:rsid w:val="0088306F"/>
    <w:rsid w:val="008879A4"/>
    <w:rsid w:val="008B2B0D"/>
    <w:rsid w:val="008C2CBC"/>
    <w:rsid w:val="008F402F"/>
    <w:rsid w:val="008F5891"/>
    <w:rsid w:val="00906ED2"/>
    <w:rsid w:val="00935B48"/>
    <w:rsid w:val="00970049"/>
    <w:rsid w:val="00996780"/>
    <w:rsid w:val="009A193F"/>
    <w:rsid w:val="009B5D90"/>
    <w:rsid w:val="009C0717"/>
    <w:rsid w:val="009D5E7B"/>
    <w:rsid w:val="009F21CA"/>
    <w:rsid w:val="00A02E02"/>
    <w:rsid w:val="00A24494"/>
    <w:rsid w:val="00A24FD6"/>
    <w:rsid w:val="00A324E8"/>
    <w:rsid w:val="00A336CA"/>
    <w:rsid w:val="00A375FE"/>
    <w:rsid w:val="00A5199B"/>
    <w:rsid w:val="00A65667"/>
    <w:rsid w:val="00A74426"/>
    <w:rsid w:val="00A87A26"/>
    <w:rsid w:val="00A92250"/>
    <w:rsid w:val="00A94FC1"/>
    <w:rsid w:val="00AF1138"/>
    <w:rsid w:val="00AF3FAA"/>
    <w:rsid w:val="00AF410F"/>
    <w:rsid w:val="00AF426C"/>
    <w:rsid w:val="00B0620E"/>
    <w:rsid w:val="00B43740"/>
    <w:rsid w:val="00B51A30"/>
    <w:rsid w:val="00B536FA"/>
    <w:rsid w:val="00B64371"/>
    <w:rsid w:val="00BA6271"/>
    <w:rsid w:val="00BB7654"/>
    <w:rsid w:val="00BC241B"/>
    <w:rsid w:val="00BF0FB3"/>
    <w:rsid w:val="00C35DFB"/>
    <w:rsid w:val="00C40EDA"/>
    <w:rsid w:val="00C425B5"/>
    <w:rsid w:val="00C4707A"/>
    <w:rsid w:val="00C64D67"/>
    <w:rsid w:val="00C8540D"/>
    <w:rsid w:val="00CA692F"/>
    <w:rsid w:val="00CB3320"/>
    <w:rsid w:val="00CB3B5C"/>
    <w:rsid w:val="00CB4529"/>
    <w:rsid w:val="00CB5FAB"/>
    <w:rsid w:val="00CC068F"/>
    <w:rsid w:val="00CC4944"/>
    <w:rsid w:val="00CF7B24"/>
    <w:rsid w:val="00D00357"/>
    <w:rsid w:val="00D145C8"/>
    <w:rsid w:val="00D16AA1"/>
    <w:rsid w:val="00D171F9"/>
    <w:rsid w:val="00D20B36"/>
    <w:rsid w:val="00D24E98"/>
    <w:rsid w:val="00D25E2D"/>
    <w:rsid w:val="00D31F64"/>
    <w:rsid w:val="00D4215A"/>
    <w:rsid w:val="00D436BF"/>
    <w:rsid w:val="00D448E8"/>
    <w:rsid w:val="00D5123A"/>
    <w:rsid w:val="00D528AB"/>
    <w:rsid w:val="00D62AC5"/>
    <w:rsid w:val="00D66145"/>
    <w:rsid w:val="00D712BF"/>
    <w:rsid w:val="00D74972"/>
    <w:rsid w:val="00D97ABF"/>
    <w:rsid w:val="00DC1372"/>
    <w:rsid w:val="00DD1804"/>
    <w:rsid w:val="00DD662A"/>
    <w:rsid w:val="00DE13F0"/>
    <w:rsid w:val="00DF3CA9"/>
    <w:rsid w:val="00E01226"/>
    <w:rsid w:val="00E0616C"/>
    <w:rsid w:val="00E0659E"/>
    <w:rsid w:val="00E10038"/>
    <w:rsid w:val="00E46507"/>
    <w:rsid w:val="00E46D47"/>
    <w:rsid w:val="00E73EE5"/>
    <w:rsid w:val="00E77E9D"/>
    <w:rsid w:val="00F2556D"/>
    <w:rsid w:val="00F4023D"/>
    <w:rsid w:val="00F44DCD"/>
    <w:rsid w:val="00F57C12"/>
    <w:rsid w:val="00F62E0C"/>
    <w:rsid w:val="00F762B7"/>
    <w:rsid w:val="00F80A2D"/>
    <w:rsid w:val="00F869B7"/>
    <w:rsid w:val="00F96A7B"/>
    <w:rsid w:val="00FA16A0"/>
    <w:rsid w:val="00FC3568"/>
    <w:rsid w:val="00FD30C8"/>
    <w:rsid w:val="00FF2E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29241"/>
  <w15:docId w15:val="{1A88C1C4-7BC6-40B5-B7FE-C4058D8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48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935B48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5B4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B4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5B4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5B48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935B48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B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5B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DB8"/>
    <w:rPr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35B4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35B48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B4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4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5B48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5B48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35B48"/>
    <w:rPr>
      <w:b/>
    </w:rPr>
  </w:style>
  <w:style w:type="paragraph" w:styleId="Header">
    <w:name w:val="header"/>
    <w:basedOn w:val="Normal"/>
    <w:link w:val="HeaderChar"/>
    <w:uiPriority w:val="99"/>
    <w:unhideWhenUsed/>
    <w:rsid w:val="00935B48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35B48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35B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B4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5B48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B48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35B48"/>
    <w:rPr>
      <w:vertAlign w:val="superscript"/>
    </w:rPr>
  </w:style>
  <w:style w:type="character" w:customStyle="1" w:styleId="aak">
    <w:name w:val="aak"/>
    <w:basedOn w:val="DefaultParagraphFont"/>
    <w:rsid w:val="00D16AA1"/>
  </w:style>
  <w:style w:type="character" w:customStyle="1" w:styleId="apple-converted-space">
    <w:name w:val="apple-converted-space"/>
    <w:basedOn w:val="DefaultParagraphFont"/>
    <w:rsid w:val="00D16AA1"/>
  </w:style>
  <w:style w:type="character" w:customStyle="1" w:styleId="abv">
    <w:name w:val="abv"/>
    <w:basedOn w:val="DefaultParagraphFont"/>
    <w:rsid w:val="00A74426"/>
  </w:style>
  <w:style w:type="character" w:customStyle="1" w:styleId="Heading1Char">
    <w:name w:val="Heading 1 Char"/>
    <w:basedOn w:val="DefaultParagraphFont"/>
    <w:link w:val="Heading1"/>
    <w:uiPriority w:val="9"/>
    <w:rsid w:val="00935B48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35B48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B48"/>
    <w:rPr>
      <w:rFonts w:ascii="Arial" w:hAnsi="Arial" w:cs="Times New Roman"/>
      <w:b/>
      <w:sz w:val="22"/>
      <w:szCs w:val="24"/>
    </w:rPr>
  </w:style>
  <w:style w:type="paragraph" w:styleId="Revision">
    <w:name w:val="Revision"/>
    <w:hidden/>
    <w:uiPriority w:val="99"/>
    <w:semiHidden/>
    <w:rsid w:val="00935B4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35B4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35B4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C5544"/>
    <w:pPr>
      <w:numPr>
        <w:numId w:val="14"/>
      </w:numPr>
      <w:spacing w:before="60"/>
      <w:ind w:left="714" w:hanging="357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35B4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35B4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35B48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35B48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35B4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35B48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35B48"/>
    <w:pPr>
      <w:numPr>
        <w:numId w:val="28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935B48"/>
    <w:pPr>
      <w:numPr>
        <w:ilvl w:val="1"/>
        <w:numId w:val="2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35B48"/>
    <w:pPr>
      <w:numPr>
        <w:numId w:val="2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35B48"/>
    <w:pPr>
      <w:numPr>
        <w:numId w:val="2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35B48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35B4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35B48"/>
    <w:pPr>
      <w:keepNext/>
      <w:keepLines/>
      <w:framePr w:hSpace="141" w:wrap="around" w:vAnchor="text" w:hAnchor="margin" w:y="402"/>
      <w:numPr>
        <w:numId w:val="3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14D5-0D41-4322-9154-AF95E8B6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422</TotalTime>
  <Pages>3</Pages>
  <Words>1472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Ines DALMAU i GUTSENS</cp:lastModifiedBy>
  <cp:revision>11</cp:revision>
  <cp:lastPrinted>2015-09-23T00:43:00Z</cp:lastPrinted>
  <dcterms:created xsi:type="dcterms:W3CDTF">2016-01-11T16:55:00Z</dcterms:created>
  <dcterms:modified xsi:type="dcterms:W3CDTF">2016-02-11T12:07:00Z</dcterms:modified>
</cp:coreProperties>
</file>