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9C" w:rsidRPr="0065714A" w:rsidRDefault="00452CCF" w:rsidP="00B90B1D">
      <w:pPr>
        <w:pStyle w:val="H1"/>
        <w:rPr>
          <w:lang w:val="fr-FR"/>
        </w:rPr>
      </w:pPr>
      <w:r w:rsidRPr="0065714A">
        <w:rPr>
          <w:lang w:val="fr-FR"/>
        </w:rPr>
        <w:t xml:space="preserve">Prestataires de services </w:t>
      </w:r>
      <w:r w:rsidR="00D65ACB" w:rsidRPr="0065714A">
        <w:rPr>
          <w:lang w:val="fr-FR"/>
        </w:rPr>
        <w:t>–</w:t>
      </w:r>
      <w:r w:rsidR="000813D3" w:rsidRPr="0065714A">
        <w:rPr>
          <w:lang w:val="fr-FR"/>
        </w:rPr>
        <w:t xml:space="preserve"> </w:t>
      </w:r>
      <w:r w:rsidRPr="0065714A">
        <w:rPr>
          <w:lang w:val="fr-FR"/>
        </w:rPr>
        <w:t>Modèle de champ d’activité</w:t>
      </w:r>
    </w:p>
    <w:tbl>
      <w:tblPr>
        <w:tblStyle w:val="TableGrid"/>
        <w:tblW w:w="0" w:type="auto"/>
        <w:tblInd w:w="108" w:type="dxa"/>
        <w:shd w:val="clear" w:color="auto" w:fill="F3F3F3"/>
        <w:tblLook w:val="04A0" w:firstRow="1" w:lastRow="0" w:firstColumn="1" w:lastColumn="0" w:noHBand="0" w:noVBand="1"/>
      </w:tblPr>
      <w:tblGrid>
        <w:gridCol w:w="9639"/>
      </w:tblGrid>
      <w:tr w:rsidR="00760B86" w:rsidRPr="000A5F22" w:rsidTr="00563C6A">
        <w:tc>
          <w:tcPr>
            <w:tcW w:w="9639" w:type="dxa"/>
            <w:shd w:val="clear" w:color="auto" w:fill="F3F3F3"/>
          </w:tcPr>
          <w:p w:rsidR="00760B86" w:rsidRPr="0065714A" w:rsidRDefault="00452CCF" w:rsidP="00384D64">
            <w:pPr>
              <w:pStyle w:val="ListParagraph"/>
              <w:numPr>
                <w:ilvl w:val="0"/>
                <w:numId w:val="1"/>
              </w:numPr>
              <w:ind w:left="454"/>
              <w:contextualSpacing w:val="0"/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Contexte</w:t>
            </w:r>
          </w:p>
          <w:p w:rsidR="00452CCF" w:rsidRPr="0065714A" w:rsidRDefault="00452CCF" w:rsidP="004D19B1">
            <w:pPr>
              <w:ind w:left="454" w:right="425"/>
              <w:rPr>
                <w:lang w:val="fr-FR"/>
              </w:rPr>
            </w:pPr>
            <w:r w:rsidRPr="0065714A">
              <w:rPr>
                <w:lang w:val="fr-FR"/>
              </w:rPr>
              <w:t>Décrivez brièvement le pr</w:t>
            </w:r>
            <w:r w:rsidR="00607194" w:rsidRPr="0065714A">
              <w:rPr>
                <w:lang w:val="fr-FR"/>
              </w:rPr>
              <w:t>ojet (objectifs, activités, régions</w:t>
            </w:r>
            <w:r w:rsidRPr="0065714A">
              <w:rPr>
                <w:lang w:val="fr-FR"/>
              </w:rPr>
              <w:t xml:space="preserve">, nombre de bénéficiaires, modalités de </w:t>
            </w:r>
            <w:r w:rsidR="004D19B1" w:rsidRPr="0065714A">
              <w:rPr>
                <w:lang w:val="fr-FR"/>
              </w:rPr>
              <w:t>transferts monétaires</w:t>
            </w:r>
            <w:r w:rsidRPr="0065714A">
              <w:rPr>
                <w:lang w:val="fr-FR"/>
              </w:rPr>
              <w:t xml:space="preserve">, dates, montants, etc.) </w:t>
            </w:r>
            <w:r w:rsidR="00607194" w:rsidRPr="0065714A">
              <w:rPr>
                <w:lang w:val="fr-FR"/>
              </w:rPr>
              <w:t>et</w:t>
            </w:r>
            <w:r w:rsidRPr="0065714A">
              <w:rPr>
                <w:lang w:val="fr-FR"/>
              </w:rPr>
              <w:t xml:space="preserve"> son contexte</w:t>
            </w:r>
            <w:r w:rsidR="004D19B1" w:rsidRPr="0065714A">
              <w:rPr>
                <w:lang w:val="fr-FR"/>
              </w:rPr>
              <w:t xml:space="preserve"> de mise en œuvre</w:t>
            </w:r>
            <w:r w:rsidRPr="0065714A">
              <w:rPr>
                <w:lang w:val="fr-FR"/>
              </w:rPr>
              <w:t xml:space="preserve"> (une page maximum).</w:t>
            </w:r>
          </w:p>
          <w:p w:rsidR="00760B86" w:rsidRPr="0065714A" w:rsidRDefault="00452CCF" w:rsidP="00384D64">
            <w:pPr>
              <w:pStyle w:val="ListParagraph"/>
              <w:numPr>
                <w:ilvl w:val="0"/>
                <w:numId w:val="1"/>
              </w:numPr>
              <w:ind w:left="454"/>
              <w:contextualSpacing w:val="0"/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But des services requis</w:t>
            </w:r>
          </w:p>
          <w:p w:rsidR="00452CCF" w:rsidRPr="0065714A" w:rsidRDefault="00452CCF" w:rsidP="004D19B1">
            <w:pPr>
              <w:ind w:left="454" w:right="425"/>
              <w:rPr>
                <w:lang w:val="fr-FR"/>
              </w:rPr>
            </w:pPr>
            <w:r w:rsidRPr="0065714A">
              <w:rPr>
                <w:lang w:val="fr-FR"/>
              </w:rPr>
              <w:t>Décrivez les services financiers requis : le type de services (modalité</w:t>
            </w:r>
            <w:r w:rsidR="00607194" w:rsidRPr="0065714A">
              <w:rPr>
                <w:lang w:val="fr-FR"/>
              </w:rPr>
              <w:t>s</w:t>
            </w:r>
            <w:r w:rsidRPr="0065714A">
              <w:rPr>
                <w:lang w:val="fr-FR"/>
              </w:rPr>
              <w:t xml:space="preserve"> de </w:t>
            </w:r>
            <w:r w:rsidR="004D19B1" w:rsidRPr="0065714A">
              <w:rPr>
                <w:lang w:val="fr-FR"/>
              </w:rPr>
              <w:t>distribution</w:t>
            </w:r>
            <w:r w:rsidRPr="0065714A">
              <w:rPr>
                <w:lang w:val="fr-FR"/>
              </w:rPr>
              <w:t xml:space="preserve">, etc.), le nombre de transferts, leur montant et leur fréquence, </w:t>
            </w:r>
            <w:r w:rsidR="004D19B1" w:rsidRPr="0065714A">
              <w:rPr>
                <w:lang w:val="fr-FR"/>
              </w:rPr>
              <w:t>la méthode</w:t>
            </w:r>
            <w:r w:rsidRPr="0065714A">
              <w:rPr>
                <w:lang w:val="fr-FR"/>
              </w:rPr>
              <w:t xml:space="preserve"> de distribution, les dates et l’organisation, le nombre de transferts/bénéficiaires prévu</w:t>
            </w:r>
            <w:r w:rsidR="00C747E5" w:rsidRPr="0065714A">
              <w:rPr>
                <w:lang w:val="fr-FR"/>
              </w:rPr>
              <w:t>s</w:t>
            </w:r>
            <w:r w:rsidRPr="0065714A">
              <w:rPr>
                <w:lang w:val="fr-FR"/>
              </w:rPr>
              <w:t xml:space="preserve"> par distribution, le nombre de points de distribution, le calendrier des distributions, les mécanismes de suivi et de compte rendu, l’accès des bénéficiaires aux services, etc.</w:t>
            </w:r>
          </w:p>
          <w:p w:rsidR="00760B86" w:rsidRPr="0065714A" w:rsidRDefault="00FD5445" w:rsidP="00384D64">
            <w:pPr>
              <w:ind w:left="454" w:right="425"/>
              <w:rPr>
                <w:lang w:val="fr-FR"/>
              </w:rPr>
            </w:pPr>
            <w:r w:rsidRPr="0065714A">
              <w:rPr>
                <w:lang w:val="fr-FR"/>
              </w:rPr>
              <w:t>Décrivez les obligations</w:t>
            </w:r>
            <w:r w:rsidR="00452CCF" w:rsidRPr="0065714A">
              <w:rPr>
                <w:lang w:val="fr-FR"/>
              </w:rPr>
              <w:t xml:space="preserve"> financières : les paiements effectués, les</w:t>
            </w:r>
            <w:r w:rsidRPr="0065714A">
              <w:rPr>
                <w:lang w:val="fr-FR"/>
              </w:rPr>
              <w:t xml:space="preserve"> obligations </w:t>
            </w:r>
            <w:r w:rsidR="00452CCF" w:rsidRPr="0065714A">
              <w:rPr>
                <w:lang w:val="fr-FR"/>
              </w:rPr>
              <w:t>en matière de compte rendu, le remboursement des fonds restants, etc.</w:t>
            </w:r>
          </w:p>
          <w:p w:rsidR="00760B86" w:rsidRPr="0065714A" w:rsidRDefault="00452CCF" w:rsidP="00384D64">
            <w:pPr>
              <w:pStyle w:val="ListParagraph"/>
              <w:numPr>
                <w:ilvl w:val="0"/>
                <w:numId w:val="1"/>
              </w:numPr>
              <w:ind w:left="454"/>
              <w:contextualSpacing w:val="0"/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Responsabilités du prestataire de services</w:t>
            </w:r>
          </w:p>
          <w:p w:rsidR="00FD5445" w:rsidRPr="0065714A" w:rsidRDefault="00FD5445" w:rsidP="004036AB">
            <w:pPr>
              <w:ind w:left="454" w:right="425"/>
              <w:rPr>
                <w:lang w:val="fr-FR"/>
              </w:rPr>
            </w:pPr>
            <w:r w:rsidRPr="0065714A">
              <w:rPr>
                <w:lang w:val="fr-FR"/>
              </w:rPr>
              <w:t xml:space="preserve">Décrivez les tâches devant être </w:t>
            </w:r>
            <w:r w:rsidR="00607194" w:rsidRPr="0065714A">
              <w:rPr>
                <w:lang w:val="fr-FR"/>
              </w:rPr>
              <w:t>réalisées</w:t>
            </w:r>
            <w:r w:rsidRPr="0065714A">
              <w:rPr>
                <w:lang w:val="fr-FR"/>
              </w:rPr>
              <w:t xml:space="preserve"> par le prestataire de services. Par exemple</w:t>
            </w:r>
            <w:r w:rsidR="004036AB" w:rsidRPr="0065714A">
              <w:rPr>
                <w:lang w:val="fr-FR"/>
              </w:rPr>
              <w:t>,</w:t>
            </w:r>
            <w:r w:rsidRPr="0065714A">
              <w:rPr>
                <w:lang w:val="fr-FR"/>
              </w:rPr>
              <w:t xml:space="preserve"> l</w:t>
            </w:r>
            <w:r w:rsidR="00607194" w:rsidRPr="0065714A">
              <w:rPr>
                <w:lang w:val="fr-FR"/>
              </w:rPr>
              <w:t>a définition</w:t>
            </w:r>
            <w:r w:rsidRPr="0065714A">
              <w:rPr>
                <w:lang w:val="fr-FR"/>
              </w:rPr>
              <w:t xml:space="preserve"> des points et des horaires de distribution, l’attribution de numéros de référence, la vérification de l’identité des bénéficiaires, la formation et la sensibilisation, le maintien de l’ordre, le service à la clientèle, la coordination technique avec le CICR, les mécanismes de plainte, la distribution des espèces, la mise en place d’un système de suivi, </w:t>
            </w:r>
            <w:r w:rsidR="004036AB" w:rsidRPr="0065714A">
              <w:rPr>
                <w:lang w:val="fr-FR"/>
              </w:rPr>
              <w:t>les</w:t>
            </w:r>
            <w:r w:rsidR="00607194" w:rsidRPr="0065714A">
              <w:rPr>
                <w:lang w:val="fr-FR"/>
              </w:rPr>
              <w:t xml:space="preserve"> comptes rendus</w:t>
            </w:r>
            <w:r w:rsidRPr="0065714A">
              <w:rPr>
                <w:lang w:val="fr-FR"/>
              </w:rPr>
              <w:t>, la collecte de documents, la distribution de cartes, etc.</w:t>
            </w:r>
          </w:p>
          <w:p w:rsidR="00FD5445" w:rsidRPr="0065714A" w:rsidRDefault="00FD5445" w:rsidP="00384D64">
            <w:pPr>
              <w:ind w:left="454" w:right="425"/>
              <w:rPr>
                <w:lang w:val="fr-FR"/>
              </w:rPr>
            </w:pPr>
            <w:r w:rsidRPr="0065714A">
              <w:rPr>
                <w:lang w:val="fr-FR"/>
              </w:rPr>
              <w:t>Définissez le calendrier et la couverture géographique.</w:t>
            </w:r>
          </w:p>
          <w:p w:rsidR="00760B86" w:rsidRPr="0065714A" w:rsidRDefault="004036AB" w:rsidP="00384D64">
            <w:pPr>
              <w:pStyle w:val="ListParagraph"/>
              <w:numPr>
                <w:ilvl w:val="0"/>
                <w:numId w:val="1"/>
              </w:numPr>
              <w:ind w:left="454"/>
              <w:contextualSpacing w:val="0"/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Résultats attendus</w:t>
            </w:r>
          </w:p>
          <w:p w:rsidR="00FD5445" w:rsidRPr="0065714A" w:rsidRDefault="00FD5445" w:rsidP="004036AB">
            <w:pPr>
              <w:ind w:left="454" w:right="425"/>
              <w:rPr>
                <w:lang w:val="fr-FR"/>
              </w:rPr>
            </w:pPr>
            <w:r w:rsidRPr="0065714A">
              <w:rPr>
                <w:lang w:val="fr-FR"/>
              </w:rPr>
              <w:t>D</w:t>
            </w:r>
            <w:r w:rsidR="00607194" w:rsidRPr="0065714A">
              <w:rPr>
                <w:lang w:val="fr-FR"/>
              </w:rPr>
              <w:t>écrivez</w:t>
            </w:r>
            <w:r w:rsidRPr="0065714A">
              <w:rPr>
                <w:lang w:val="fr-FR"/>
              </w:rPr>
              <w:t xml:space="preserve"> les résultats attendus : les montants transférés et le nombre de bénéficiaires, les comptes rendus, la satisfaction des bénéficiaires, la résolution des problèmes et des </w:t>
            </w:r>
            <w:r w:rsidR="004036AB" w:rsidRPr="0065714A">
              <w:rPr>
                <w:lang w:val="fr-FR"/>
              </w:rPr>
              <w:t>différends</w:t>
            </w:r>
            <w:r w:rsidRPr="0065714A">
              <w:rPr>
                <w:lang w:val="fr-FR"/>
              </w:rPr>
              <w:t>, etc.</w:t>
            </w:r>
          </w:p>
          <w:p w:rsidR="00760B86" w:rsidRPr="0065714A" w:rsidRDefault="00452CCF" w:rsidP="00384D64">
            <w:pPr>
              <w:pStyle w:val="ListParagraph"/>
              <w:numPr>
                <w:ilvl w:val="0"/>
                <w:numId w:val="1"/>
              </w:numPr>
              <w:ind w:left="454"/>
              <w:contextualSpacing w:val="0"/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Normes de qualité</w:t>
            </w:r>
          </w:p>
          <w:p w:rsidR="00FD5445" w:rsidRPr="0065714A" w:rsidRDefault="00FD5445" w:rsidP="00384D64">
            <w:pPr>
              <w:ind w:left="454" w:right="425"/>
              <w:rPr>
                <w:lang w:val="fr-FR"/>
              </w:rPr>
            </w:pPr>
            <w:r w:rsidRPr="0065714A">
              <w:rPr>
                <w:lang w:val="fr-FR"/>
              </w:rPr>
              <w:t>Définissez les normes de qualité s’appliquant aux services requis.</w:t>
            </w:r>
          </w:p>
          <w:p w:rsidR="00760B86" w:rsidRPr="0065714A" w:rsidRDefault="00452CCF" w:rsidP="00384D64">
            <w:pPr>
              <w:pStyle w:val="ListParagraph"/>
              <w:numPr>
                <w:ilvl w:val="0"/>
                <w:numId w:val="1"/>
              </w:numPr>
              <w:ind w:left="454"/>
              <w:contextualSpacing w:val="0"/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Soutien fourni par la Croix-Rouge</w:t>
            </w:r>
          </w:p>
          <w:p w:rsidR="00760B86" w:rsidRPr="0065714A" w:rsidRDefault="00FD5445" w:rsidP="004036AB">
            <w:pPr>
              <w:ind w:left="454" w:right="425"/>
              <w:rPr>
                <w:lang w:val="fr-FR"/>
              </w:rPr>
            </w:pPr>
            <w:r w:rsidRPr="0065714A">
              <w:rPr>
                <w:lang w:val="fr-FR"/>
              </w:rPr>
              <w:t>Décrivez le rôle et les responsabilités potentiels de la Croix-Rouge. Ces éléments</w:t>
            </w:r>
            <w:r w:rsidR="004036AB" w:rsidRPr="0065714A">
              <w:rPr>
                <w:lang w:val="fr-FR"/>
              </w:rPr>
              <w:t>, qui</w:t>
            </w:r>
            <w:r w:rsidRPr="0065714A">
              <w:rPr>
                <w:lang w:val="fr-FR"/>
              </w:rPr>
              <w:t xml:space="preserve"> devront être décrits de manière plus détaillée dans la proposition de services</w:t>
            </w:r>
            <w:r w:rsidR="004036AB" w:rsidRPr="0065714A">
              <w:rPr>
                <w:lang w:val="fr-FR"/>
              </w:rPr>
              <w:t xml:space="preserve">, </w:t>
            </w:r>
            <w:r w:rsidRPr="0065714A">
              <w:rPr>
                <w:lang w:val="fr-FR"/>
              </w:rPr>
              <w:t xml:space="preserve">peuvent inclure : </w:t>
            </w:r>
            <w:r w:rsidR="00124C6D" w:rsidRPr="0065714A">
              <w:rPr>
                <w:lang w:val="fr-FR"/>
              </w:rPr>
              <w:t>la fourniture d’informations sur les bénéficiaires, la distribution de cartes, le suivi, le transfert des ressources sur un compte de l’organisation, l’exonération de la TVA, la mise à disposition de personnel, de bureaux et d’équipements (le cas échéant), etc.</w:t>
            </w:r>
          </w:p>
        </w:tc>
      </w:tr>
    </w:tbl>
    <w:p w:rsidR="005B1FD4" w:rsidRPr="0065714A" w:rsidRDefault="00124C6D" w:rsidP="000A5F22">
      <w:pPr>
        <w:spacing w:before="240"/>
        <w:rPr>
          <w:lang w:val="fr-FR"/>
        </w:rPr>
      </w:pPr>
      <w:r w:rsidRPr="0065714A">
        <w:rPr>
          <w:lang w:val="fr-FR"/>
        </w:rPr>
        <w:t xml:space="preserve">Veuillez </w:t>
      </w:r>
      <w:r w:rsidR="000A5F22">
        <w:rPr>
          <w:lang w:val="fr-FR"/>
        </w:rPr>
        <w:t>ajouter</w:t>
      </w:r>
      <w:r w:rsidRPr="0065714A">
        <w:rPr>
          <w:lang w:val="fr-FR"/>
        </w:rPr>
        <w:t xml:space="preserve"> en annexe un </w:t>
      </w:r>
      <w:r w:rsidRPr="0065714A">
        <w:rPr>
          <w:b/>
          <w:lang w:val="fr-FR"/>
        </w:rPr>
        <w:t>calendrier préliminaire des activités</w:t>
      </w:r>
      <w:r w:rsidRPr="0065714A">
        <w:rPr>
          <w:lang w:val="fr-FR"/>
        </w:rPr>
        <w:t xml:space="preserve"> ainsi que les documents relatifs aux programmes et les rapports pertinents (le cas échéant).</w:t>
      </w:r>
    </w:p>
    <w:p w:rsidR="00EC43F4" w:rsidRPr="0065714A" w:rsidRDefault="005B1FD4" w:rsidP="00760B86">
      <w:pPr>
        <w:pStyle w:val="Heading2"/>
        <w:rPr>
          <w:lang w:val="fr-FR"/>
        </w:rPr>
      </w:pPr>
      <w:r w:rsidRPr="0065714A">
        <w:rPr>
          <w:lang w:val="fr-FR"/>
        </w:rPr>
        <w:br w:type="page"/>
      </w:r>
      <w:r w:rsidR="005A711E" w:rsidRPr="0065714A">
        <w:rPr>
          <w:lang w:val="fr-FR"/>
        </w:rPr>
        <w:lastRenderedPageBreak/>
        <w:t>ANNEX</w:t>
      </w:r>
      <w:r w:rsidR="00452CCF" w:rsidRPr="0065714A">
        <w:rPr>
          <w:lang w:val="fr-FR"/>
        </w:rPr>
        <w:t>E</w:t>
      </w:r>
      <w:r w:rsidR="005A711E" w:rsidRPr="0065714A">
        <w:rPr>
          <w:lang w:val="fr-FR"/>
        </w:rPr>
        <w:t xml:space="preserve"> </w:t>
      </w:r>
      <w:r w:rsidR="00D9549C" w:rsidRPr="0065714A">
        <w:rPr>
          <w:lang w:val="fr-FR"/>
        </w:rPr>
        <w:t>I</w:t>
      </w:r>
      <w:r w:rsidR="00573BED" w:rsidRPr="0065714A">
        <w:rPr>
          <w:lang w:val="fr-FR"/>
        </w:rPr>
        <w:t> </w:t>
      </w:r>
      <w:r w:rsidR="00AF00E5" w:rsidRPr="0065714A">
        <w:rPr>
          <w:lang w:val="fr-FR"/>
        </w:rPr>
        <w:t xml:space="preserve">: </w:t>
      </w:r>
      <w:r w:rsidR="00573BED" w:rsidRPr="0065714A">
        <w:rPr>
          <w:lang w:val="fr-FR"/>
        </w:rPr>
        <w:t>Contenu</w:t>
      </w:r>
      <w:r w:rsidR="00124C6D" w:rsidRPr="0065714A">
        <w:rPr>
          <w:lang w:val="fr-FR"/>
        </w:rPr>
        <w:t xml:space="preserve"> de la proposition technique</w:t>
      </w:r>
    </w:p>
    <w:tbl>
      <w:tblPr>
        <w:tblStyle w:val="TableGrid"/>
        <w:tblW w:w="0" w:type="auto"/>
        <w:tblInd w:w="108" w:type="dxa"/>
        <w:shd w:val="clear" w:color="auto" w:fill="F3F3F3"/>
        <w:tblLook w:val="04A0" w:firstRow="1" w:lastRow="0" w:firstColumn="1" w:lastColumn="0" w:noHBand="0" w:noVBand="1"/>
      </w:tblPr>
      <w:tblGrid>
        <w:gridCol w:w="9639"/>
      </w:tblGrid>
      <w:tr w:rsidR="00760B86" w:rsidRPr="000A5F22" w:rsidTr="00563C6A">
        <w:tc>
          <w:tcPr>
            <w:tcW w:w="9639" w:type="dxa"/>
            <w:shd w:val="clear" w:color="auto" w:fill="F3F3F3"/>
          </w:tcPr>
          <w:p w:rsidR="00760B86" w:rsidRPr="0065714A" w:rsidRDefault="00124C6D" w:rsidP="00384D64">
            <w:pPr>
              <w:pStyle w:val="ListParagraph"/>
              <w:numPr>
                <w:ilvl w:val="0"/>
                <w:numId w:val="2"/>
              </w:numPr>
              <w:ind w:left="454" w:hanging="357"/>
              <w:contextualSpacing w:val="0"/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Expé</w:t>
            </w:r>
            <w:r w:rsidR="00760B86" w:rsidRPr="0065714A">
              <w:rPr>
                <w:b/>
                <w:i w:val="0"/>
                <w:lang w:val="fr-FR"/>
              </w:rPr>
              <w:t xml:space="preserve">rience </w:t>
            </w:r>
            <w:r w:rsidRPr="0065714A">
              <w:rPr>
                <w:b/>
                <w:i w:val="0"/>
                <w:lang w:val="fr-FR"/>
              </w:rPr>
              <w:t>et capacités</w:t>
            </w:r>
          </w:p>
          <w:p w:rsidR="00760B86" w:rsidRPr="0065714A" w:rsidRDefault="00760B86" w:rsidP="00384D64">
            <w:pPr>
              <w:pStyle w:val="ListParagraph"/>
              <w:numPr>
                <w:ilvl w:val="0"/>
                <w:numId w:val="4"/>
              </w:numPr>
              <w:spacing w:before="240"/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 xml:space="preserve">Type </w:t>
            </w:r>
            <w:r w:rsidR="00124C6D" w:rsidRPr="0065714A">
              <w:rPr>
                <w:i w:val="0"/>
                <w:lang w:val="fr-FR"/>
              </w:rPr>
              <w:t>de services proposés</w:t>
            </w:r>
          </w:p>
          <w:p w:rsidR="00124C6D" w:rsidRPr="0065714A" w:rsidRDefault="00124C6D" w:rsidP="00384D64">
            <w:pPr>
              <w:pStyle w:val="ListParagraph"/>
              <w:numPr>
                <w:ilvl w:val="0"/>
                <w:numId w:val="4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Années d’expérience et expérience dans les régions</w:t>
            </w:r>
            <w:r w:rsidR="009A0FCB" w:rsidRPr="0065714A">
              <w:rPr>
                <w:i w:val="0"/>
                <w:lang w:val="fr-FR"/>
              </w:rPr>
              <w:t xml:space="preserve"> cibl</w:t>
            </w:r>
            <w:r w:rsidRPr="0065714A">
              <w:rPr>
                <w:i w:val="0"/>
                <w:lang w:val="fr-FR"/>
              </w:rPr>
              <w:t>es</w:t>
            </w:r>
          </w:p>
          <w:p w:rsidR="00760B86" w:rsidRPr="0065714A" w:rsidRDefault="00124C6D" w:rsidP="00384D64">
            <w:pPr>
              <w:pStyle w:val="ListParagraph"/>
              <w:numPr>
                <w:ilvl w:val="0"/>
                <w:numId w:val="4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Recours à des sous-traitants, des intermédiaires ou des points de vente</w:t>
            </w:r>
          </w:p>
          <w:p w:rsidR="00760B86" w:rsidRPr="0065714A" w:rsidRDefault="00124C6D" w:rsidP="00384D64">
            <w:pPr>
              <w:pStyle w:val="ListParagraph"/>
              <w:numPr>
                <w:ilvl w:val="0"/>
                <w:numId w:val="4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Nombre et localisation des points de distribution dans les régions cibles</w:t>
            </w:r>
          </w:p>
          <w:p w:rsidR="00760B86" w:rsidRPr="0065714A" w:rsidRDefault="00124C6D" w:rsidP="00384D64">
            <w:pPr>
              <w:pStyle w:val="ListParagraph"/>
              <w:numPr>
                <w:ilvl w:val="0"/>
                <w:numId w:val="4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Couverture potentielle (région couverte par les services – accès des bénéficiaires)</w:t>
            </w:r>
          </w:p>
          <w:p w:rsidR="00760B86" w:rsidRPr="0065714A" w:rsidRDefault="00124C6D" w:rsidP="00384D64">
            <w:pPr>
              <w:pStyle w:val="ListParagraph"/>
              <w:numPr>
                <w:ilvl w:val="0"/>
                <w:numId w:val="4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Capacité journalière de chaque point de distribution (montants et nombre de clients)</w:t>
            </w:r>
          </w:p>
          <w:p w:rsidR="00760B86" w:rsidRPr="0065714A" w:rsidRDefault="00124C6D" w:rsidP="00384D64">
            <w:pPr>
              <w:pStyle w:val="ListParagraph"/>
              <w:numPr>
                <w:ilvl w:val="0"/>
                <w:numId w:val="4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Ressources humaines disponibles</w:t>
            </w:r>
          </w:p>
          <w:p w:rsidR="00760B86" w:rsidRPr="0065714A" w:rsidRDefault="00573BED" w:rsidP="00384D64">
            <w:pPr>
              <w:pStyle w:val="ListParagraph"/>
              <w:numPr>
                <w:ilvl w:val="0"/>
                <w:numId w:val="4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Niveau de préparation</w:t>
            </w:r>
            <w:r w:rsidR="00AD5587" w:rsidRPr="0065714A">
              <w:rPr>
                <w:i w:val="0"/>
                <w:lang w:val="fr-FR"/>
              </w:rPr>
              <w:t xml:space="preserve"> et temps nécessaire pour fournir les services requis</w:t>
            </w:r>
          </w:p>
          <w:p w:rsidR="00760B86" w:rsidRPr="0065714A" w:rsidRDefault="00124C6D" w:rsidP="00384D64">
            <w:pPr>
              <w:pStyle w:val="ListParagraph"/>
              <w:numPr>
                <w:ilvl w:val="0"/>
                <w:numId w:val="2"/>
              </w:numPr>
              <w:spacing w:before="240"/>
              <w:ind w:left="454" w:hanging="357"/>
              <w:contextualSpacing w:val="0"/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Approche</w:t>
            </w:r>
          </w:p>
          <w:p w:rsidR="00760B86" w:rsidRPr="0065714A" w:rsidRDefault="00AD5587" w:rsidP="00384D64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Procédure par étapes pour la mise en place des mécanismes de transfert</w:t>
            </w:r>
            <w:r w:rsidR="00573BED" w:rsidRPr="0065714A">
              <w:rPr>
                <w:i w:val="0"/>
                <w:lang w:val="fr-FR"/>
              </w:rPr>
              <w:t>s monétaires</w:t>
            </w:r>
          </w:p>
          <w:p w:rsidR="00760B86" w:rsidRPr="0065714A" w:rsidRDefault="00573BED" w:rsidP="00573BED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 xml:space="preserve">Procédure par étapes pour l’exécution </w:t>
            </w:r>
            <w:r w:rsidR="00AD5587" w:rsidRPr="0065714A">
              <w:rPr>
                <w:i w:val="0"/>
                <w:lang w:val="fr-FR"/>
              </w:rPr>
              <w:t>des transferts</w:t>
            </w:r>
            <w:r w:rsidRPr="0065714A">
              <w:rPr>
                <w:i w:val="0"/>
                <w:lang w:val="fr-FR"/>
              </w:rPr>
              <w:t xml:space="preserve"> monétaires</w:t>
            </w:r>
          </w:p>
          <w:p w:rsidR="00760B86" w:rsidRPr="0065714A" w:rsidRDefault="00AD5587" w:rsidP="00AD5587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Procédure par étapes pour la mise en place de nouveaux agents/points de vente le cas échéant</w:t>
            </w:r>
          </w:p>
          <w:p w:rsidR="00AD5587" w:rsidRPr="0065714A" w:rsidRDefault="00573BED" w:rsidP="00AD5587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Responsabilités</w:t>
            </w:r>
            <w:r w:rsidR="00607194" w:rsidRPr="0065714A">
              <w:rPr>
                <w:i w:val="0"/>
                <w:lang w:val="fr-FR"/>
              </w:rPr>
              <w:t xml:space="preserve"> du</w:t>
            </w:r>
            <w:r w:rsidR="00AD5587" w:rsidRPr="0065714A">
              <w:rPr>
                <w:i w:val="0"/>
                <w:lang w:val="fr-FR"/>
              </w:rPr>
              <w:t xml:space="preserve"> CICR : fourniture d’informations, ouverture de comptes, etc.</w:t>
            </w:r>
          </w:p>
          <w:p w:rsidR="00760B86" w:rsidRPr="0065714A" w:rsidRDefault="00AD5587" w:rsidP="00384D64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Dispositifs de sécurité et de contrôle interne</w:t>
            </w:r>
            <w:r w:rsidR="00760B86" w:rsidRPr="0065714A">
              <w:rPr>
                <w:i w:val="0"/>
                <w:lang w:val="fr-FR"/>
              </w:rPr>
              <w:t xml:space="preserve"> (</w:t>
            </w:r>
            <w:r w:rsidRPr="0065714A">
              <w:rPr>
                <w:i w:val="0"/>
                <w:lang w:val="fr-FR"/>
              </w:rPr>
              <w:t>pour les transferts ou les retraits</w:t>
            </w:r>
            <w:r w:rsidR="00760B86" w:rsidRPr="0065714A">
              <w:rPr>
                <w:i w:val="0"/>
                <w:lang w:val="fr-FR"/>
              </w:rPr>
              <w:t>)</w:t>
            </w:r>
          </w:p>
          <w:p w:rsidR="00760B86" w:rsidRPr="0065714A" w:rsidRDefault="00607194" w:rsidP="00384D64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 xml:space="preserve">Processus d’acquittement </w:t>
            </w:r>
            <w:r w:rsidR="00AD5587" w:rsidRPr="0065714A">
              <w:rPr>
                <w:i w:val="0"/>
                <w:lang w:val="fr-FR"/>
              </w:rPr>
              <w:t>des frais</w:t>
            </w:r>
          </w:p>
          <w:p w:rsidR="00760B86" w:rsidRPr="0065714A" w:rsidRDefault="00AD5587" w:rsidP="00384D64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Mécanismes de plainte</w:t>
            </w:r>
          </w:p>
          <w:p w:rsidR="00760B86" w:rsidRPr="0065714A" w:rsidRDefault="00AD5587" w:rsidP="00384D64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Soutien technique</w:t>
            </w:r>
          </w:p>
          <w:p w:rsidR="00760B86" w:rsidRPr="0065714A" w:rsidRDefault="00607194" w:rsidP="00384D64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Système d’information et de communication le cas échéant</w:t>
            </w:r>
          </w:p>
          <w:p w:rsidR="00760B86" w:rsidRPr="0065714A" w:rsidRDefault="00AD5587" w:rsidP="00384D64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Système de suivi et de compte rendu</w:t>
            </w:r>
          </w:p>
          <w:p w:rsidR="00760B86" w:rsidRPr="0065714A" w:rsidRDefault="00AD5587" w:rsidP="00384D64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Sensibilisation et formation le cas échéant</w:t>
            </w:r>
          </w:p>
          <w:p w:rsidR="00760B86" w:rsidRPr="0065714A" w:rsidRDefault="00AD5587" w:rsidP="00384D64">
            <w:pPr>
              <w:pStyle w:val="ListParagraph"/>
              <w:numPr>
                <w:ilvl w:val="0"/>
                <w:numId w:val="5"/>
              </w:numPr>
              <w:ind w:left="454"/>
              <w:contextualSpacing w:val="0"/>
              <w:rPr>
                <w:i w:val="0"/>
                <w:lang w:val="fr-FR"/>
              </w:rPr>
            </w:pPr>
            <w:r w:rsidRPr="0065714A">
              <w:rPr>
                <w:i w:val="0"/>
                <w:lang w:val="fr-FR"/>
              </w:rPr>
              <w:t>Respect des obligations financières</w:t>
            </w:r>
          </w:p>
          <w:p w:rsidR="00760B86" w:rsidRPr="0065714A" w:rsidRDefault="00AD5587" w:rsidP="00384D64">
            <w:pPr>
              <w:pStyle w:val="ListParagraph"/>
              <w:numPr>
                <w:ilvl w:val="0"/>
                <w:numId w:val="2"/>
              </w:numPr>
              <w:spacing w:before="240" w:after="240"/>
              <w:ind w:left="453" w:hanging="357"/>
              <w:contextualSpacing w:val="0"/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Fixation des prix</w:t>
            </w:r>
          </w:p>
          <w:p w:rsidR="00760B86" w:rsidRPr="0065714A" w:rsidRDefault="00AD5587" w:rsidP="00384D64">
            <w:pPr>
              <w:pStyle w:val="ListParagraph"/>
              <w:numPr>
                <w:ilvl w:val="0"/>
                <w:numId w:val="2"/>
              </w:numPr>
              <w:ind w:left="454"/>
              <w:contextualSpacing w:val="0"/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Responsabilités respectives</w:t>
            </w:r>
            <w:r w:rsidR="00760B86" w:rsidRPr="0065714A">
              <w:rPr>
                <w:i w:val="0"/>
                <w:lang w:val="fr-FR"/>
              </w:rPr>
              <w:t xml:space="preserve"> (</w:t>
            </w:r>
            <w:r w:rsidRPr="0065714A">
              <w:rPr>
                <w:i w:val="0"/>
                <w:lang w:val="fr-FR"/>
              </w:rPr>
              <w:t>prestataire de services / sous-traitant / CICR</w:t>
            </w:r>
            <w:r w:rsidR="00760B86" w:rsidRPr="0065714A">
              <w:rPr>
                <w:i w:val="0"/>
                <w:lang w:val="fr-FR"/>
              </w:rPr>
              <w:t>)</w:t>
            </w:r>
          </w:p>
          <w:p w:rsidR="0004165A" w:rsidRPr="0065714A" w:rsidRDefault="0004165A" w:rsidP="0004165A">
            <w:pPr>
              <w:pStyle w:val="ListParagraph"/>
              <w:numPr>
                <w:ilvl w:val="0"/>
                <w:numId w:val="0"/>
              </w:numPr>
              <w:ind w:left="720"/>
              <w:contextualSpacing w:val="0"/>
              <w:rPr>
                <w:i w:val="0"/>
                <w:lang w:val="fr-FR"/>
              </w:rPr>
            </w:pPr>
          </w:p>
        </w:tc>
      </w:tr>
    </w:tbl>
    <w:p w:rsidR="0004165A" w:rsidRPr="0065714A" w:rsidRDefault="0004165A">
      <w:pPr>
        <w:spacing w:after="200" w:line="276" w:lineRule="auto"/>
        <w:jc w:val="left"/>
        <w:rPr>
          <w:b/>
          <w:caps/>
          <w:sz w:val="24"/>
          <w:szCs w:val="26"/>
          <w:lang w:val="fr-FR"/>
        </w:rPr>
      </w:pPr>
      <w:r w:rsidRPr="0065714A">
        <w:rPr>
          <w:lang w:val="fr-FR"/>
        </w:rPr>
        <w:br w:type="page"/>
      </w:r>
    </w:p>
    <w:p w:rsidR="00760B86" w:rsidRPr="0065714A" w:rsidRDefault="0004165A" w:rsidP="0004165A">
      <w:pPr>
        <w:pStyle w:val="Heading2"/>
        <w:rPr>
          <w:lang w:val="fr-FR"/>
        </w:rPr>
      </w:pPr>
      <w:r w:rsidRPr="0065714A">
        <w:rPr>
          <w:lang w:val="fr-FR"/>
        </w:rPr>
        <w:lastRenderedPageBreak/>
        <w:t>ANNEX</w:t>
      </w:r>
      <w:r w:rsidR="00452CCF" w:rsidRPr="0065714A">
        <w:rPr>
          <w:lang w:val="fr-FR"/>
        </w:rPr>
        <w:t>E</w:t>
      </w:r>
      <w:r w:rsidRPr="0065714A">
        <w:rPr>
          <w:lang w:val="fr-FR"/>
        </w:rPr>
        <w:t xml:space="preserve"> II</w:t>
      </w:r>
      <w:r w:rsidR="00573BED" w:rsidRPr="0065714A">
        <w:rPr>
          <w:lang w:val="fr-FR"/>
        </w:rPr>
        <w:t> </w:t>
      </w:r>
      <w:r w:rsidRPr="0065714A">
        <w:rPr>
          <w:lang w:val="fr-FR"/>
        </w:rPr>
        <w:t xml:space="preserve">: </w:t>
      </w:r>
      <w:r w:rsidR="00452CCF" w:rsidRPr="0065714A">
        <w:rPr>
          <w:lang w:val="fr-FR"/>
        </w:rPr>
        <w:t>CRITÈRES D’ÉVALUATION</w:t>
      </w:r>
    </w:p>
    <w:tbl>
      <w:tblPr>
        <w:tblStyle w:val="TableGrid"/>
        <w:tblW w:w="0" w:type="auto"/>
        <w:tblInd w:w="108" w:type="dxa"/>
        <w:shd w:val="clear" w:color="auto" w:fill="F3F3F3"/>
        <w:tblLook w:val="04A0" w:firstRow="1" w:lastRow="0" w:firstColumn="1" w:lastColumn="0" w:noHBand="0" w:noVBand="1"/>
      </w:tblPr>
      <w:tblGrid>
        <w:gridCol w:w="9639"/>
      </w:tblGrid>
      <w:tr w:rsidR="0004165A" w:rsidRPr="000A5F22" w:rsidTr="00563C6A">
        <w:tc>
          <w:tcPr>
            <w:tcW w:w="9639" w:type="dxa"/>
            <w:shd w:val="clear" w:color="auto" w:fill="F3F3F3"/>
          </w:tcPr>
          <w:p w:rsidR="0004165A" w:rsidRPr="0065714A" w:rsidRDefault="00452CCF" w:rsidP="0004165A">
            <w:pPr>
              <w:pStyle w:val="ListParagraph"/>
              <w:numPr>
                <w:ilvl w:val="0"/>
                <w:numId w:val="3"/>
              </w:numPr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Expé</w:t>
            </w:r>
            <w:r w:rsidR="0004165A" w:rsidRPr="0065714A">
              <w:rPr>
                <w:b/>
                <w:i w:val="0"/>
                <w:lang w:val="fr-FR"/>
              </w:rPr>
              <w:t xml:space="preserve">rience </w:t>
            </w:r>
            <w:r w:rsidRPr="0065714A">
              <w:rPr>
                <w:b/>
                <w:i w:val="0"/>
                <w:lang w:val="fr-FR"/>
              </w:rPr>
              <w:t>et capacités</w:t>
            </w:r>
          </w:p>
          <w:p w:rsidR="009A0FCB" w:rsidRPr="0065714A" w:rsidRDefault="009A0FCB" w:rsidP="0004165A">
            <w:pPr>
              <w:ind w:left="360"/>
              <w:rPr>
                <w:lang w:val="fr-FR"/>
              </w:rPr>
            </w:pPr>
            <w:r w:rsidRPr="0065714A">
              <w:rPr>
                <w:lang w:val="fr-FR"/>
              </w:rPr>
              <w:t>Années d’expérience, expérience dans les régions cibles, recours à des sous-traitants/intermédiaires, nombre de points de distribution dans les régions cibles, couverture potentielle et accès des bénéficiaires, capacité journalière de chaque point de distribution, temps nécessaire pour fournir les services requis, etc.</w:t>
            </w:r>
          </w:p>
          <w:p w:rsidR="0004165A" w:rsidRPr="0065714A" w:rsidRDefault="00452CCF" w:rsidP="0004165A">
            <w:pPr>
              <w:pStyle w:val="ListParagraph"/>
              <w:numPr>
                <w:ilvl w:val="0"/>
                <w:numId w:val="3"/>
              </w:numPr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Critères techniques</w:t>
            </w:r>
          </w:p>
          <w:p w:rsidR="009A0FCB" w:rsidRPr="0065714A" w:rsidRDefault="00573BED" w:rsidP="00573BED">
            <w:pPr>
              <w:ind w:left="360"/>
              <w:rPr>
                <w:lang w:val="fr-FR"/>
              </w:rPr>
            </w:pPr>
            <w:r w:rsidRPr="0065714A">
              <w:rPr>
                <w:iCs/>
                <w:lang w:val="fr-FR"/>
              </w:rPr>
              <w:t>Niveau de préparation</w:t>
            </w:r>
            <w:r w:rsidRPr="0065714A">
              <w:rPr>
                <w:lang w:val="fr-FR"/>
              </w:rPr>
              <w:t xml:space="preserve"> </w:t>
            </w:r>
            <w:r w:rsidR="009A0FCB" w:rsidRPr="0065714A">
              <w:rPr>
                <w:lang w:val="fr-FR"/>
              </w:rPr>
              <w:t xml:space="preserve">ou temps nécessaire pour mettre en place le système, temps nécessaire pour fournir les services requis, personnel et ressources humaines, </w:t>
            </w:r>
            <w:r w:rsidRPr="0065714A">
              <w:rPr>
                <w:lang w:val="fr-FR"/>
              </w:rPr>
              <w:t>commodité</w:t>
            </w:r>
            <w:r w:rsidR="009A0FCB" w:rsidRPr="0065714A">
              <w:rPr>
                <w:lang w:val="fr-FR"/>
              </w:rPr>
              <w:t xml:space="preserve"> pour les bénéficiaires (processus), </w:t>
            </w:r>
            <w:r w:rsidRPr="0065714A">
              <w:rPr>
                <w:lang w:val="fr-FR"/>
              </w:rPr>
              <w:t>commodité</w:t>
            </w:r>
            <w:r w:rsidR="009A0FCB" w:rsidRPr="0065714A">
              <w:rPr>
                <w:lang w:val="fr-FR"/>
              </w:rPr>
              <w:t xml:space="preserve"> pour le CICR (</w:t>
            </w:r>
            <w:r w:rsidRPr="0065714A">
              <w:rPr>
                <w:lang w:val="fr-FR"/>
              </w:rPr>
              <w:t>par ex. transfert en bloc</w:t>
            </w:r>
            <w:r w:rsidR="00266C02" w:rsidRPr="0065714A">
              <w:rPr>
                <w:lang w:val="fr-FR"/>
              </w:rPr>
              <w:t xml:space="preserve">, processus), </w:t>
            </w:r>
            <w:r w:rsidR="005139F3" w:rsidRPr="0065714A">
              <w:rPr>
                <w:lang w:val="fr-FR"/>
              </w:rPr>
              <w:t xml:space="preserve">processus de vérification de l’identité des bénéficiaires, informations </w:t>
            </w:r>
            <w:r w:rsidRPr="0065714A">
              <w:rPr>
                <w:lang w:val="fr-FR"/>
              </w:rPr>
              <w:t>devant être communiquées par les</w:t>
            </w:r>
            <w:r w:rsidR="005139F3" w:rsidRPr="0065714A">
              <w:rPr>
                <w:lang w:val="fr-FR"/>
              </w:rPr>
              <w:t xml:space="preserve"> bénéficiaires et </w:t>
            </w:r>
            <w:r w:rsidRPr="0065714A">
              <w:rPr>
                <w:lang w:val="fr-FR"/>
              </w:rPr>
              <w:t>le</w:t>
            </w:r>
            <w:r w:rsidR="005139F3" w:rsidRPr="0065714A">
              <w:rPr>
                <w:lang w:val="fr-FR"/>
              </w:rPr>
              <w:t xml:space="preserve"> CICR, systèmes de sécurité</w:t>
            </w:r>
            <w:r w:rsidR="00607194" w:rsidRPr="0065714A">
              <w:rPr>
                <w:lang w:val="fr-FR"/>
              </w:rPr>
              <w:t xml:space="preserve">, de </w:t>
            </w:r>
            <w:r w:rsidR="005139F3" w:rsidRPr="0065714A">
              <w:rPr>
                <w:lang w:val="fr-FR"/>
              </w:rPr>
              <w:t>compte rendu et de suivi, mécanisme</w:t>
            </w:r>
            <w:r w:rsidR="00607194" w:rsidRPr="0065714A">
              <w:rPr>
                <w:lang w:val="fr-FR"/>
              </w:rPr>
              <w:t>s</w:t>
            </w:r>
            <w:r w:rsidR="005139F3" w:rsidRPr="0065714A">
              <w:rPr>
                <w:lang w:val="fr-FR"/>
              </w:rPr>
              <w:t xml:space="preserve"> de plainte</w:t>
            </w:r>
            <w:r w:rsidR="00607194" w:rsidRPr="0065714A">
              <w:rPr>
                <w:lang w:val="fr-FR"/>
              </w:rPr>
              <w:t xml:space="preserve">, </w:t>
            </w:r>
            <w:r w:rsidR="005139F3" w:rsidRPr="0065714A">
              <w:rPr>
                <w:lang w:val="fr-FR"/>
              </w:rPr>
              <w:t>système de soutien technique, respect des obligations financières, transparence et redevabilité, fiabilité, etc.</w:t>
            </w:r>
          </w:p>
          <w:p w:rsidR="0004165A" w:rsidRPr="0065714A" w:rsidRDefault="00452CCF" w:rsidP="0004165A">
            <w:pPr>
              <w:pStyle w:val="ListParagraph"/>
              <w:numPr>
                <w:ilvl w:val="0"/>
                <w:numId w:val="3"/>
              </w:numPr>
              <w:rPr>
                <w:b/>
                <w:i w:val="0"/>
                <w:lang w:val="fr-FR"/>
              </w:rPr>
            </w:pPr>
            <w:r w:rsidRPr="0065714A">
              <w:rPr>
                <w:b/>
                <w:i w:val="0"/>
                <w:lang w:val="fr-FR"/>
              </w:rPr>
              <w:t>Coûts</w:t>
            </w:r>
          </w:p>
          <w:p w:rsidR="0004165A" w:rsidRPr="0065714A" w:rsidRDefault="00B15926" w:rsidP="00D229D2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C</w:t>
            </w:r>
            <w:bookmarkStart w:id="0" w:name="_GoBack"/>
            <w:bookmarkEnd w:id="0"/>
            <w:r w:rsidR="005139F3" w:rsidRPr="0065714A">
              <w:rPr>
                <w:lang w:val="fr-FR"/>
              </w:rPr>
              <w:t>oûts liés aux</w:t>
            </w:r>
            <w:r w:rsidR="00D229D2" w:rsidRPr="0065714A">
              <w:rPr>
                <w:lang w:val="fr-FR"/>
              </w:rPr>
              <w:t xml:space="preserve"> aspects suivants : transferts ;</w:t>
            </w:r>
            <w:r w:rsidR="005139F3" w:rsidRPr="0065714A">
              <w:rPr>
                <w:lang w:val="fr-FR"/>
              </w:rPr>
              <w:t xml:space="preserve"> </w:t>
            </w:r>
            <w:r w:rsidR="009944C6" w:rsidRPr="0065714A">
              <w:rPr>
                <w:lang w:val="fr-FR"/>
              </w:rPr>
              <w:t xml:space="preserve">ouverture, </w:t>
            </w:r>
            <w:r w:rsidR="005139F3" w:rsidRPr="0065714A">
              <w:rPr>
                <w:lang w:val="fr-FR"/>
              </w:rPr>
              <w:t xml:space="preserve">gestion </w:t>
            </w:r>
            <w:r w:rsidR="009944C6" w:rsidRPr="0065714A">
              <w:rPr>
                <w:lang w:val="fr-FR"/>
              </w:rPr>
              <w:t xml:space="preserve">et </w:t>
            </w:r>
            <w:r w:rsidR="00D229D2" w:rsidRPr="0065714A">
              <w:rPr>
                <w:lang w:val="fr-FR"/>
              </w:rPr>
              <w:t>fermeture des comptes ;</w:t>
            </w:r>
            <w:r w:rsidR="009944C6" w:rsidRPr="0065714A">
              <w:rPr>
                <w:lang w:val="fr-FR"/>
              </w:rPr>
              <w:t xml:space="preserve"> </w:t>
            </w:r>
            <w:r w:rsidR="005139F3" w:rsidRPr="0065714A">
              <w:rPr>
                <w:lang w:val="fr-FR"/>
              </w:rPr>
              <w:t>remboursement</w:t>
            </w:r>
            <w:r w:rsidR="00573BED" w:rsidRPr="0065714A">
              <w:rPr>
                <w:lang w:val="fr-FR"/>
              </w:rPr>
              <w:t>s</w:t>
            </w:r>
            <w:r w:rsidR="00D229D2" w:rsidRPr="0065714A">
              <w:rPr>
                <w:lang w:val="fr-FR"/>
              </w:rPr>
              <w:t> ;</w:t>
            </w:r>
            <w:r w:rsidR="005139F3" w:rsidRPr="0065714A">
              <w:rPr>
                <w:lang w:val="fr-FR"/>
              </w:rPr>
              <w:t xml:space="preserve"> </w:t>
            </w:r>
            <w:r w:rsidR="009944C6" w:rsidRPr="0065714A">
              <w:rPr>
                <w:lang w:val="fr-FR"/>
              </w:rPr>
              <w:t>fabrication</w:t>
            </w:r>
            <w:r w:rsidR="005139F3" w:rsidRPr="0065714A">
              <w:rPr>
                <w:lang w:val="fr-FR"/>
              </w:rPr>
              <w:t xml:space="preserve"> de</w:t>
            </w:r>
            <w:r w:rsidR="009944C6" w:rsidRPr="0065714A">
              <w:rPr>
                <w:lang w:val="fr-FR"/>
              </w:rPr>
              <w:t>s</w:t>
            </w:r>
            <w:r w:rsidR="00D229D2" w:rsidRPr="0065714A">
              <w:rPr>
                <w:lang w:val="fr-FR"/>
              </w:rPr>
              <w:t xml:space="preserve"> cartes ; </w:t>
            </w:r>
            <w:r w:rsidR="00AA6CE9" w:rsidRPr="0065714A">
              <w:rPr>
                <w:lang w:val="fr-FR"/>
              </w:rPr>
              <w:t>suivi</w:t>
            </w:r>
            <w:r w:rsidR="00D229D2" w:rsidRPr="0065714A">
              <w:rPr>
                <w:lang w:val="fr-FR"/>
              </w:rPr>
              <w:t xml:space="preserve"> et </w:t>
            </w:r>
            <w:r w:rsidR="005139F3" w:rsidRPr="0065714A">
              <w:rPr>
                <w:lang w:val="fr-FR"/>
              </w:rPr>
              <w:t>comp</w:t>
            </w:r>
            <w:r w:rsidR="009944C6" w:rsidRPr="0065714A">
              <w:rPr>
                <w:lang w:val="fr-FR"/>
              </w:rPr>
              <w:t>te rendu</w:t>
            </w:r>
            <w:r w:rsidR="00D229D2" w:rsidRPr="0065714A">
              <w:rPr>
                <w:lang w:val="fr-FR"/>
              </w:rPr>
              <w:t xml:space="preserve"> ; chargement ; </w:t>
            </w:r>
            <w:r w:rsidR="005139F3" w:rsidRPr="0065714A">
              <w:rPr>
                <w:lang w:val="fr-FR"/>
              </w:rPr>
              <w:t>logiciels,</w:t>
            </w:r>
            <w:r w:rsidR="009944C6" w:rsidRPr="0065714A">
              <w:rPr>
                <w:lang w:val="fr-FR"/>
              </w:rPr>
              <w:t xml:space="preserve"> </w:t>
            </w:r>
            <w:r w:rsidR="005139F3" w:rsidRPr="0065714A">
              <w:rPr>
                <w:lang w:val="fr-FR"/>
              </w:rPr>
              <w:t>retrait</w:t>
            </w:r>
            <w:r w:rsidR="00D229D2" w:rsidRPr="0065714A">
              <w:rPr>
                <w:lang w:val="fr-FR"/>
              </w:rPr>
              <w:t>s (bénéficiaires)</w:t>
            </w:r>
            <w:r w:rsidR="005139F3" w:rsidRPr="0065714A">
              <w:rPr>
                <w:lang w:val="fr-FR"/>
              </w:rPr>
              <w:t>, etc.</w:t>
            </w:r>
          </w:p>
        </w:tc>
      </w:tr>
    </w:tbl>
    <w:p w:rsidR="00D9549C" w:rsidRPr="0065714A" w:rsidRDefault="00D9549C" w:rsidP="0004165A">
      <w:pPr>
        <w:pStyle w:val="ListParagraph"/>
        <w:numPr>
          <w:ilvl w:val="0"/>
          <w:numId w:val="0"/>
        </w:numPr>
        <w:ind w:left="720"/>
        <w:rPr>
          <w:i w:val="0"/>
          <w:lang w:val="fr-FR"/>
        </w:rPr>
      </w:pPr>
    </w:p>
    <w:sectPr w:rsidR="00D9549C" w:rsidRPr="0065714A" w:rsidSect="00B90B1D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E4" w:rsidRDefault="005D18E4" w:rsidP="004D110C">
      <w:pPr>
        <w:spacing w:after="0"/>
      </w:pPr>
      <w:r>
        <w:separator/>
      </w:r>
    </w:p>
  </w:endnote>
  <w:endnote w:type="continuationSeparator" w:id="0">
    <w:p w:rsidR="005D18E4" w:rsidRDefault="005D18E4" w:rsidP="004D11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AF" w:rsidRDefault="009E50EB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15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5AF" w:rsidRDefault="007D15AF" w:rsidP="007D15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D" w:rsidRPr="00B45C74" w:rsidRDefault="009E50E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B90B1D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15926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B90B1D" w:rsidRPr="009B0C8D" w:rsidRDefault="00B90B1D" w:rsidP="00ED1B2B">
    <w:pPr>
      <w:pStyle w:val="Footer"/>
      <w:rPr>
        <w:lang w:val="fr-FR"/>
      </w:rPr>
    </w:pPr>
    <w:r w:rsidRPr="009B0C8D">
      <w:rPr>
        <w:b/>
        <w:lang w:val="fr-FR"/>
      </w:rPr>
      <w:t>Module 1.</w:t>
    </w:r>
    <w:r w:rsidR="009B0C8D">
      <w:rPr>
        <w:lang w:val="fr-FR"/>
      </w:rPr>
      <w:t xml:space="preserve"> Étape</w:t>
    </w:r>
    <w:r w:rsidRPr="009B0C8D">
      <w:rPr>
        <w:lang w:val="fr-FR"/>
      </w:rPr>
      <w:t xml:space="preserve"> 2. </w:t>
    </w:r>
    <w:r w:rsidR="009B0C8D">
      <w:rPr>
        <w:lang w:val="fr-FR"/>
      </w:rPr>
      <w:t>Étape subsidiaire</w:t>
    </w:r>
    <w:r w:rsidR="00452CCF">
      <w:rPr>
        <w:lang w:val="fr-FR"/>
      </w:rPr>
      <w:t xml:space="preserve"> 7. Prestataires de services – Modèle de champ d’activité</w:t>
    </w:r>
    <w:r w:rsidR="00452CCF" w:rsidRPr="009B0C8D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E4" w:rsidRDefault="005D18E4" w:rsidP="004D110C">
      <w:pPr>
        <w:spacing w:after="0"/>
      </w:pPr>
      <w:r>
        <w:separator/>
      </w:r>
    </w:p>
  </w:footnote>
  <w:footnote w:type="continuationSeparator" w:id="0">
    <w:p w:rsidR="005D18E4" w:rsidRDefault="005D18E4" w:rsidP="004D11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1D" w:rsidRPr="009B0C8D" w:rsidRDefault="009B0C8D" w:rsidP="00902222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B90B1D" w:rsidRPr="009B0C8D">
      <w:rPr>
        <w:rFonts w:cs="Caecilia-Light"/>
        <w:color w:val="FF0000"/>
        <w:sz w:val="14"/>
        <w:szCs w:val="14"/>
        <w:lang w:val="fr-FR"/>
      </w:rPr>
      <w:t xml:space="preserve"> </w:t>
    </w:r>
    <w:r w:rsidR="00B90B1D" w:rsidRPr="009B0C8D">
      <w:rPr>
        <w:rStyle w:val="PageNumber"/>
        <w:bCs/>
        <w:sz w:val="14"/>
        <w:szCs w:val="14"/>
        <w:lang w:val="fr-FR"/>
      </w:rPr>
      <w:t>I</w:t>
    </w:r>
    <w:r w:rsidR="00B90B1D" w:rsidRPr="009B0C8D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902222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1993"/>
    <w:multiLevelType w:val="hybridMultilevel"/>
    <w:tmpl w:val="CAFA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72E4"/>
    <w:multiLevelType w:val="hybridMultilevel"/>
    <w:tmpl w:val="325C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A7304"/>
    <w:multiLevelType w:val="hybridMultilevel"/>
    <w:tmpl w:val="EF82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ListParagraph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8291F"/>
    <w:multiLevelType w:val="hybridMultilevel"/>
    <w:tmpl w:val="FD8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0D3C0C"/>
    <w:multiLevelType w:val="hybridMultilevel"/>
    <w:tmpl w:val="A9DE5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linkStyles/>
  <w:stylePaneSortMethod w:val="0000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958"/>
    <w:rsid w:val="0004165A"/>
    <w:rsid w:val="000813D3"/>
    <w:rsid w:val="000A5F22"/>
    <w:rsid w:val="000F3DC6"/>
    <w:rsid w:val="00124C6D"/>
    <w:rsid w:val="0022101E"/>
    <w:rsid w:val="00237F60"/>
    <w:rsid w:val="00266C02"/>
    <w:rsid w:val="002B1440"/>
    <w:rsid w:val="00306678"/>
    <w:rsid w:val="00384D64"/>
    <w:rsid w:val="004036AB"/>
    <w:rsid w:val="0040518B"/>
    <w:rsid w:val="00440958"/>
    <w:rsid w:val="00447E67"/>
    <w:rsid w:val="00452CCF"/>
    <w:rsid w:val="004C27AB"/>
    <w:rsid w:val="004D110C"/>
    <w:rsid w:val="004D19B1"/>
    <w:rsid w:val="005139F3"/>
    <w:rsid w:val="00563C6A"/>
    <w:rsid w:val="00573BED"/>
    <w:rsid w:val="0059520D"/>
    <w:rsid w:val="005A711E"/>
    <w:rsid w:val="005B1FD4"/>
    <w:rsid w:val="005B7C95"/>
    <w:rsid w:val="005D18E4"/>
    <w:rsid w:val="005D66DB"/>
    <w:rsid w:val="00604B93"/>
    <w:rsid w:val="00607194"/>
    <w:rsid w:val="00616F3D"/>
    <w:rsid w:val="0065714A"/>
    <w:rsid w:val="00674A11"/>
    <w:rsid w:val="00686A38"/>
    <w:rsid w:val="006D459C"/>
    <w:rsid w:val="00706251"/>
    <w:rsid w:val="007137B9"/>
    <w:rsid w:val="00737D5F"/>
    <w:rsid w:val="00760B86"/>
    <w:rsid w:val="00760F1D"/>
    <w:rsid w:val="007D15AF"/>
    <w:rsid w:val="007D3BF5"/>
    <w:rsid w:val="00820A0D"/>
    <w:rsid w:val="008A32D5"/>
    <w:rsid w:val="00902222"/>
    <w:rsid w:val="00943B19"/>
    <w:rsid w:val="00961FA2"/>
    <w:rsid w:val="009730F8"/>
    <w:rsid w:val="009944C6"/>
    <w:rsid w:val="009A0FCB"/>
    <w:rsid w:val="009B0C8D"/>
    <w:rsid w:val="009E50EB"/>
    <w:rsid w:val="00A25445"/>
    <w:rsid w:val="00A74664"/>
    <w:rsid w:val="00A92E19"/>
    <w:rsid w:val="00AA6CE9"/>
    <w:rsid w:val="00AD5587"/>
    <w:rsid w:val="00AF00E5"/>
    <w:rsid w:val="00B15926"/>
    <w:rsid w:val="00B640AB"/>
    <w:rsid w:val="00B90B1D"/>
    <w:rsid w:val="00C5619B"/>
    <w:rsid w:val="00C747E5"/>
    <w:rsid w:val="00D229D2"/>
    <w:rsid w:val="00D41872"/>
    <w:rsid w:val="00D4571A"/>
    <w:rsid w:val="00D65ACB"/>
    <w:rsid w:val="00D92F94"/>
    <w:rsid w:val="00D9549C"/>
    <w:rsid w:val="00E67240"/>
    <w:rsid w:val="00E675E7"/>
    <w:rsid w:val="00EC43F4"/>
    <w:rsid w:val="00EF1DA2"/>
    <w:rsid w:val="00F03BA0"/>
    <w:rsid w:val="00F1398B"/>
    <w:rsid w:val="00FD5445"/>
    <w:rsid w:val="00FE19FC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6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563C6A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C6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C6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3"/>
    <w:basedOn w:val="Normal"/>
    <w:link w:val="ListParagraphChar"/>
    <w:qFormat/>
    <w:rsid w:val="00563C6A"/>
    <w:pPr>
      <w:numPr>
        <w:numId w:val="10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paragraph" w:customStyle="1" w:styleId="cc">
    <w:name w:val="cc"/>
    <w:basedOn w:val="Normal"/>
    <w:rsid w:val="00D9549C"/>
    <w:pPr>
      <w:spacing w:after="0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63C6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3C6A"/>
    <w:rPr>
      <w:rFonts w:ascii="Arial" w:eastAsiaTheme="minorEastAsia" w:hAnsi="Arial" w:cs="Times New Roman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563C6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C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6A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C6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3C6A"/>
    <w:rPr>
      <w:rFonts w:ascii="Arial" w:eastAsiaTheme="minorEastAsia" w:hAnsi="Arial" w:cs="Times New Roman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563C6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63C6A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3C6A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3C6A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aliases w:val="Bullet 3 Char"/>
    <w:basedOn w:val="DefaultParagraphFont"/>
    <w:link w:val="ListParagraph"/>
    <w:rsid w:val="00563C6A"/>
    <w:rPr>
      <w:rFonts w:ascii="Arial" w:hAnsi="Arial" w:cs="Arial"/>
      <w:i/>
      <w:iCs/>
      <w:sz w:val="20"/>
      <w:lang w:val="en-US"/>
    </w:rPr>
  </w:style>
  <w:style w:type="paragraph" w:customStyle="1" w:styleId="Default">
    <w:name w:val="Default"/>
    <w:rsid w:val="00563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3C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B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B1D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63C6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63C6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63C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6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63C6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3C6A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63C6A"/>
    <w:rPr>
      <w:vertAlign w:val="superscript"/>
    </w:rPr>
  </w:style>
  <w:style w:type="paragraph" w:styleId="Revision">
    <w:name w:val="Revision"/>
    <w:hidden/>
    <w:uiPriority w:val="99"/>
    <w:semiHidden/>
    <w:rsid w:val="00563C6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563C6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63C6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63C6A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63C6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63C6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63C6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63C6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63C6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563C6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63C6A"/>
    <w:pPr>
      <w:numPr>
        <w:numId w:val="7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Normal"/>
    <w:rsid w:val="00563C6A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63C6A"/>
    <w:pPr>
      <w:numPr>
        <w:numId w:val="9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563C6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63C6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63C6A"/>
    <w:pPr>
      <w:keepNext/>
      <w:keepLines/>
      <w:framePr w:hSpace="141" w:wrap="around" w:vAnchor="text" w:hAnchor="margin" w:y="402"/>
      <w:numPr>
        <w:numId w:val="11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6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563C6A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C6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C6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3"/>
    <w:basedOn w:val="Normal"/>
    <w:link w:val="ListParagraphChar"/>
    <w:qFormat/>
    <w:rsid w:val="00563C6A"/>
    <w:pPr>
      <w:numPr>
        <w:numId w:val="10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paragraph" w:customStyle="1" w:styleId="cc">
    <w:name w:val="cc"/>
    <w:basedOn w:val="Normal"/>
    <w:rsid w:val="00D9549C"/>
    <w:pPr>
      <w:spacing w:after="0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63C6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3C6A"/>
    <w:rPr>
      <w:rFonts w:ascii="Arial" w:eastAsiaTheme="minorEastAsia" w:hAnsi="Arial" w:cs="Times New Roman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563C6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C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6A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C6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3C6A"/>
    <w:rPr>
      <w:rFonts w:ascii="Arial" w:eastAsiaTheme="minorEastAsia" w:hAnsi="Arial" w:cs="Times New Roman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563C6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63C6A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3C6A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3C6A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aliases w:val="Bullet 3 Char"/>
    <w:basedOn w:val="DefaultParagraphFont"/>
    <w:link w:val="ListParagraph"/>
    <w:rsid w:val="00563C6A"/>
    <w:rPr>
      <w:rFonts w:ascii="Arial" w:hAnsi="Arial" w:cs="Arial"/>
      <w:i/>
      <w:iCs/>
      <w:sz w:val="20"/>
      <w:lang w:val="en-US"/>
    </w:rPr>
  </w:style>
  <w:style w:type="paragraph" w:customStyle="1" w:styleId="Default">
    <w:name w:val="Default"/>
    <w:rsid w:val="00563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3C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B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B1D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63C6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63C6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63C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6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63C6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3C6A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63C6A"/>
    <w:rPr>
      <w:vertAlign w:val="superscript"/>
    </w:rPr>
  </w:style>
  <w:style w:type="paragraph" w:styleId="Revision">
    <w:name w:val="Revision"/>
    <w:hidden/>
    <w:uiPriority w:val="99"/>
    <w:semiHidden/>
    <w:rsid w:val="00563C6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563C6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63C6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63C6A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63C6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63C6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63C6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63C6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63C6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563C6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63C6A"/>
    <w:pPr>
      <w:numPr>
        <w:numId w:val="7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Normal"/>
    <w:rsid w:val="00563C6A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63C6A"/>
    <w:pPr>
      <w:numPr>
        <w:numId w:val="9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563C6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63C6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63C6A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152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ICRC</dc:creator>
  <cp:lastModifiedBy>Florence MAROT</cp:lastModifiedBy>
  <cp:revision>27</cp:revision>
  <cp:lastPrinted>2015-11-11T15:12:00Z</cp:lastPrinted>
  <dcterms:created xsi:type="dcterms:W3CDTF">2015-06-12T09:09:00Z</dcterms:created>
  <dcterms:modified xsi:type="dcterms:W3CDTF">2016-03-23T13:51:00Z</dcterms:modified>
</cp:coreProperties>
</file>