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0F" w:rsidRPr="0078350A" w:rsidRDefault="002E220F" w:rsidP="009F7A36">
      <w:pPr>
        <w:pStyle w:val="H1"/>
        <w:rPr>
          <w:lang w:val="fr-FR"/>
        </w:rPr>
      </w:pPr>
      <w:r w:rsidRPr="0078350A">
        <w:rPr>
          <w:lang w:val="fr-FR"/>
        </w:rPr>
        <w:t>Feuille de route pour la planification du suivi et de l’évaluation des programmes de transferts monétaires</w:t>
      </w:r>
    </w:p>
    <w:p w:rsidR="00E66A9A" w:rsidRPr="0078350A" w:rsidRDefault="00E66A9A" w:rsidP="009F7A36">
      <w:pPr>
        <w:pStyle w:val="Heading2"/>
        <w:rPr>
          <w:lang w:val="fr-FR"/>
        </w:rPr>
      </w:pPr>
      <w:r w:rsidRPr="0078350A">
        <w:rPr>
          <w:lang w:val="fr-FR"/>
        </w:rPr>
        <w:t>INTRODUCTION</w:t>
      </w:r>
    </w:p>
    <w:p w:rsidR="002E220F" w:rsidRPr="0078350A" w:rsidRDefault="00B00B1E" w:rsidP="009F29DF">
      <w:pPr>
        <w:rPr>
          <w:lang w:val="fr-FR"/>
        </w:rPr>
      </w:pPr>
      <w:r w:rsidRPr="0078350A">
        <w:rPr>
          <w:lang w:val="fr-FR"/>
        </w:rPr>
        <w:t>Cette</w:t>
      </w:r>
      <w:r w:rsidR="002E220F" w:rsidRPr="0078350A">
        <w:rPr>
          <w:lang w:val="fr-FR"/>
        </w:rPr>
        <w:t xml:space="preserve"> feuille de route vous guidera tout au long du processus de planification du suivi et de l’évaluation des programmes de transferts monétaires</w:t>
      </w:r>
      <w:r w:rsidR="002E0BCA" w:rsidRPr="0078350A">
        <w:rPr>
          <w:lang w:val="fr-FR"/>
        </w:rPr>
        <w:t xml:space="preserve"> (PTM)</w:t>
      </w:r>
      <w:r w:rsidR="009F29DF" w:rsidRPr="0078350A">
        <w:rPr>
          <w:lang w:val="fr-FR"/>
        </w:rPr>
        <w:t>, un</w:t>
      </w:r>
      <w:r w:rsidR="002E220F" w:rsidRPr="0078350A">
        <w:rPr>
          <w:lang w:val="fr-FR"/>
        </w:rPr>
        <w:t xml:space="preserve"> processus</w:t>
      </w:r>
      <w:r w:rsidR="009F29DF" w:rsidRPr="0078350A">
        <w:rPr>
          <w:lang w:val="fr-FR"/>
        </w:rPr>
        <w:t xml:space="preserve"> qui exige</w:t>
      </w:r>
      <w:r w:rsidR="002E220F" w:rsidRPr="0078350A">
        <w:rPr>
          <w:lang w:val="fr-FR"/>
        </w:rPr>
        <w:t xml:space="preserve"> d’élaborer une stratégie globale de suivi et d’é</w:t>
      </w:r>
      <w:r w:rsidR="003121BE" w:rsidRPr="0078350A">
        <w:rPr>
          <w:lang w:val="fr-FR"/>
        </w:rPr>
        <w:t>valuation</w:t>
      </w:r>
      <w:r w:rsidR="002E220F" w:rsidRPr="0078350A">
        <w:rPr>
          <w:lang w:val="fr-FR"/>
        </w:rPr>
        <w:t xml:space="preserve"> (</w:t>
      </w:r>
      <w:r w:rsidR="009F29DF" w:rsidRPr="0078350A">
        <w:rPr>
          <w:lang w:val="fr-FR"/>
        </w:rPr>
        <w:t>y compris</w:t>
      </w:r>
      <w:r w:rsidR="002E220F" w:rsidRPr="0078350A">
        <w:rPr>
          <w:lang w:val="fr-FR"/>
        </w:rPr>
        <w:t xml:space="preserve"> un plan détaillé des activités et une matrice pour le suivi et l’évaluation </w:t>
      </w:r>
      <w:r w:rsidR="00347A55" w:rsidRPr="0078350A">
        <w:rPr>
          <w:lang w:val="fr-FR"/>
        </w:rPr>
        <w:t xml:space="preserve">comprenant </w:t>
      </w:r>
      <w:r w:rsidR="005C587B" w:rsidRPr="0078350A">
        <w:rPr>
          <w:lang w:val="fr-FR"/>
        </w:rPr>
        <w:t>les indicateurs et l</w:t>
      </w:r>
      <w:r w:rsidR="002E220F" w:rsidRPr="0078350A">
        <w:rPr>
          <w:lang w:val="fr-FR"/>
        </w:rPr>
        <w:t xml:space="preserve">es moyens de vérification) et de renforcer les capacités des volontaires et des employés. </w:t>
      </w:r>
    </w:p>
    <w:p w:rsidR="00A22FB8" w:rsidRPr="0078350A" w:rsidRDefault="009F29DF" w:rsidP="009F29DF">
      <w:pPr>
        <w:rPr>
          <w:lang w:val="fr-FR"/>
        </w:rPr>
      </w:pPr>
      <w:r w:rsidRPr="0078350A">
        <w:rPr>
          <w:lang w:val="fr-FR"/>
        </w:rPr>
        <w:t>Cette</w:t>
      </w:r>
      <w:r w:rsidR="002E220F" w:rsidRPr="0078350A">
        <w:rPr>
          <w:lang w:val="fr-FR"/>
        </w:rPr>
        <w:t xml:space="preserve"> feuille de route vous indiquera également quel</w:t>
      </w:r>
      <w:r w:rsidRPr="0078350A">
        <w:rPr>
          <w:lang w:val="fr-FR"/>
        </w:rPr>
        <w:t>le</w:t>
      </w:r>
      <w:r w:rsidR="002E220F" w:rsidRPr="0078350A">
        <w:rPr>
          <w:lang w:val="fr-FR"/>
        </w:rPr>
        <w:t xml:space="preserve">s sont les </w:t>
      </w:r>
      <w:r w:rsidRPr="0078350A">
        <w:rPr>
          <w:lang w:val="fr-FR"/>
        </w:rPr>
        <w:t>ressources</w:t>
      </w:r>
      <w:r w:rsidR="002E220F" w:rsidRPr="0078350A">
        <w:rPr>
          <w:lang w:val="fr-FR"/>
        </w:rPr>
        <w:t xml:space="preserve"> de la Boîte à outils qui sont les plus utiles pour cette étape et ses étapes subsidiaires. Ces outils devront être adaptés à vos besoins et à votre contexte.</w:t>
      </w:r>
    </w:p>
    <w:p w:rsidR="00EE263E" w:rsidRPr="0078350A" w:rsidRDefault="00347A55" w:rsidP="009F29DF">
      <w:pPr>
        <w:rPr>
          <w:lang w:val="fr-FR"/>
        </w:rPr>
      </w:pPr>
      <w:r w:rsidRPr="0078350A">
        <w:rPr>
          <w:lang w:val="fr-FR"/>
        </w:rPr>
        <w:t>Il est important de</w:t>
      </w:r>
      <w:r w:rsidR="008C2EFE" w:rsidRPr="0078350A">
        <w:rPr>
          <w:lang w:val="fr-FR"/>
        </w:rPr>
        <w:t xml:space="preserve"> respecter les normes mini</w:t>
      </w:r>
      <w:r w:rsidR="009F29DF" w:rsidRPr="0078350A">
        <w:rPr>
          <w:lang w:val="fr-FR"/>
        </w:rPr>
        <w:t>males définies pour cette étape</w:t>
      </w:r>
      <w:r w:rsidR="008C2EFE" w:rsidRPr="0078350A">
        <w:rPr>
          <w:lang w:val="fr-FR"/>
        </w:rPr>
        <w:t xml:space="preserve"> </w:t>
      </w:r>
      <w:r w:rsidR="009F29DF" w:rsidRPr="0078350A">
        <w:rPr>
          <w:lang w:val="fr-FR"/>
        </w:rPr>
        <w:t>aux fins de renforcer la qualité des PTM</w:t>
      </w:r>
      <w:r w:rsidR="008C2EFE" w:rsidRPr="0078350A">
        <w:rPr>
          <w:lang w:val="fr-FR"/>
        </w:rPr>
        <w:t>.</w:t>
      </w:r>
    </w:p>
    <w:p w:rsidR="00EE263E" w:rsidRPr="0078350A" w:rsidRDefault="008C2EFE" w:rsidP="009F29DF">
      <w:pPr>
        <w:rPr>
          <w:lang w:val="fr-FR"/>
        </w:rPr>
      </w:pPr>
      <w:r w:rsidRPr="0078350A">
        <w:rPr>
          <w:lang w:val="fr-FR"/>
        </w:rPr>
        <w:t xml:space="preserve">Il est probable que vous deviez </w:t>
      </w:r>
      <w:r w:rsidRPr="0078350A">
        <w:rPr>
          <w:b/>
          <w:lang w:val="fr-FR"/>
        </w:rPr>
        <w:t>aller et venir</w:t>
      </w:r>
      <w:r w:rsidRPr="0078350A">
        <w:rPr>
          <w:lang w:val="fr-FR"/>
        </w:rPr>
        <w:t xml:space="preserve"> entre les différentes étapes subsidiaires </w:t>
      </w:r>
      <w:r w:rsidR="009F29DF" w:rsidRPr="0078350A">
        <w:rPr>
          <w:lang w:val="fr-FR"/>
        </w:rPr>
        <w:t>pour orienter la prise de décisions à mesure que des informations deviennent disponibles et que la mise en œuvre du processus progresse</w:t>
      </w:r>
      <w:r w:rsidRPr="0078350A">
        <w:rPr>
          <w:lang w:val="fr-FR"/>
        </w:rPr>
        <w:t xml:space="preserve">. </w:t>
      </w:r>
    </w:p>
    <w:p w:rsidR="00EE263E" w:rsidRPr="0078350A" w:rsidRDefault="008C2EFE" w:rsidP="009F29DF">
      <w:pPr>
        <w:rPr>
          <w:lang w:val="fr-FR"/>
        </w:rPr>
      </w:pPr>
      <w:r w:rsidRPr="0078350A">
        <w:rPr>
          <w:lang w:val="fr-FR"/>
        </w:rPr>
        <w:t xml:space="preserve">Pour obtenir des </w:t>
      </w:r>
      <w:r w:rsidR="009F29DF" w:rsidRPr="0078350A">
        <w:rPr>
          <w:lang w:val="fr-FR"/>
        </w:rPr>
        <w:t>orientations</w:t>
      </w:r>
      <w:r w:rsidRPr="0078350A">
        <w:rPr>
          <w:lang w:val="fr-FR"/>
        </w:rPr>
        <w:t xml:space="preserve"> plus détaillées sur la planification du suivi et de l’évaluation, veuillez consulter les documents de référence </w:t>
      </w:r>
      <w:r w:rsidR="009F29DF" w:rsidRPr="0078350A">
        <w:rPr>
          <w:lang w:val="fr-FR"/>
        </w:rPr>
        <w:t>mentionnés</w:t>
      </w:r>
      <w:r w:rsidRPr="0078350A">
        <w:rPr>
          <w:lang w:val="fr-FR"/>
        </w:rPr>
        <w:t xml:space="preserve"> à la fin du document.</w:t>
      </w:r>
    </w:p>
    <w:p w:rsidR="00E66A9A" w:rsidRPr="0078350A" w:rsidRDefault="002E220F" w:rsidP="009F7A36">
      <w:pPr>
        <w:pStyle w:val="Heading2"/>
        <w:rPr>
          <w:lang w:val="fr-FR"/>
        </w:rPr>
      </w:pPr>
      <w:r w:rsidRPr="0078350A">
        <w:rPr>
          <w:lang w:val="fr-FR"/>
        </w:rPr>
        <w:t>Normes minimales</w:t>
      </w:r>
    </w:p>
    <w:p w:rsidR="008C2EFE" w:rsidRPr="0078350A" w:rsidRDefault="008C2EFE" w:rsidP="007B6F4F">
      <w:pPr>
        <w:pStyle w:val="Bullet1"/>
        <w:rPr>
          <w:lang w:val="fr-FR"/>
        </w:rPr>
      </w:pPr>
      <w:r w:rsidRPr="0078350A">
        <w:rPr>
          <w:lang w:val="fr-FR"/>
        </w:rPr>
        <w:t xml:space="preserve">La planification du suivi et de l’évaluation doit être effectuée </w:t>
      </w:r>
      <w:r w:rsidR="007B6F4F" w:rsidRPr="0078350A">
        <w:rPr>
          <w:lang w:val="fr-FR"/>
        </w:rPr>
        <w:t>durant</w:t>
      </w:r>
      <w:r w:rsidRPr="0078350A">
        <w:rPr>
          <w:lang w:val="fr-FR"/>
        </w:rPr>
        <w:t xml:space="preserve"> la phase d’élaboration des programmes.</w:t>
      </w:r>
    </w:p>
    <w:p w:rsidR="008C2EFE" w:rsidRPr="0078350A" w:rsidRDefault="008C2EFE" w:rsidP="007B6F4F">
      <w:pPr>
        <w:pStyle w:val="Bullet1"/>
        <w:rPr>
          <w:lang w:val="fr-FR"/>
        </w:rPr>
      </w:pPr>
      <w:r w:rsidRPr="0078350A">
        <w:rPr>
          <w:lang w:val="fr-FR"/>
        </w:rPr>
        <w:t xml:space="preserve">La planification du suivi et de l’évaluation doit se fonder sur les indicateurs des programmes et les </w:t>
      </w:r>
      <w:r w:rsidR="007B6F4F" w:rsidRPr="0078350A">
        <w:rPr>
          <w:lang w:val="fr-FR"/>
        </w:rPr>
        <w:t>moyens</w:t>
      </w:r>
      <w:r w:rsidRPr="0078350A">
        <w:rPr>
          <w:lang w:val="fr-FR"/>
        </w:rPr>
        <w:t xml:space="preserve"> de vérification définis dans le cadre logique.</w:t>
      </w:r>
    </w:p>
    <w:p w:rsidR="008C2EFE" w:rsidRPr="0078350A" w:rsidRDefault="008C2EFE" w:rsidP="004F7446">
      <w:pPr>
        <w:pStyle w:val="Bullet1"/>
        <w:rPr>
          <w:lang w:val="fr-FR"/>
        </w:rPr>
      </w:pPr>
      <w:r w:rsidRPr="0078350A">
        <w:rPr>
          <w:lang w:val="fr-FR"/>
        </w:rPr>
        <w:t xml:space="preserve">Les indicateurs des programmes doivent au moins </w:t>
      </w:r>
      <w:r w:rsidR="004F7446">
        <w:rPr>
          <w:lang w:val="fr-FR"/>
        </w:rPr>
        <w:t>tenir compte d</w:t>
      </w:r>
      <w:r w:rsidRPr="0078350A">
        <w:rPr>
          <w:lang w:val="fr-FR"/>
        </w:rPr>
        <w:t xml:space="preserve">es </w:t>
      </w:r>
      <w:r w:rsidR="00A66EE4" w:rsidRPr="0078350A">
        <w:rPr>
          <w:lang w:val="fr-FR"/>
        </w:rPr>
        <w:t>aspects suivant</w:t>
      </w:r>
      <w:r w:rsidRPr="0078350A">
        <w:rPr>
          <w:lang w:val="fr-FR"/>
        </w:rPr>
        <w:t xml:space="preserve">s : </w:t>
      </w:r>
    </w:p>
    <w:p w:rsidR="008C2EFE" w:rsidRPr="0078350A" w:rsidRDefault="008C2EFE" w:rsidP="003A4129">
      <w:pPr>
        <w:pStyle w:val="Bullet1"/>
        <w:numPr>
          <w:ilvl w:val="1"/>
          <w:numId w:val="47"/>
        </w:numPr>
        <w:rPr>
          <w:lang w:val="fr-FR"/>
        </w:rPr>
      </w:pPr>
      <w:r w:rsidRPr="0078350A">
        <w:rPr>
          <w:lang w:val="fr-FR"/>
        </w:rPr>
        <w:t>Les bénéficiaires visés ont-ils reçu les transferts monétaires dans les délais convenus ?</w:t>
      </w:r>
    </w:p>
    <w:p w:rsidR="00136C29" w:rsidRPr="0078350A" w:rsidRDefault="005C587B" w:rsidP="003A4129">
      <w:pPr>
        <w:pStyle w:val="Bullet1"/>
        <w:numPr>
          <w:ilvl w:val="1"/>
          <w:numId w:val="47"/>
        </w:numPr>
        <w:rPr>
          <w:lang w:val="fr-FR"/>
        </w:rPr>
      </w:pPr>
      <w:r w:rsidRPr="0078350A">
        <w:rPr>
          <w:lang w:val="fr-FR"/>
        </w:rPr>
        <w:t>Comment l’</w:t>
      </w:r>
      <w:r w:rsidR="008C2EFE" w:rsidRPr="0078350A">
        <w:rPr>
          <w:lang w:val="fr-FR"/>
        </w:rPr>
        <w:t>argent a-t-il été dépensé par les ménages ?</w:t>
      </w:r>
    </w:p>
    <w:p w:rsidR="00136C29" w:rsidRPr="0078350A" w:rsidRDefault="0025503B" w:rsidP="007B6F4F">
      <w:pPr>
        <w:pStyle w:val="Bullet1"/>
        <w:numPr>
          <w:ilvl w:val="1"/>
          <w:numId w:val="47"/>
        </w:numPr>
        <w:rPr>
          <w:lang w:val="fr-FR"/>
        </w:rPr>
      </w:pPr>
      <w:r w:rsidRPr="0078350A">
        <w:rPr>
          <w:lang w:val="fr-FR"/>
        </w:rPr>
        <w:t>Y a-t-il eu</w:t>
      </w:r>
      <w:r w:rsidR="005C587B" w:rsidRPr="0078350A">
        <w:rPr>
          <w:lang w:val="fr-FR"/>
        </w:rPr>
        <w:t xml:space="preserve"> des changements qui ont pu </w:t>
      </w:r>
      <w:r w:rsidRPr="0078350A">
        <w:rPr>
          <w:lang w:val="fr-FR"/>
        </w:rPr>
        <w:t xml:space="preserve">avoir une incidence sur l’efficacité </w:t>
      </w:r>
      <w:r w:rsidR="003121BE" w:rsidRPr="0078350A">
        <w:rPr>
          <w:lang w:val="fr-FR"/>
        </w:rPr>
        <w:t>de la sol</w:t>
      </w:r>
      <w:r w:rsidR="007B6F4F" w:rsidRPr="0078350A">
        <w:rPr>
          <w:lang w:val="fr-FR"/>
        </w:rPr>
        <w:t xml:space="preserve">ution d’intervention choisie (par </w:t>
      </w:r>
      <w:r w:rsidR="003121BE" w:rsidRPr="0078350A">
        <w:rPr>
          <w:lang w:val="fr-FR"/>
        </w:rPr>
        <w:t>ex.</w:t>
      </w:r>
      <w:r w:rsidR="007B6F4F" w:rsidRPr="0078350A">
        <w:rPr>
          <w:lang w:val="fr-FR"/>
        </w:rPr>
        <w:t>,</w:t>
      </w:r>
      <w:r w:rsidR="003121BE" w:rsidRPr="0078350A">
        <w:rPr>
          <w:lang w:val="fr-FR"/>
        </w:rPr>
        <w:t xml:space="preserve"> la </w:t>
      </w:r>
      <w:r w:rsidRPr="0078350A">
        <w:rPr>
          <w:lang w:val="fr-FR"/>
        </w:rPr>
        <w:t xml:space="preserve">qualité des produits, les </w:t>
      </w:r>
      <w:r w:rsidR="007B6F4F" w:rsidRPr="0078350A">
        <w:rPr>
          <w:lang w:val="fr-FR"/>
        </w:rPr>
        <w:t>questions de</w:t>
      </w:r>
      <w:r w:rsidR="003121BE" w:rsidRPr="0078350A">
        <w:rPr>
          <w:lang w:val="fr-FR"/>
        </w:rPr>
        <w:t xml:space="preserve"> sécurité, la violence à l’encontre des femmes et des filles, le travail des enfants, les taux de malnutrition, etc.) ?</w:t>
      </w:r>
    </w:p>
    <w:p w:rsidR="003121BE" w:rsidRPr="0078350A" w:rsidRDefault="003121BE" w:rsidP="007B6F4F">
      <w:pPr>
        <w:pStyle w:val="Bullet1"/>
        <w:rPr>
          <w:lang w:val="fr-FR"/>
        </w:rPr>
      </w:pPr>
      <w:r w:rsidRPr="0078350A">
        <w:rPr>
          <w:lang w:val="fr-FR"/>
        </w:rPr>
        <w:t>L’équipe c</w:t>
      </w:r>
      <w:r w:rsidR="0025503B" w:rsidRPr="0078350A">
        <w:rPr>
          <w:lang w:val="fr-FR"/>
        </w:rPr>
        <w:t>harg</w:t>
      </w:r>
      <w:r w:rsidR="007B6F4F" w:rsidRPr="0078350A">
        <w:rPr>
          <w:lang w:val="fr-FR"/>
        </w:rPr>
        <w:t>é</w:t>
      </w:r>
      <w:r w:rsidR="0025503B" w:rsidRPr="0078350A">
        <w:rPr>
          <w:lang w:val="fr-FR"/>
        </w:rPr>
        <w:t>e du suivi doit être formée</w:t>
      </w:r>
      <w:r w:rsidRPr="0078350A">
        <w:rPr>
          <w:lang w:val="fr-FR"/>
        </w:rPr>
        <w:t xml:space="preserve"> et les outils doivent être mis à l’essai au préalable.</w:t>
      </w:r>
    </w:p>
    <w:p w:rsidR="00A22FB8" w:rsidRPr="0078350A" w:rsidRDefault="002E220F" w:rsidP="009F7A36">
      <w:pPr>
        <w:pStyle w:val="Heading2"/>
        <w:rPr>
          <w:lang w:val="fr-FR"/>
        </w:rPr>
      </w:pPr>
      <w:r w:rsidRPr="0078350A">
        <w:rPr>
          <w:lang w:val="fr-FR"/>
        </w:rPr>
        <w:t>Étapes subsidiaires et outils</w:t>
      </w:r>
    </w:p>
    <w:p w:rsidR="00E66A9A" w:rsidRPr="0078350A" w:rsidRDefault="003121BE" w:rsidP="00397132">
      <w:pPr>
        <w:pStyle w:val="Heading3"/>
        <w:rPr>
          <w:lang w:val="fr-FR"/>
        </w:rPr>
      </w:pPr>
      <w:r w:rsidRPr="0078350A">
        <w:rPr>
          <w:lang w:val="fr-FR"/>
        </w:rPr>
        <w:t>Élaborer une stratégie de suivi et d’évaluation</w:t>
      </w:r>
    </w:p>
    <w:p w:rsidR="003121BE" w:rsidRPr="0078350A" w:rsidRDefault="005C587B" w:rsidP="004F0B0C">
      <w:pPr>
        <w:rPr>
          <w:lang w:val="fr-FR"/>
        </w:rPr>
      </w:pPr>
      <w:r w:rsidRPr="0078350A">
        <w:rPr>
          <w:lang w:val="fr-FR"/>
        </w:rPr>
        <w:t>L</w:t>
      </w:r>
      <w:r w:rsidR="003121BE" w:rsidRPr="0078350A">
        <w:rPr>
          <w:lang w:val="fr-FR"/>
        </w:rPr>
        <w:t xml:space="preserve">es indicateurs propres à l’intervention (relatifs aux </w:t>
      </w:r>
      <w:r w:rsidR="00293842" w:rsidRPr="0078350A">
        <w:rPr>
          <w:lang w:val="fr-FR"/>
        </w:rPr>
        <w:t>réalisations, aux produits</w:t>
      </w:r>
      <w:r w:rsidR="003121BE" w:rsidRPr="0078350A">
        <w:rPr>
          <w:lang w:val="fr-FR"/>
        </w:rPr>
        <w:t xml:space="preserve"> et au</w:t>
      </w:r>
      <w:r w:rsidR="00293842" w:rsidRPr="0078350A">
        <w:rPr>
          <w:lang w:val="fr-FR"/>
        </w:rPr>
        <w:t>x</w:t>
      </w:r>
      <w:r w:rsidR="003121BE" w:rsidRPr="0078350A">
        <w:rPr>
          <w:lang w:val="fr-FR"/>
        </w:rPr>
        <w:t xml:space="preserve"> processus) auront été définis </w:t>
      </w:r>
      <w:r w:rsidR="00293842" w:rsidRPr="0078350A">
        <w:rPr>
          <w:lang w:val="fr-FR"/>
        </w:rPr>
        <w:t>au moment de l’élaboration du cadre logique, durant la phase de conception du programme</w:t>
      </w:r>
      <w:r w:rsidR="003121BE" w:rsidRPr="0078350A">
        <w:rPr>
          <w:lang w:val="fr-FR"/>
        </w:rPr>
        <w:t xml:space="preserve">. Les outils de cette étape subsidiaire incluent un cadre logique </w:t>
      </w:r>
      <w:r w:rsidR="00446C78" w:rsidRPr="0078350A">
        <w:rPr>
          <w:lang w:val="fr-FR"/>
        </w:rPr>
        <w:t>ainsi qu’</w:t>
      </w:r>
      <w:r w:rsidR="003121BE" w:rsidRPr="0078350A">
        <w:rPr>
          <w:lang w:val="fr-FR"/>
        </w:rPr>
        <w:t xml:space="preserve">une liste de contrôle des éléments clés </w:t>
      </w:r>
      <w:r w:rsidR="00293842" w:rsidRPr="0078350A">
        <w:rPr>
          <w:lang w:val="fr-FR"/>
        </w:rPr>
        <w:t>à prendre en</w:t>
      </w:r>
      <w:r w:rsidR="003121BE" w:rsidRPr="0078350A">
        <w:rPr>
          <w:lang w:val="fr-FR"/>
        </w:rPr>
        <w:t xml:space="preserve"> compte </w:t>
      </w:r>
      <w:r w:rsidR="00293842" w:rsidRPr="0078350A">
        <w:rPr>
          <w:lang w:val="fr-FR"/>
        </w:rPr>
        <w:t xml:space="preserve">dans le contexte </w:t>
      </w:r>
      <w:r w:rsidR="003121BE" w:rsidRPr="0078350A">
        <w:rPr>
          <w:lang w:val="fr-FR"/>
        </w:rPr>
        <w:t xml:space="preserve">du suivi du processus et de </w:t>
      </w:r>
      <w:r w:rsidR="00293842" w:rsidRPr="0078350A">
        <w:rPr>
          <w:lang w:val="fr-FR"/>
        </w:rPr>
        <w:t>l’impact des PTM</w:t>
      </w:r>
      <w:r w:rsidR="003121BE" w:rsidRPr="0078350A">
        <w:rPr>
          <w:lang w:val="fr-FR"/>
        </w:rPr>
        <w:t>.</w:t>
      </w:r>
    </w:p>
    <w:p w:rsidR="00865F32" w:rsidRPr="0078350A" w:rsidRDefault="00283AEC" w:rsidP="006E099E">
      <w:pPr>
        <w:rPr>
          <w:lang w:val="fr-FR"/>
        </w:rPr>
      </w:pPr>
      <w:r w:rsidRPr="0078350A">
        <w:rPr>
          <w:lang w:val="fr-FR"/>
        </w:rPr>
        <w:t xml:space="preserve">Sur la base du cadre logique, </w:t>
      </w:r>
      <w:r w:rsidR="00446C78" w:rsidRPr="0078350A">
        <w:rPr>
          <w:lang w:val="fr-FR"/>
        </w:rPr>
        <w:t xml:space="preserve">vous devez élaborer </w:t>
      </w:r>
      <w:r w:rsidR="00865F32" w:rsidRPr="0078350A">
        <w:rPr>
          <w:lang w:val="fr-FR"/>
        </w:rPr>
        <w:t>:</w:t>
      </w:r>
    </w:p>
    <w:p w:rsidR="00446C78" w:rsidRPr="0078350A" w:rsidRDefault="00446C78" w:rsidP="00EA715A">
      <w:pPr>
        <w:pStyle w:val="Bullet2"/>
        <w:rPr>
          <w:lang w:val="fr-FR"/>
        </w:rPr>
      </w:pPr>
      <w:r w:rsidRPr="0078350A">
        <w:rPr>
          <w:lang w:val="fr-FR"/>
        </w:rPr>
        <w:t>Un plan de travail pour le suivi et l’évaluation, détaillant l’ensemble des activités nécessaires pour garantir le bon déroulement du pro</w:t>
      </w:r>
      <w:r w:rsidR="00A66EE4" w:rsidRPr="0078350A">
        <w:rPr>
          <w:lang w:val="fr-FR"/>
        </w:rPr>
        <w:t>cessus de suivi et d’évaluation</w:t>
      </w:r>
      <w:r w:rsidRPr="0078350A">
        <w:rPr>
          <w:lang w:val="fr-FR"/>
        </w:rPr>
        <w:t xml:space="preserve"> et indiquant de manière claire qui </w:t>
      </w:r>
      <w:r w:rsidRPr="0078350A">
        <w:rPr>
          <w:lang w:val="fr-FR"/>
        </w:rPr>
        <w:lastRenderedPageBreak/>
        <w:t xml:space="preserve">est responsable de chaque activité, </w:t>
      </w:r>
      <w:r w:rsidR="00EA715A" w:rsidRPr="0078350A">
        <w:rPr>
          <w:lang w:val="fr-FR"/>
        </w:rPr>
        <w:t>avec qui les</w:t>
      </w:r>
      <w:r w:rsidRPr="0078350A">
        <w:rPr>
          <w:lang w:val="fr-FR"/>
        </w:rPr>
        <w:t xml:space="preserve"> personne</w:t>
      </w:r>
      <w:r w:rsidR="00EA715A" w:rsidRPr="0078350A">
        <w:rPr>
          <w:lang w:val="fr-FR"/>
        </w:rPr>
        <w:t>s</w:t>
      </w:r>
      <w:r w:rsidRPr="0078350A">
        <w:rPr>
          <w:lang w:val="fr-FR"/>
        </w:rPr>
        <w:t xml:space="preserve"> responsable</w:t>
      </w:r>
      <w:r w:rsidR="00EA715A" w:rsidRPr="0078350A">
        <w:rPr>
          <w:lang w:val="fr-FR"/>
        </w:rPr>
        <w:t>s</w:t>
      </w:r>
      <w:r w:rsidRPr="0078350A">
        <w:rPr>
          <w:lang w:val="fr-FR"/>
        </w:rPr>
        <w:t xml:space="preserve"> doi</w:t>
      </w:r>
      <w:r w:rsidR="00EA715A" w:rsidRPr="0078350A">
        <w:rPr>
          <w:lang w:val="fr-FR"/>
        </w:rPr>
        <w:t xml:space="preserve">vent coordonner les </w:t>
      </w:r>
      <w:r w:rsidRPr="0078350A">
        <w:rPr>
          <w:lang w:val="fr-FR"/>
        </w:rPr>
        <w:t>activité</w:t>
      </w:r>
      <w:r w:rsidR="00EA715A" w:rsidRPr="0078350A">
        <w:rPr>
          <w:lang w:val="fr-FR"/>
        </w:rPr>
        <w:t>s et quand les</w:t>
      </w:r>
      <w:r w:rsidR="00A66EE4" w:rsidRPr="0078350A">
        <w:rPr>
          <w:lang w:val="fr-FR"/>
        </w:rPr>
        <w:t xml:space="preserve"> activité</w:t>
      </w:r>
      <w:r w:rsidR="00EA715A" w:rsidRPr="0078350A">
        <w:rPr>
          <w:lang w:val="fr-FR"/>
        </w:rPr>
        <w:t>s</w:t>
      </w:r>
      <w:r w:rsidR="00A66EE4" w:rsidRPr="0078350A">
        <w:rPr>
          <w:lang w:val="fr-FR"/>
        </w:rPr>
        <w:t xml:space="preserve"> doi</w:t>
      </w:r>
      <w:r w:rsidR="00EA715A" w:rsidRPr="0078350A">
        <w:rPr>
          <w:lang w:val="fr-FR"/>
        </w:rPr>
        <w:t>ven</w:t>
      </w:r>
      <w:r w:rsidR="00A66EE4" w:rsidRPr="0078350A">
        <w:rPr>
          <w:lang w:val="fr-FR"/>
        </w:rPr>
        <w:t>t être réalisée</w:t>
      </w:r>
      <w:r w:rsidR="00EA715A" w:rsidRPr="0078350A">
        <w:rPr>
          <w:lang w:val="fr-FR"/>
        </w:rPr>
        <w:t>s</w:t>
      </w:r>
      <w:r w:rsidRPr="0078350A">
        <w:rPr>
          <w:lang w:val="fr-FR"/>
        </w:rPr>
        <w:t>.</w:t>
      </w:r>
    </w:p>
    <w:p w:rsidR="00446C78" w:rsidRPr="0078350A" w:rsidRDefault="00446C78" w:rsidP="004F0B0C">
      <w:pPr>
        <w:pStyle w:val="Bullet2"/>
        <w:rPr>
          <w:lang w:val="fr-FR"/>
        </w:rPr>
      </w:pPr>
      <w:r w:rsidRPr="0078350A">
        <w:rPr>
          <w:lang w:val="fr-FR"/>
        </w:rPr>
        <w:t xml:space="preserve">Une matrice pour le suivi et l’évaluation, incluant </w:t>
      </w:r>
      <w:r w:rsidR="00A66EE4" w:rsidRPr="0078350A">
        <w:rPr>
          <w:lang w:val="fr-FR"/>
        </w:rPr>
        <w:t>l’ensemble des</w:t>
      </w:r>
      <w:r w:rsidRPr="0078350A">
        <w:rPr>
          <w:lang w:val="fr-FR"/>
        </w:rPr>
        <w:t xml:space="preserve"> indicateurs devant </w:t>
      </w:r>
      <w:r w:rsidR="00EA715A" w:rsidRPr="0078350A">
        <w:rPr>
          <w:lang w:val="fr-FR"/>
        </w:rPr>
        <w:t>faire l’objet d’un suivi</w:t>
      </w:r>
      <w:r w:rsidRPr="0078350A">
        <w:rPr>
          <w:lang w:val="fr-FR"/>
        </w:rPr>
        <w:t xml:space="preserve">. La matrice doit </w:t>
      </w:r>
      <w:r w:rsidR="00A66EE4" w:rsidRPr="0078350A">
        <w:rPr>
          <w:lang w:val="fr-FR"/>
        </w:rPr>
        <w:t xml:space="preserve">préciser </w:t>
      </w:r>
      <w:r w:rsidRPr="0078350A">
        <w:rPr>
          <w:lang w:val="fr-FR"/>
        </w:rPr>
        <w:t>pour chaque indicateur : quelles sont les sources de données et les méthodes de collecte qui doivent être utilisées, à quelle fréquence les données doivent être collectées et par qui, et comment les données de suivi seront utili</w:t>
      </w:r>
      <w:r w:rsidR="00A66EE4" w:rsidRPr="0078350A">
        <w:rPr>
          <w:lang w:val="fr-FR"/>
        </w:rPr>
        <w:t>sées. Les discussions de groupe</w:t>
      </w:r>
      <w:r w:rsidRPr="0078350A">
        <w:rPr>
          <w:lang w:val="fr-FR"/>
        </w:rPr>
        <w:t>, les entretiens a</w:t>
      </w:r>
      <w:r w:rsidR="00A66EE4" w:rsidRPr="0078350A">
        <w:rPr>
          <w:lang w:val="fr-FR"/>
        </w:rPr>
        <w:t>vec d</w:t>
      </w:r>
      <w:r w:rsidRPr="0078350A">
        <w:rPr>
          <w:lang w:val="fr-FR"/>
        </w:rPr>
        <w:t xml:space="preserve">es interlocuteurs clés et les enquêtes auprès des ménages sont les méthodes les plus utilisées dans le cadre du suivi des </w:t>
      </w:r>
      <w:r w:rsidR="00EA715A" w:rsidRPr="0078350A">
        <w:rPr>
          <w:lang w:val="fr-FR"/>
        </w:rPr>
        <w:t>PTM</w:t>
      </w:r>
      <w:r w:rsidRPr="0078350A">
        <w:rPr>
          <w:lang w:val="fr-FR"/>
        </w:rPr>
        <w:t xml:space="preserve">. En règle générale, les </w:t>
      </w:r>
      <w:r w:rsidR="00A66EE4" w:rsidRPr="0078350A">
        <w:rPr>
          <w:lang w:val="fr-FR"/>
        </w:rPr>
        <w:t>aspects</w:t>
      </w:r>
      <w:r w:rsidRPr="0078350A">
        <w:rPr>
          <w:lang w:val="fr-FR"/>
        </w:rPr>
        <w:t xml:space="preserve"> quantitatifs et qualitatifs doivent être pris en compte, </w:t>
      </w:r>
      <w:r w:rsidR="00EA715A" w:rsidRPr="0078350A">
        <w:rPr>
          <w:lang w:val="fr-FR"/>
        </w:rPr>
        <w:t xml:space="preserve">et une attention particulière doit être portée au </w:t>
      </w:r>
      <w:r w:rsidRPr="0078350A">
        <w:rPr>
          <w:lang w:val="fr-FR"/>
        </w:rPr>
        <w:t xml:space="preserve">recoupage des données. </w:t>
      </w:r>
      <w:r w:rsidR="00A66EE4" w:rsidRPr="0078350A">
        <w:rPr>
          <w:lang w:val="fr-FR"/>
        </w:rPr>
        <w:t>Utiliser</w:t>
      </w:r>
      <w:r w:rsidRPr="0078350A">
        <w:rPr>
          <w:lang w:val="fr-FR"/>
        </w:rPr>
        <w:t xml:space="preserve"> </w:t>
      </w:r>
      <w:r w:rsidR="00A66EE4" w:rsidRPr="0078350A">
        <w:rPr>
          <w:lang w:val="fr-FR"/>
        </w:rPr>
        <w:t xml:space="preserve">tout </w:t>
      </w:r>
      <w:r w:rsidRPr="0078350A">
        <w:rPr>
          <w:lang w:val="fr-FR"/>
        </w:rPr>
        <w:t>un éventail de méthodes et inter</w:t>
      </w:r>
      <w:r w:rsidR="004F0B0C" w:rsidRPr="0078350A">
        <w:rPr>
          <w:lang w:val="fr-FR"/>
        </w:rPr>
        <w:t xml:space="preserve">roger une série de personnes (par </w:t>
      </w:r>
      <w:r w:rsidRPr="0078350A">
        <w:rPr>
          <w:lang w:val="fr-FR"/>
        </w:rPr>
        <w:t>ex. des bénéficiaires et des non-bénéficiaires, des hommes et des femmes, etc.) vous permettra de vérifier vos informations et d’obtenir des résultats plus fiables.</w:t>
      </w:r>
    </w:p>
    <w:p w:rsidR="00DE6AAA" w:rsidRPr="0078350A" w:rsidRDefault="00DE6AAA" w:rsidP="0013627C">
      <w:pPr>
        <w:rPr>
          <w:lang w:val="fr-FR"/>
        </w:rPr>
      </w:pPr>
      <w:r w:rsidRPr="0078350A">
        <w:rPr>
          <w:lang w:val="fr-FR"/>
        </w:rPr>
        <w:t xml:space="preserve">Les outils de cette étape subsidiaire </w:t>
      </w:r>
      <w:r w:rsidR="0013627C">
        <w:rPr>
          <w:lang w:val="fr-FR"/>
        </w:rPr>
        <w:t>prévoient</w:t>
      </w:r>
      <w:r w:rsidRPr="0078350A">
        <w:rPr>
          <w:lang w:val="fr-FR"/>
        </w:rPr>
        <w:t xml:space="preserve"> un plan de travail pour le suivi et l’évaluation ainsi que des modèles de matrices.</w:t>
      </w:r>
    </w:p>
    <w:p w:rsidR="00865F32" w:rsidRPr="0078350A" w:rsidRDefault="00A43F4E" w:rsidP="00F335D6">
      <w:pPr>
        <w:rPr>
          <w:lang w:val="fr-FR"/>
        </w:rPr>
      </w:pPr>
      <w:r w:rsidRPr="0078350A">
        <w:rPr>
          <w:lang w:val="fr-FR"/>
        </w:rPr>
        <w:t>Bien que la méthode d’</w:t>
      </w:r>
      <w:r w:rsidR="00DE6AAA" w:rsidRPr="0078350A">
        <w:rPr>
          <w:lang w:val="fr-FR"/>
        </w:rPr>
        <w:t>échantillonnage</w:t>
      </w:r>
      <w:r w:rsidRPr="0078350A">
        <w:rPr>
          <w:lang w:val="fr-FR"/>
        </w:rPr>
        <w:t xml:space="preserve"> ne figure pas dans la</w:t>
      </w:r>
      <w:r w:rsidR="00DE6AAA" w:rsidRPr="0078350A">
        <w:rPr>
          <w:lang w:val="fr-FR"/>
        </w:rPr>
        <w:t xml:space="preserve"> </w:t>
      </w:r>
      <w:r w:rsidRPr="0078350A">
        <w:rPr>
          <w:lang w:val="fr-FR"/>
        </w:rPr>
        <w:t xml:space="preserve">matrice pour le suivi et l’évaluation, elle </w:t>
      </w:r>
      <w:r w:rsidR="002C5607" w:rsidRPr="0078350A">
        <w:rPr>
          <w:lang w:val="fr-FR"/>
        </w:rPr>
        <w:t>constitue</w:t>
      </w:r>
      <w:r w:rsidRPr="0078350A">
        <w:rPr>
          <w:lang w:val="fr-FR"/>
        </w:rPr>
        <w:t xml:space="preserve"> un élément </w:t>
      </w:r>
      <w:r w:rsidR="00DE6AAA" w:rsidRPr="0078350A">
        <w:rPr>
          <w:lang w:val="fr-FR"/>
        </w:rPr>
        <w:t xml:space="preserve">clé </w:t>
      </w:r>
      <w:r w:rsidRPr="0078350A">
        <w:rPr>
          <w:lang w:val="fr-FR"/>
        </w:rPr>
        <w:t>qui doit être défini</w:t>
      </w:r>
      <w:r w:rsidR="00DE6AAA" w:rsidRPr="0078350A">
        <w:rPr>
          <w:lang w:val="fr-FR"/>
        </w:rPr>
        <w:t xml:space="preserve"> av</w:t>
      </w:r>
      <w:r w:rsidR="002C5607" w:rsidRPr="0078350A">
        <w:rPr>
          <w:lang w:val="fr-FR"/>
        </w:rPr>
        <w:t>ant la collecte de</w:t>
      </w:r>
      <w:r w:rsidR="005C587B" w:rsidRPr="0078350A">
        <w:rPr>
          <w:lang w:val="fr-FR"/>
        </w:rPr>
        <w:t>s</w:t>
      </w:r>
      <w:r w:rsidR="002C5607" w:rsidRPr="0078350A">
        <w:rPr>
          <w:lang w:val="fr-FR"/>
        </w:rPr>
        <w:t xml:space="preserve"> données. L’échantillonnage </w:t>
      </w:r>
      <w:r w:rsidRPr="0078350A">
        <w:rPr>
          <w:lang w:val="fr-FR"/>
        </w:rPr>
        <w:t>permet de déterminer le</w:t>
      </w:r>
      <w:r w:rsidR="00DE6AAA" w:rsidRPr="0078350A">
        <w:rPr>
          <w:lang w:val="fr-FR"/>
        </w:rPr>
        <w:t xml:space="preserve"> nombre d’individus, de magasins, de commerçants, </w:t>
      </w:r>
      <w:r w:rsidRPr="0078350A">
        <w:rPr>
          <w:lang w:val="fr-FR"/>
        </w:rPr>
        <w:t>de</w:t>
      </w:r>
      <w:r w:rsidR="00DE6AAA" w:rsidRPr="0078350A">
        <w:rPr>
          <w:lang w:val="fr-FR"/>
        </w:rPr>
        <w:t xml:space="preserve"> prestataires de services, etc., qui doivent faire l’objet </w:t>
      </w:r>
      <w:r w:rsidR="002C5607" w:rsidRPr="0078350A">
        <w:rPr>
          <w:lang w:val="fr-FR"/>
        </w:rPr>
        <w:t xml:space="preserve">d’un suivi mensuel, et/ou </w:t>
      </w:r>
      <w:r w:rsidRPr="0078350A">
        <w:rPr>
          <w:lang w:val="fr-FR"/>
        </w:rPr>
        <w:t>le</w:t>
      </w:r>
      <w:r w:rsidR="00DE6AAA" w:rsidRPr="0078350A">
        <w:rPr>
          <w:lang w:val="fr-FR"/>
        </w:rPr>
        <w:t xml:space="preserve"> nombre de points de distribution/</w:t>
      </w:r>
      <w:r w:rsidR="002C5607" w:rsidRPr="0078350A">
        <w:rPr>
          <w:lang w:val="fr-FR"/>
        </w:rPr>
        <w:t>d’</w:t>
      </w:r>
      <w:r w:rsidR="00DE6AAA" w:rsidRPr="0078350A">
        <w:rPr>
          <w:lang w:val="fr-FR"/>
        </w:rPr>
        <w:t xml:space="preserve">encaissement </w:t>
      </w:r>
      <w:r w:rsidR="002C5607" w:rsidRPr="0078350A">
        <w:rPr>
          <w:lang w:val="fr-FR"/>
        </w:rPr>
        <w:t>qui doivent</w:t>
      </w:r>
      <w:r w:rsidR="00DE6AAA" w:rsidRPr="0078350A">
        <w:rPr>
          <w:lang w:val="fr-FR"/>
        </w:rPr>
        <w:t xml:space="preserve"> faire l’objet d’une visite </w:t>
      </w:r>
      <w:r w:rsidR="002C5607" w:rsidRPr="0078350A">
        <w:rPr>
          <w:lang w:val="fr-FR"/>
        </w:rPr>
        <w:t xml:space="preserve">mensuelle </w:t>
      </w:r>
      <w:r w:rsidR="00DE6AAA" w:rsidRPr="0078350A">
        <w:rPr>
          <w:lang w:val="fr-FR"/>
        </w:rPr>
        <w:t xml:space="preserve">de suivi. Les outils de cette étape subsidiaire incluent un instrument de calcul des échantillons des enquêtes et de brèves </w:t>
      </w:r>
      <w:r w:rsidR="002C5607" w:rsidRPr="0078350A">
        <w:rPr>
          <w:lang w:val="fr-FR"/>
        </w:rPr>
        <w:t>lignes directrices</w:t>
      </w:r>
      <w:r w:rsidR="00DE6AAA" w:rsidRPr="0078350A">
        <w:rPr>
          <w:lang w:val="fr-FR"/>
        </w:rPr>
        <w:t xml:space="preserve"> </w:t>
      </w:r>
      <w:r w:rsidR="00F335D6" w:rsidRPr="0078350A">
        <w:rPr>
          <w:lang w:val="fr-FR"/>
        </w:rPr>
        <w:t>relatives à l’échantillonnage</w:t>
      </w:r>
      <w:r w:rsidR="00DE6AAA" w:rsidRPr="0078350A">
        <w:rPr>
          <w:lang w:val="fr-FR"/>
        </w:rPr>
        <w:t xml:space="preserve">. Ces outils peuvent vous aider à définir des </w:t>
      </w:r>
      <w:r w:rsidR="00F335D6" w:rsidRPr="0078350A">
        <w:rPr>
          <w:lang w:val="fr-FR"/>
        </w:rPr>
        <w:t>moyens</w:t>
      </w:r>
      <w:r w:rsidR="00DE6AAA" w:rsidRPr="0078350A">
        <w:rPr>
          <w:lang w:val="fr-FR"/>
        </w:rPr>
        <w:t xml:space="preserve"> de vérification concrets.</w:t>
      </w:r>
    </w:p>
    <w:p w:rsidR="00E66A9A" w:rsidRPr="0078350A" w:rsidRDefault="00DE6AAA" w:rsidP="00397132">
      <w:pPr>
        <w:pStyle w:val="Heading3"/>
        <w:rPr>
          <w:lang w:val="fr-FR"/>
        </w:rPr>
      </w:pPr>
      <w:r w:rsidRPr="0078350A">
        <w:rPr>
          <w:lang w:val="fr-FR"/>
        </w:rPr>
        <w:t>Renforcer les capacités du personnel</w:t>
      </w:r>
    </w:p>
    <w:p w:rsidR="00E66A9A" w:rsidRPr="0078350A" w:rsidRDefault="00DE6AAA" w:rsidP="00C01E68">
      <w:pPr>
        <w:spacing w:after="360"/>
        <w:rPr>
          <w:lang w:val="fr-FR"/>
        </w:rPr>
      </w:pPr>
      <w:r w:rsidRPr="0078350A">
        <w:rPr>
          <w:lang w:val="fr-FR"/>
        </w:rPr>
        <w:t xml:space="preserve">La qualité et la fiabilité des résultats et des recommandations </w:t>
      </w:r>
      <w:r w:rsidR="00C01E68" w:rsidRPr="0078350A">
        <w:rPr>
          <w:lang w:val="fr-FR"/>
        </w:rPr>
        <w:t xml:space="preserve">issus </w:t>
      </w:r>
      <w:r w:rsidR="002C5607" w:rsidRPr="0078350A">
        <w:rPr>
          <w:lang w:val="fr-FR"/>
        </w:rPr>
        <w:t>du suivi</w:t>
      </w:r>
      <w:r w:rsidRPr="0078350A">
        <w:rPr>
          <w:lang w:val="fr-FR"/>
        </w:rPr>
        <w:t xml:space="preserve"> dépendront dans une large mesure des capacités de l’équipe charg</w:t>
      </w:r>
      <w:r w:rsidR="00C01E68" w:rsidRPr="0078350A">
        <w:rPr>
          <w:lang w:val="fr-FR"/>
        </w:rPr>
        <w:t>é</w:t>
      </w:r>
      <w:r w:rsidRPr="0078350A">
        <w:rPr>
          <w:lang w:val="fr-FR"/>
        </w:rPr>
        <w:t xml:space="preserve">e du suivi et de l’évaluation. Les volontaires et les employés </w:t>
      </w:r>
      <w:r w:rsidR="002C5607" w:rsidRPr="0078350A">
        <w:rPr>
          <w:lang w:val="fr-FR"/>
        </w:rPr>
        <w:t xml:space="preserve">qui participeront </w:t>
      </w:r>
      <w:r w:rsidRPr="0078350A">
        <w:rPr>
          <w:lang w:val="fr-FR"/>
        </w:rPr>
        <w:t>à la collec</w:t>
      </w:r>
      <w:r w:rsidR="002C5607" w:rsidRPr="0078350A">
        <w:rPr>
          <w:lang w:val="fr-FR"/>
        </w:rPr>
        <w:t>te et à l’analyse des données doive</w:t>
      </w:r>
      <w:r w:rsidRPr="0078350A">
        <w:rPr>
          <w:lang w:val="fr-FR"/>
        </w:rPr>
        <w:t xml:space="preserve">nt donc être formés. </w:t>
      </w:r>
      <w:r w:rsidR="009C053D" w:rsidRPr="0078350A">
        <w:rPr>
          <w:lang w:val="fr-FR"/>
        </w:rPr>
        <w:t xml:space="preserve">Les outils de cette étape subsidiaire comprennent </w:t>
      </w:r>
      <w:r w:rsidR="002C5607" w:rsidRPr="0078350A">
        <w:rPr>
          <w:lang w:val="fr-FR"/>
        </w:rPr>
        <w:t xml:space="preserve">notamment </w:t>
      </w:r>
      <w:r w:rsidR="009C053D" w:rsidRPr="0078350A">
        <w:rPr>
          <w:lang w:val="fr-FR"/>
        </w:rPr>
        <w:t>une présentation</w:t>
      </w:r>
      <w:r w:rsidR="002C5607" w:rsidRPr="0078350A">
        <w:rPr>
          <w:lang w:val="fr-FR"/>
        </w:rPr>
        <w:t xml:space="preserve"> introductive </w:t>
      </w:r>
      <w:r w:rsidR="005C587B" w:rsidRPr="0078350A">
        <w:rPr>
          <w:lang w:val="fr-FR"/>
        </w:rPr>
        <w:t>(</w:t>
      </w:r>
      <w:r w:rsidR="002C5607" w:rsidRPr="0078350A">
        <w:rPr>
          <w:lang w:val="fr-FR"/>
        </w:rPr>
        <w:t>au format</w:t>
      </w:r>
      <w:r w:rsidR="009C053D" w:rsidRPr="0078350A">
        <w:rPr>
          <w:lang w:val="fr-FR"/>
        </w:rPr>
        <w:t xml:space="preserve"> PowerPoint</w:t>
      </w:r>
      <w:r w:rsidR="005C587B" w:rsidRPr="0078350A">
        <w:rPr>
          <w:lang w:val="fr-FR"/>
        </w:rPr>
        <w:t>)</w:t>
      </w:r>
      <w:r w:rsidR="009C053D" w:rsidRPr="0078350A">
        <w:rPr>
          <w:lang w:val="fr-FR"/>
        </w:rPr>
        <w:t xml:space="preserve"> </w:t>
      </w:r>
      <w:r w:rsidR="00C01E68" w:rsidRPr="0078350A">
        <w:rPr>
          <w:lang w:val="fr-FR"/>
        </w:rPr>
        <w:t xml:space="preserve">destinée au personnel technique et aux cadres intermédiaires, </w:t>
      </w:r>
      <w:r w:rsidR="009C053D" w:rsidRPr="0078350A">
        <w:rPr>
          <w:lang w:val="fr-FR"/>
        </w:rPr>
        <w:t xml:space="preserve">incluant des notes à l’intention </w:t>
      </w:r>
      <w:r w:rsidR="002C5607" w:rsidRPr="0078350A">
        <w:rPr>
          <w:lang w:val="fr-FR"/>
        </w:rPr>
        <w:t xml:space="preserve">du </w:t>
      </w:r>
      <w:r w:rsidR="009C053D" w:rsidRPr="0078350A">
        <w:rPr>
          <w:lang w:val="fr-FR"/>
        </w:rPr>
        <w:t xml:space="preserve">facilitateur. Vous trouverez également de brèves </w:t>
      </w:r>
      <w:r w:rsidR="00C01E68" w:rsidRPr="0078350A">
        <w:rPr>
          <w:lang w:val="fr-FR"/>
        </w:rPr>
        <w:t>orientations</w:t>
      </w:r>
      <w:r w:rsidR="002C5607" w:rsidRPr="0078350A">
        <w:rPr>
          <w:lang w:val="fr-FR"/>
        </w:rPr>
        <w:t xml:space="preserve"> sur la </w:t>
      </w:r>
      <w:r w:rsidR="00C01E68" w:rsidRPr="0078350A">
        <w:rPr>
          <w:lang w:val="fr-FR"/>
        </w:rPr>
        <w:t>conduite des</w:t>
      </w:r>
      <w:r w:rsidR="002C5607" w:rsidRPr="0078350A">
        <w:rPr>
          <w:lang w:val="fr-FR"/>
        </w:rPr>
        <w:t xml:space="preserve"> discussions de groupe et </w:t>
      </w:r>
      <w:r w:rsidR="00C01E68" w:rsidRPr="0078350A">
        <w:rPr>
          <w:lang w:val="fr-FR"/>
        </w:rPr>
        <w:t>d</w:t>
      </w:r>
      <w:r w:rsidR="009C053D" w:rsidRPr="0078350A">
        <w:rPr>
          <w:lang w:val="fr-FR"/>
        </w:rPr>
        <w:t>es entretiens.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97132" w:rsidRPr="0078350A" w:rsidTr="00397132">
        <w:tc>
          <w:tcPr>
            <w:tcW w:w="9848" w:type="dxa"/>
          </w:tcPr>
          <w:p w:rsidR="00397132" w:rsidRPr="0078350A" w:rsidRDefault="002E220F" w:rsidP="00397132">
            <w:pPr>
              <w:pStyle w:val="RefTitre"/>
              <w:rPr>
                <w:lang w:val="fr-FR"/>
              </w:rPr>
            </w:pPr>
            <w:r w:rsidRPr="0078350A">
              <w:rPr>
                <w:lang w:val="fr-FR"/>
              </w:rPr>
              <w:t>OUTILS DE RÉFÉRENCE</w:t>
            </w:r>
          </w:p>
          <w:p w:rsidR="00397132" w:rsidRPr="0078350A" w:rsidRDefault="00C01E68" w:rsidP="00397132">
            <w:pPr>
              <w:pStyle w:val="RefItem1"/>
              <w:rPr>
                <w:lang w:val="fr-FR"/>
              </w:rPr>
            </w:pPr>
            <w:r w:rsidRPr="0078350A">
              <w:rPr>
                <w:i/>
                <w:iCs/>
                <w:lang w:val="fr-FR"/>
              </w:rPr>
              <w:t>Measuring results</w:t>
            </w:r>
            <w:r w:rsidR="009D207B" w:rsidRPr="0078350A">
              <w:rPr>
                <w:lang w:val="fr-FR"/>
              </w:rPr>
              <w:t>, CICR,</w:t>
            </w:r>
            <w:r w:rsidR="00397132" w:rsidRPr="0078350A">
              <w:rPr>
                <w:lang w:val="fr-FR"/>
              </w:rPr>
              <w:t xml:space="preserve"> 2009</w:t>
            </w:r>
            <w:r w:rsidR="009D207B" w:rsidRPr="0078350A">
              <w:rPr>
                <w:lang w:val="fr-FR"/>
              </w:rPr>
              <w:t xml:space="preserve"> (en anglais) : </w:t>
            </w:r>
            <w:hyperlink r:id="rId8" w:history="1">
              <w:r w:rsidR="009D207B" w:rsidRPr="0078350A">
                <w:rPr>
                  <w:rStyle w:val="Hyperlink"/>
                  <w:lang w:val="fr-FR"/>
                </w:rPr>
                <w:t>https://www.icrc.org/eng/resources/documents/publication/p0995.htm</w:t>
              </w:r>
            </w:hyperlink>
            <w:r w:rsidR="009D207B" w:rsidRPr="0078350A">
              <w:rPr>
                <w:lang w:val="fr-FR"/>
              </w:rPr>
              <w:t xml:space="preserve"> </w:t>
            </w:r>
          </w:p>
          <w:p w:rsidR="00397132" w:rsidRPr="004F7446" w:rsidRDefault="0013627C" w:rsidP="00C01E68">
            <w:pPr>
              <w:pStyle w:val="RefItem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Non-food item</w:t>
            </w:r>
            <w:bookmarkStart w:id="0" w:name="_GoBack"/>
            <w:bookmarkEnd w:id="0"/>
            <w:r w:rsidR="00C01E68" w:rsidRPr="004F7446">
              <w:rPr>
                <w:i/>
                <w:iCs/>
                <w:lang w:val="en-GB"/>
              </w:rPr>
              <w:t>s and emergency shelter cluster guidelines on post-distribution monitoring</w:t>
            </w:r>
            <w:r w:rsidR="009D207B" w:rsidRPr="004F7446">
              <w:rPr>
                <w:lang w:val="en-GB"/>
              </w:rPr>
              <w:t>, OIM, 2012 (</w:t>
            </w:r>
            <w:proofErr w:type="spellStart"/>
            <w:r w:rsidR="009D207B" w:rsidRPr="004F7446">
              <w:rPr>
                <w:lang w:val="en-GB"/>
              </w:rPr>
              <w:t>en</w:t>
            </w:r>
            <w:proofErr w:type="spellEnd"/>
            <w:r w:rsidR="009D207B" w:rsidRPr="004F7446">
              <w:rPr>
                <w:lang w:val="en-GB"/>
              </w:rPr>
              <w:t xml:space="preserve"> </w:t>
            </w:r>
            <w:proofErr w:type="spellStart"/>
            <w:r w:rsidR="009D207B" w:rsidRPr="004F7446">
              <w:rPr>
                <w:lang w:val="en-GB"/>
              </w:rPr>
              <w:t>anglais</w:t>
            </w:r>
            <w:proofErr w:type="spellEnd"/>
            <w:r w:rsidR="009D207B" w:rsidRPr="004F7446">
              <w:rPr>
                <w:lang w:val="en-GB"/>
              </w:rPr>
              <w:t xml:space="preserve">) : </w:t>
            </w:r>
            <w:hyperlink r:id="rId9" w:history="1">
              <w:r w:rsidR="009D207B" w:rsidRPr="004F7446">
                <w:rPr>
                  <w:rStyle w:val="Hyperlink"/>
                  <w:lang w:val="en-GB"/>
                </w:rPr>
                <w:t>http://www.foodsecurity.nrc-handbooks.org/assets/NFI_ES_cluster_PDM_guidelines_July_2012-copy.pdf</w:t>
              </w:r>
            </w:hyperlink>
            <w:r w:rsidR="009D207B" w:rsidRPr="004F7446">
              <w:rPr>
                <w:lang w:val="en-GB"/>
              </w:rPr>
              <w:t xml:space="preserve"> </w:t>
            </w:r>
          </w:p>
        </w:tc>
      </w:tr>
    </w:tbl>
    <w:p w:rsidR="00B23B74" w:rsidRPr="004F7446" w:rsidRDefault="00B23B74" w:rsidP="00397132">
      <w:pPr>
        <w:rPr>
          <w:sz w:val="22"/>
          <w:lang w:val="en-GB"/>
        </w:rPr>
      </w:pPr>
    </w:p>
    <w:sectPr w:rsidR="00B23B74" w:rsidRPr="004F7446" w:rsidSect="009F7A36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F2" w:rsidRDefault="003750F2">
      <w:r>
        <w:separator/>
      </w:r>
    </w:p>
  </w:endnote>
  <w:endnote w:type="continuationSeparator" w:id="0">
    <w:p w:rsidR="003750F2" w:rsidRDefault="0037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58" w:rsidRPr="00B45C74" w:rsidRDefault="00977B3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44658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13627C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44658" w:rsidRPr="002E220F" w:rsidRDefault="00044658" w:rsidP="00ED1B2B">
    <w:pPr>
      <w:pStyle w:val="Footer"/>
      <w:rPr>
        <w:lang w:val="fr-FR"/>
      </w:rPr>
    </w:pPr>
    <w:r w:rsidRPr="002E220F">
      <w:rPr>
        <w:b/>
        <w:lang w:val="fr-FR"/>
      </w:rPr>
      <w:t>Module 1.</w:t>
    </w:r>
    <w:r w:rsidRPr="002E220F">
      <w:rPr>
        <w:lang w:val="fr-FR"/>
      </w:rPr>
      <w:t xml:space="preserve"> </w:t>
    </w:r>
    <w:r w:rsidR="002E220F" w:rsidRPr="002E220F">
      <w:rPr>
        <w:lang w:val="fr-FR"/>
      </w:rPr>
      <w:t>Étape</w:t>
    </w:r>
    <w:r w:rsidRPr="002E220F">
      <w:rPr>
        <w:lang w:val="fr-FR"/>
      </w:rPr>
      <w:t xml:space="preserve"> 2. </w:t>
    </w:r>
    <w:r w:rsidR="002E220F" w:rsidRPr="002E220F">
      <w:rPr>
        <w:lang w:val="fr-FR"/>
      </w:rPr>
      <w:t>Étape subsidiaire</w:t>
    </w:r>
    <w:r w:rsidRPr="002E220F">
      <w:rPr>
        <w:lang w:val="fr-FR"/>
      </w:rPr>
      <w:t xml:space="preserve"> 8.</w:t>
    </w:r>
    <w:r w:rsidR="002E220F" w:rsidRPr="002E220F">
      <w:rPr>
        <w:lang w:val="fr-FR"/>
      </w:rPr>
      <w:t xml:space="preserve"> Feuille de route pour la planifica</w:t>
    </w:r>
    <w:r w:rsidR="002E220F">
      <w:rPr>
        <w:lang w:val="fr-FR"/>
      </w:rPr>
      <w:t>tion du suivi et de l’évaluation des PTM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F2" w:rsidRDefault="003750F2">
      <w:r>
        <w:separator/>
      </w:r>
    </w:p>
  </w:footnote>
  <w:footnote w:type="continuationSeparator" w:id="0">
    <w:p w:rsidR="003750F2" w:rsidRDefault="0037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58" w:rsidRPr="002E220F" w:rsidRDefault="002E220F" w:rsidP="00843494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044658" w:rsidRPr="002E220F">
      <w:rPr>
        <w:rFonts w:cs="Caecilia-Light"/>
        <w:color w:val="FF0000"/>
        <w:sz w:val="14"/>
        <w:szCs w:val="14"/>
        <w:lang w:val="fr-FR"/>
      </w:rPr>
      <w:t xml:space="preserve"> </w:t>
    </w:r>
    <w:r w:rsidR="00044658" w:rsidRPr="002E220F">
      <w:rPr>
        <w:rStyle w:val="PageNumber"/>
        <w:bCs/>
        <w:sz w:val="14"/>
        <w:szCs w:val="14"/>
        <w:lang w:val="fr-FR"/>
      </w:rPr>
      <w:t>I</w:t>
    </w:r>
    <w:r w:rsidR="00044658" w:rsidRPr="002E220F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843494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37"/>
  </w:num>
  <w:num w:numId="5">
    <w:abstractNumId w:val="11"/>
  </w:num>
  <w:num w:numId="6">
    <w:abstractNumId w:val="25"/>
  </w:num>
  <w:num w:numId="7">
    <w:abstractNumId w:val="34"/>
  </w:num>
  <w:num w:numId="8">
    <w:abstractNumId w:val="15"/>
  </w:num>
  <w:num w:numId="9">
    <w:abstractNumId w:val="28"/>
  </w:num>
  <w:num w:numId="10">
    <w:abstractNumId w:val="43"/>
  </w:num>
  <w:num w:numId="11">
    <w:abstractNumId w:val="26"/>
  </w:num>
  <w:num w:numId="12">
    <w:abstractNumId w:val="32"/>
  </w:num>
  <w:num w:numId="13">
    <w:abstractNumId w:val="21"/>
  </w:num>
  <w:num w:numId="14">
    <w:abstractNumId w:val="45"/>
  </w:num>
  <w:num w:numId="15">
    <w:abstractNumId w:val="35"/>
  </w:num>
  <w:num w:numId="16">
    <w:abstractNumId w:val="36"/>
  </w:num>
  <w:num w:numId="17">
    <w:abstractNumId w:val="40"/>
  </w:num>
  <w:num w:numId="18">
    <w:abstractNumId w:val="42"/>
  </w:num>
  <w:num w:numId="19">
    <w:abstractNumId w:val="41"/>
  </w:num>
  <w:num w:numId="20">
    <w:abstractNumId w:val="14"/>
  </w:num>
  <w:num w:numId="21">
    <w:abstractNumId w:val="13"/>
  </w:num>
  <w:num w:numId="22">
    <w:abstractNumId w:val="44"/>
  </w:num>
  <w:num w:numId="23">
    <w:abstractNumId w:val="31"/>
  </w:num>
  <w:num w:numId="24">
    <w:abstractNumId w:val="22"/>
  </w:num>
  <w:num w:numId="25">
    <w:abstractNumId w:val="16"/>
  </w:num>
  <w:num w:numId="26">
    <w:abstractNumId w:val="23"/>
  </w:num>
  <w:num w:numId="27">
    <w:abstractNumId w:val="29"/>
  </w:num>
  <w:num w:numId="28">
    <w:abstractNumId w:val="18"/>
  </w:num>
  <w:num w:numId="29">
    <w:abstractNumId w:val="24"/>
  </w:num>
  <w:num w:numId="30">
    <w:abstractNumId w:val="46"/>
  </w:num>
  <w:num w:numId="31">
    <w:abstractNumId w:val="10"/>
  </w:num>
  <w:num w:numId="32">
    <w:abstractNumId w:val="30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7"/>
  </w:num>
  <w:num w:numId="45">
    <w:abstractNumId w:val="17"/>
  </w:num>
  <w:num w:numId="46">
    <w:abstractNumId w:val="33"/>
  </w:num>
  <w:num w:numId="47">
    <w:abstractNumId w:val="19"/>
  </w:num>
  <w:num w:numId="48">
    <w:abstractNumId w:val="37"/>
  </w:num>
  <w:num w:numId="49">
    <w:abstractNumId w:val="39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F7F"/>
    <w:rsid w:val="00021B5F"/>
    <w:rsid w:val="00044658"/>
    <w:rsid w:val="0013627C"/>
    <w:rsid w:val="00136C29"/>
    <w:rsid w:val="001603B0"/>
    <w:rsid w:val="00174519"/>
    <w:rsid w:val="00197804"/>
    <w:rsid w:val="0025503B"/>
    <w:rsid w:val="00273676"/>
    <w:rsid w:val="00283AEC"/>
    <w:rsid w:val="00293842"/>
    <w:rsid w:val="002B1145"/>
    <w:rsid w:val="002C223B"/>
    <w:rsid w:val="002C5607"/>
    <w:rsid w:val="002E0557"/>
    <w:rsid w:val="002E0BCA"/>
    <w:rsid w:val="002E220F"/>
    <w:rsid w:val="00310F7F"/>
    <w:rsid w:val="003121BE"/>
    <w:rsid w:val="00345330"/>
    <w:rsid w:val="00347A55"/>
    <w:rsid w:val="00361570"/>
    <w:rsid w:val="003750F2"/>
    <w:rsid w:val="00397132"/>
    <w:rsid w:val="003A4129"/>
    <w:rsid w:val="003A73B2"/>
    <w:rsid w:val="00446C78"/>
    <w:rsid w:val="004652A5"/>
    <w:rsid w:val="004E02EF"/>
    <w:rsid w:val="004F0B0C"/>
    <w:rsid w:val="004F2AC8"/>
    <w:rsid w:val="004F5983"/>
    <w:rsid w:val="004F7446"/>
    <w:rsid w:val="005620EB"/>
    <w:rsid w:val="005C587B"/>
    <w:rsid w:val="006255D4"/>
    <w:rsid w:val="006E099E"/>
    <w:rsid w:val="006E73ED"/>
    <w:rsid w:val="0074567B"/>
    <w:rsid w:val="00780F1F"/>
    <w:rsid w:val="0078350A"/>
    <w:rsid w:val="007841D1"/>
    <w:rsid w:val="007B6F4F"/>
    <w:rsid w:val="007E0454"/>
    <w:rsid w:val="00806C0B"/>
    <w:rsid w:val="00843494"/>
    <w:rsid w:val="008517A1"/>
    <w:rsid w:val="00865F32"/>
    <w:rsid w:val="008C2EFE"/>
    <w:rsid w:val="008C74B3"/>
    <w:rsid w:val="00901BDF"/>
    <w:rsid w:val="00912E30"/>
    <w:rsid w:val="00975F80"/>
    <w:rsid w:val="00977B39"/>
    <w:rsid w:val="009C053D"/>
    <w:rsid w:val="009D207B"/>
    <w:rsid w:val="009D600D"/>
    <w:rsid w:val="009E4609"/>
    <w:rsid w:val="009F29DF"/>
    <w:rsid w:val="009F7A36"/>
    <w:rsid w:val="00A22FB8"/>
    <w:rsid w:val="00A3431A"/>
    <w:rsid w:val="00A43F4E"/>
    <w:rsid w:val="00A66EE4"/>
    <w:rsid w:val="00A7225D"/>
    <w:rsid w:val="00A9221E"/>
    <w:rsid w:val="00A942B0"/>
    <w:rsid w:val="00B00B1E"/>
    <w:rsid w:val="00B23B74"/>
    <w:rsid w:val="00B30398"/>
    <w:rsid w:val="00B43B9E"/>
    <w:rsid w:val="00BA14DB"/>
    <w:rsid w:val="00C01E68"/>
    <w:rsid w:val="00C6084E"/>
    <w:rsid w:val="00C9455F"/>
    <w:rsid w:val="00CC55CC"/>
    <w:rsid w:val="00D90668"/>
    <w:rsid w:val="00DE6AAA"/>
    <w:rsid w:val="00DF3372"/>
    <w:rsid w:val="00E5591C"/>
    <w:rsid w:val="00E66A9A"/>
    <w:rsid w:val="00EA114F"/>
    <w:rsid w:val="00EA715A"/>
    <w:rsid w:val="00EE263E"/>
    <w:rsid w:val="00F335D6"/>
    <w:rsid w:val="00F67C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E5591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5591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9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9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59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E5591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591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91C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5591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591C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E559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591C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91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5591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5591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591C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E559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5591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5591C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591C"/>
    <w:rPr>
      <w:rFonts w:ascii="Arial" w:eastAsiaTheme="minorEastAsia" w:hAnsi="Arial" w:cs="Times New Roman"/>
      <w:b/>
      <w:sz w:val="22"/>
    </w:rPr>
  </w:style>
  <w:style w:type="character" w:styleId="CommentReference">
    <w:name w:val="annotation reference"/>
    <w:basedOn w:val="DefaultParagraphFont"/>
    <w:uiPriority w:val="99"/>
    <w:unhideWhenUsed/>
    <w:rsid w:val="00E5591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7A36"/>
  </w:style>
  <w:style w:type="character" w:customStyle="1" w:styleId="CommentTextChar">
    <w:name w:val="Comment Text Char"/>
    <w:basedOn w:val="DefaultParagraphFont"/>
    <w:link w:val="CommentText"/>
    <w:rsid w:val="009F7A36"/>
    <w:rPr>
      <w:rFonts w:ascii="Arial" w:eastAsiaTheme="minorEastAsia" w:hAnsi="Arial" w:cs="Arial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unhideWhenUsed/>
    <w:rsid w:val="00E5591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E5591C"/>
    <w:rPr>
      <w:rFonts w:ascii="Arial" w:eastAsiaTheme="minorEastAsia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E5591C"/>
    <w:rPr>
      <w:b/>
    </w:rPr>
  </w:style>
  <w:style w:type="character" w:styleId="Hyperlink">
    <w:name w:val="Hyperlink"/>
    <w:basedOn w:val="DefaultParagraphFont"/>
    <w:uiPriority w:val="99"/>
    <w:unhideWhenUsed/>
    <w:rsid w:val="00E559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5591C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E5591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559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559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E5591C"/>
    <w:pPr>
      <w:numPr>
        <w:numId w:val="3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559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559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5591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5591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5591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5591C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5591C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5591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5591C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5591C"/>
    <w:pPr>
      <w:numPr>
        <w:numId w:val="4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5591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559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5591C"/>
    <w:pPr>
      <w:keepNext/>
      <w:keepLines/>
      <w:framePr w:hSpace="141" w:wrap="around" w:vAnchor="text" w:hAnchor="margin" w:y="402"/>
      <w:numPr>
        <w:numId w:val="50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E5591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5591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9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9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59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E5591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591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91C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5591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591C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E559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591C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91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5591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5591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591C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E559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5591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5591C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591C"/>
    <w:rPr>
      <w:rFonts w:ascii="Arial" w:eastAsiaTheme="minorEastAsia" w:hAnsi="Arial" w:cs="Times New Roman"/>
      <w:b/>
      <w:sz w:val="22"/>
    </w:rPr>
  </w:style>
  <w:style w:type="character" w:styleId="CommentReference">
    <w:name w:val="annotation reference"/>
    <w:basedOn w:val="DefaultParagraphFont"/>
    <w:uiPriority w:val="99"/>
    <w:unhideWhenUsed/>
    <w:rsid w:val="00E5591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7A36"/>
  </w:style>
  <w:style w:type="character" w:customStyle="1" w:styleId="CommentTextChar">
    <w:name w:val="Comment Text Char"/>
    <w:basedOn w:val="DefaultParagraphFont"/>
    <w:link w:val="CommentText"/>
    <w:rsid w:val="009F7A36"/>
    <w:rPr>
      <w:rFonts w:ascii="Arial" w:eastAsiaTheme="minorEastAsia" w:hAnsi="Arial" w:cs="Arial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unhideWhenUsed/>
    <w:rsid w:val="00E5591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E5591C"/>
    <w:rPr>
      <w:rFonts w:ascii="Arial" w:eastAsiaTheme="minorEastAsia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E5591C"/>
    <w:rPr>
      <w:b/>
    </w:rPr>
  </w:style>
  <w:style w:type="character" w:styleId="Hyperlink">
    <w:name w:val="Hyperlink"/>
    <w:basedOn w:val="DefaultParagraphFont"/>
    <w:uiPriority w:val="99"/>
    <w:unhideWhenUsed/>
    <w:rsid w:val="00E559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5591C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E5591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559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559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E5591C"/>
    <w:pPr>
      <w:numPr>
        <w:numId w:val="3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559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559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5591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5591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5591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5591C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5591C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5591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5591C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5591C"/>
    <w:pPr>
      <w:numPr>
        <w:numId w:val="4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5591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559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5591C"/>
    <w:pPr>
      <w:keepNext/>
      <w:keepLines/>
      <w:framePr w:hSpace="141" w:wrap="around" w:vAnchor="text" w:hAnchor="margin" w:y="402"/>
      <w:numPr>
        <w:numId w:val="5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c.org/eng/resources/documents/publication/p0995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odsecurity.nrc-handbooks.org/assets/NFI_ES_cluster_PDM_guidelines_July_2012-cop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288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Independent Consultant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Florence MAROT</cp:lastModifiedBy>
  <cp:revision>34</cp:revision>
  <cp:lastPrinted>2015-09-08T22:38:00Z</cp:lastPrinted>
  <dcterms:created xsi:type="dcterms:W3CDTF">2015-08-05T10:53:00Z</dcterms:created>
  <dcterms:modified xsi:type="dcterms:W3CDTF">2016-03-23T13:53:00Z</dcterms:modified>
</cp:coreProperties>
</file>