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83" w:rsidRPr="006B53A5" w:rsidRDefault="00AD69EC" w:rsidP="0013517C">
      <w:pPr>
        <w:pStyle w:val="H1"/>
        <w:rPr>
          <w:lang w:val="fr-FR"/>
        </w:rPr>
      </w:pPr>
      <w:r w:rsidRPr="006B53A5">
        <w:rPr>
          <w:lang w:val="fr-FR"/>
        </w:rPr>
        <w:t>Programmes de transferts monétaires (PTM)</w:t>
      </w:r>
    </w:p>
    <w:p w:rsidR="000701C4" w:rsidRPr="006B53A5" w:rsidRDefault="00F43F3F" w:rsidP="00F43F3F">
      <w:pPr>
        <w:pStyle w:val="Heading2"/>
        <w:rPr>
          <w:lang w:val="fr-FR"/>
        </w:rPr>
      </w:pPr>
      <w:r w:rsidRPr="006B53A5">
        <w:rPr>
          <w:lang w:val="fr-FR"/>
        </w:rPr>
        <w:t xml:space="preserve">Questions </w:t>
      </w:r>
      <w:r w:rsidR="00AD69EC" w:rsidRPr="006B53A5">
        <w:rPr>
          <w:lang w:val="fr-FR"/>
        </w:rPr>
        <w:t>frÉquemment posÉes</w:t>
      </w:r>
    </w:p>
    <w:p w:rsidR="000F5883" w:rsidRPr="006B53A5" w:rsidRDefault="00E55F74" w:rsidP="00F43F3F">
      <w:pPr>
        <w:pStyle w:val="ListParagraph"/>
        <w:numPr>
          <w:ilvl w:val="0"/>
          <w:numId w:val="1"/>
        </w:numPr>
        <w:spacing w:after="0"/>
        <w:ind w:left="284" w:hanging="284"/>
        <w:rPr>
          <w:rFonts w:cs="Arial"/>
          <w:b/>
          <w:lang w:val="fr-FR"/>
        </w:rPr>
      </w:pPr>
      <w:r w:rsidRPr="006B53A5">
        <w:rPr>
          <w:rFonts w:cs="Arial"/>
          <w:b/>
          <w:lang w:val="fr-FR"/>
        </w:rPr>
        <w:t>En quoi consistent</w:t>
      </w:r>
      <w:r w:rsidR="00AD69EC" w:rsidRPr="006B53A5">
        <w:rPr>
          <w:rFonts w:cs="Arial"/>
          <w:b/>
          <w:lang w:val="fr-FR"/>
        </w:rPr>
        <w:t xml:space="preserve"> les </w:t>
      </w:r>
      <w:r w:rsidR="00F43F3F" w:rsidRPr="006B53A5">
        <w:rPr>
          <w:rFonts w:cs="Arial"/>
          <w:b/>
          <w:lang w:val="fr-FR"/>
        </w:rPr>
        <w:t>PTM</w:t>
      </w:r>
      <w:r w:rsidR="00AD69EC" w:rsidRPr="006B53A5">
        <w:rPr>
          <w:rFonts w:cs="Arial"/>
          <w:b/>
          <w:lang w:val="fr-FR"/>
        </w:rPr>
        <w:t> ?</w:t>
      </w:r>
    </w:p>
    <w:p w:rsidR="00AD69EC" w:rsidRPr="006B53A5" w:rsidRDefault="00AD69EC" w:rsidP="00A57F42">
      <w:pPr>
        <w:spacing w:before="240"/>
        <w:ind w:left="284"/>
        <w:rPr>
          <w:lang w:val="fr-FR"/>
        </w:rPr>
      </w:pPr>
      <w:r w:rsidRPr="006B53A5">
        <w:rPr>
          <w:lang w:val="fr-FR"/>
        </w:rPr>
        <w:t xml:space="preserve">Les </w:t>
      </w:r>
      <w:r w:rsidR="00F43F3F" w:rsidRPr="006B53A5">
        <w:rPr>
          <w:lang w:val="fr-FR"/>
        </w:rPr>
        <w:t>PTM</w:t>
      </w:r>
      <w:r w:rsidRPr="006B53A5">
        <w:rPr>
          <w:lang w:val="fr-FR"/>
        </w:rPr>
        <w:t xml:space="preserve"> </w:t>
      </w:r>
      <w:r w:rsidR="00F43F3F" w:rsidRPr="006B53A5">
        <w:rPr>
          <w:lang w:val="fr-FR"/>
        </w:rPr>
        <w:t>englobent</w:t>
      </w:r>
      <w:r w:rsidR="00657D53" w:rsidRPr="006B53A5">
        <w:rPr>
          <w:lang w:val="fr-FR"/>
        </w:rPr>
        <w:t xml:space="preserve"> toutes les formes d’aide </w:t>
      </w:r>
      <w:r w:rsidR="00F43F3F" w:rsidRPr="006B53A5">
        <w:rPr>
          <w:lang w:val="fr-FR"/>
        </w:rPr>
        <w:t xml:space="preserve">prévoyant </w:t>
      </w:r>
      <w:r w:rsidR="00657D53" w:rsidRPr="006B53A5">
        <w:rPr>
          <w:lang w:val="fr-FR"/>
        </w:rPr>
        <w:t xml:space="preserve">la distribution d’espèces ou de bons. Ils constituent </w:t>
      </w:r>
      <w:r w:rsidR="00657D53" w:rsidRPr="006B53A5">
        <w:rPr>
          <w:b/>
          <w:lang w:val="fr-FR"/>
        </w:rPr>
        <w:t>l’une des solutions d’intervention possibles pour soutenir les populations touchées par une crise humanitaire</w:t>
      </w:r>
      <w:r w:rsidR="00E55F74" w:rsidRPr="006B53A5">
        <w:rPr>
          <w:lang w:val="fr-FR"/>
        </w:rPr>
        <w:t>. Le</w:t>
      </w:r>
      <w:r w:rsidR="00657D53" w:rsidRPr="006B53A5">
        <w:rPr>
          <w:lang w:val="fr-FR"/>
        </w:rPr>
        <w:t xml:space="preserve"> recours à ces programmes dépend du contexte opérationnel. </w:t>
      </w:r>
      <w:r w:rsidR="00E55F74" w:rsidRPr="006B53A5">
        <w:rPr>
          <w:lang w:val="fr-FR"/>
        </w:rPr>
        <w:t>La mise en place de</w:t>
      </w:r>
      <w:r w:rsidR="00657D53" w:rsidRPr="006B53A5">
        <w:rPr>
          <w:lang w:val="fr-FR"/>
        </w:rPr>
        <w:t xml:space="preserve"> </w:t>
      </w:r>
      <w:r w:rsidR="00F43F3F" w:rsidRPr="006B53A5">
        <w:rPr>
          <w:lang w:val="fr-FR"/>
        </w:rPr>
        <w:t>PTM</w:t>
      </w:r>
      <w:r w:rsidR="00657D53" w:rsidRPr="006B53A5">
        <w:rPr>
          <w:lang w:val="fr-FR"/>
        </w:rPr>
        <w:t xml:space="preserve"> a</w:t>
      </w:r>
      <w:r w:rsidR="00E55F74" w:rsidRPr="006B53A5">
        <w:rPr>
          <w:lang w:val="fr-FR"/>
        </w:rPr>
        <w:t xml:space="preserve">daptés </w:t>
      </w:r>
      <w:r w:rsidR="00F249B9" w:rsidRPr="006B53A5">
        <w:rPr>
          <w:lang w:val="fr-FR"/>
        </w:rPr>
        <w:t xml:space="preserve">peut être une alternative ou un complément à </w:t>
      </w:r>
      <w:r w:rsidR="00F43F3F" w:rsidRPr="006B53A5">
        <w:rPr>
          <w:lang w:val="fr-FR"/>
        </w:rPr>
        <w:t>l’assistance</w:t>
      </w:r>
      <w:r w:rsidR="00657D53" w:rsidRPr="006B53A5">
        <w:rPr>
          <w:lang w:val="fr-FR"/>
        </w:rPr>
        <w:t xml:space="preserve"> en nature</w:t>
      </w:r>
      <w:r w:rsidR="0085798F" w:rsidRPr="006B53A5">
        <w:rPr>
          <w:lang w:val="fr-FR"/>
        </w:rPr>
        <w:t xml:space="preserve">. Il ne s’agit pas d’un </w:t>
      </w:r>
      <w:r w:rsidR="009762A8" w:rsidRPr="006B53A5">
        <w:rPr>
          <w:lang w:val="fr-FR"/>
        </w:rPr>
        <w:t>domaine d’activité</w:t>
      </w:r>
      <w:r w:rsidR="0085798F" w:rsidRPr="006B53A5">
        <w:rPr>
          <w:lang w:val="fr-FR"/>
        </w:rPr>
        <w:t xml:space="preserve"> à part entière</w:t>
      </w:r>
      <w:r w:rsidR="00A57F42" w:rsidRPr="006B53A5">
        <w:rPr>
          <w:lang w:val="fr-FR"/>
        </w:rPr>
        <w:t>, mais plutôt</w:t>
      </w:r>
      <w:r w:rsidR="00E55F74" w:rsidRPr="006B53A5">
        <w:rPr>
          <w:lang w:val="fr-FR"/>
        </w:rPr>
        <w:t xml:space="preserve"> d’outil</w:t>
      </w:r>
      <w:r w:rsidR="00657D53" w:rsidRPr="006B53A5">
        <w:rPr>
          <w:lang w:val="fr-FR"/>
        </w:rPr>
        <w:t xml:space="preserve">s </w:t>
      </w:r>
      <w:r w:rsidR="00E55F74" w:rsidRPr="006B53A5">
        <w:rPr>
          <w:lang w:val="fr-FR"/>
        </w:rPr>
        <w:t>pouvant</w:t>
      </w:r>
      <w:r w:rsidR="00657D53" w:rsidRPr="006B53A5">
        <w:rPr>
          <w:lang w:val="fr-FR"/>
        </w:rPr>
        <w:t xml:space="preserve"> </w:t>
      </w:r>
      <w:r w:rsidR="00D4329A" w:rsidRPr="006B53A5">
        <w:rPr>
          <w:lang w:val="fr-FR"/>
        </w:rPr>
        <w:t xml:space="preserve">être utilisés pour atteindre des objectifs spécifiques dans des contextes et des </w:t>
      </w:r>
      <w:r w:rsidR="009762A8" w:rsidRPr="006B53A5">
        <w:rPr>
          <w:lang w:val="fr-FR"/>
        </w:rPr>
        <w:t>domaines d’activité</w:t>
      </w:r>
      <w:r w:rsidR="00E55F74" w:rsidRPr="006B53A5">
        <w:rPr>
          <w:lang w:val="fr-FR"/>
        </w:rPr>
        <w:t xml:space="preserve"> donnés.</w:t>
      </w:r>
    </w:p>
    <w:p w:rsidR="000F5883" w:rsidRPr="006B53A5" w:rsidRDefault="00D4329A" w:rsidP="00635CE5">
      <w:pPr>
        <w:spacing w:before="240"/>
        <w:ind w:left="284"/>
        <w:rPr>
          <w:lang w:val="fr-FR"/>
        </w:rPr>
      </w:pPr>
      <w:r w:rsidRPr="006B53A5">
        <w:rPr>
          <w:lang w:val="fr-FR"/>
        </w:rPr>
        <w:t xml:space="preserve">Les </w:t>
      </w:r>
      <w:r w:rsidR="009762A8" w:rsidRPr="006B53A5">
        <w:rPr>
          <w:lang w:val="fr-FR"/>
        </w:rPr>
        <w:t>PTM</w:t>
      </w:r>
      <w:r w:rsidRPr="006B53A5">
        <w:rPr>
          <w:lang w:val="fr-FR"/>
        </w:rPr>
        <w:t xml:space="preserve"> </w:t>
      </w:r>
      <w:r w:rsidR="009762A8" w:rsidRPr="006B53A5">
        <w:rPr>
          <w:lang w:val="fr-FR"/>
        </w:rPr>
        <w:t>sont</w:t>
      </w:r>
      <w:r w:rsidRPr="006B53A5">
        <w:rPr>
          <w:lang w:val="fr-FR"/>
        </w:rPr>
        <w:t xml:space="preserve"> </w:t>
      </w:r>
      <w:r w:rsidR="00E55F74" w:rsidRPr="006B53A5">
        <w:rPr>
          <w:lang w:val="fr-FR"/>
        </w:rPr>
        <w:t xml:space="preserve">un moyen efficace et flexible </w:t>
      </w:r>
      <w:r w:rsidR="009762A8" w:rsidRPr="006B53A5">
        <w:rPr>
          <w:lang w:val="fr-FR"/>
        </w:rPr>
        <w:t>de</w:t>
      </w:r>
      <w:r w:rsidRPr="006B53A5">
        <w:rPr>
          <w:lang w:val="fr-FR"/>
        </w:rPr>
        <w:t xml:space="preserve"> sauver des vies, protéger les moyens de subsistance et renforcer le relèvement </w:t>
      </w:r>
      <w:r w:rsidR="009762A8" w:rsidRPr="006B53A5">
        <w:rPr>
          <w:lang w:val="fr-FR"/>
        </w:rPr>
        <w:t xml:space="preserve">après </w:t>
      </w:r>
      <w:r w:rsidRPr="006B53A5">
        <w:rPr>
          <w:lang w:val="fr-FR"/>
        </w:rPr>
        <w:t xml:space="preserve">une catastrophe. </w:t>
      </w:r>
      <w:r w:rsidR="009762A8" w:rsidRPr="006B53A5">
        <w:rPr>
          <w:lang w:val="fr-FR"/>
        </w:rPr>
        <w:t>N</w:t>
      </w:r>
      <w:r w:rsidRPr="006B53A5">
        <w:rPr>
          <w:lang w:val="fr-FR"/>
        </w:rPr>
        <w:t xml:space="preserve">on seulement </w:t>
      </w:r>
      <w:r w:rsidR="009762A8" w:rsidRPr="006B53A5">
        <w:rPr>
          <w:lang w:val="fr-FR"/>
        </w:rPr>
        <w:t xml:space="preserve">ils </w:t>
      </w:r>
      <w:r w:rsidR="009762A8" w:rsidRPr="006B53A5">
        <w:rPr>
          <w:b/>
          <w:lang w:val="fr-FR"/>
        </w:rPr>
        <w:t>favorisent</w:t>
      </w:r>
      <w:r w:rsidRPr="006B53A5">
        <w:rPr>
          <w:b/>
          <w:lang w:val="fr-FR"/>
        </w:rPr>
        <w:t xml:space="preserve"> le choix et la dignité des communautés touchées par une catastrophe</w:t>
      </w:r>
      <w:r w:rsidR="009762A8" w:rsidRPr="006B53A5">
        <w:rPr>
          <w:b/>
          <w:lang w:val="fr-FR"/>
        </w:rPr>
        <w:t xml:space="preserve">, </w:t>
      </w:r>
      <w:r w:rsidRPr="006B53A5">
        <w:rPr>
          <w:b/>
          <w:lang w:val="fr-FR"/>
        </w:rPr>
        <w:t>mais</w:t>
      </w:r>
      <w:r w:rsidR="009762A8" w:rsidRPr="006B53A5">
        <w:rPr>
          <w:b/>
          <w:lang w:val="fr-FR"/>
        </w:rPr>
        <w:t xml:space="preserve"> </w:t>
      </w:r>
      <w:r w:rsidR="00F249B9" w:rsidRPr="006B53A5">
        <w:rPr>
          <w:b/>
          <w:lang w:val="fr-FR"/>
        </w:rPr>
        <w:t xml:space="preserve">ils peuvent </w:t>
      </w:r>
      <w:r w:rsidR="00635CE5" w:rsidRPr="006B53A5">
        <w:rPr>
          <w:b/>
          <w:lang w:val="fr-FR"/>
        </w:rPr>
        <w:t xml:space="preserve">aussi </w:t>
      </w:r>
      <w:r w:rsidR="00F249B9" w:rsidRPr="006B53A5">
        <w:rPr>
          <w:b/>
          <w:lang w:val="fr-FR"/>
        </w:rPr>
        <w:t>se révéler</w:t>
      </w:r>
      <w:r w:rsidRPr="006B53A5">
        <w:rPr>
          <w:b/>
          <w:lang w:val="fr-FR"/>
        </w:rPr>
        <w:t xml:space="preserve"> plus rapide</w:t>
      </w:r>
      <w:r w:rsidR="00E55F74" w:rsidRPr="006B53A5">
        <w:rPr>
          <w:b/>
          <w:lang w:val="fr-FR"/>
        </w:rPr>
        <w:t>s</w:t>
      </w:r>
      <w:r w:rsidRPr="006B53A5">
        <w:rPr>
          <w:b/>
          <w:lang w:val="fr-FR"/>
        </w:rPr>
        <w:t xml:space="preserve"> et plus </w:t>
      </w:r>
      <w:r w:rsidR="00F249B9" w:rsidRPr="006B53A5">
        <w:rPr>
          <w:b/>
          <w:lang w:val="fr-FR"/>
        </w:rPr>
        <w:t>efficaces par rapport aux coûts</w:t>
      </w:r>
      <w:r w:rsidRPr="006B53A5">
        <w:rPr>
          <w:b/>
          <w:lang w:val="fr-FR"/>
        </w:rPr>
        <w:t xml:space="preserve"> que </w:t>
      </w:r>
      <w:r w:rsidR="00F249B9" w:rsidRPr="006B53A5">
        <w:rPr>
          <w:b/>
          <w:lang w:val="fr-FR"/>
        </w:rPr>
        <w:t>l’assistance</w:t>
      </w:r>
      <w:r w:rsidRPr="006B53A5">
        <w:rPr>
          <w:b/>
          <w:lang w:val="fr-FR"/>
        </w:rPr>
        <w:t xml:space="preserve"> en nature. Ils permettent </w:t>
      </w:r>
      <w:r w:rsidR="00F249B9" w:rsidRPr="006B53A5">
        <w:rPr>
          <w:b/>
          <w:lang w:val="fr-FR"/>
        </w:rPr>
        <w:t>aussi</w:t>
      </w:r>
      <w:r w:rsidRPr="006B53A5">
        <w:rPr>
          <w:b/>
          <w:lang w:val="fr-FR"/>
        </w:rPr>
        <w:t xml:space="preserve"> de stimuler les moyens de subsistance, les économies et les marchés locaux </w:t>
      </w:r>
      <w:r w:rsidRPr="006B53A5">
        <w:rPr>
          <w:lang w:val="fr-FR"/>
        </w:rPr>
        <w:t>et</w:t>
      </w:r>
      <w:r w:rsidRPr="006B53A5">
        <w:rPr>
          <w:b/>
          <w:lang w:val="fr-FR"/>
        </w:rPr>
        <w:t xml:space="preserve"> </w:t>
      </w:r>
      <w:r w:rsidRPr="006B53A5">
        <w:rPr>
          <w:lang w:val="fr-FR"/>
        </w:rPr>
        <w:t xml:space="preserve">de </w:t>
      </w:r>
      <w:r w:rsidR="00F249B9" w:rsidRPr="006B53A5">
        <w:rPr>
          <w:lang w:val="fr-FR"/>
        </w:rPr>
        <w:t xml:space="preserve">garantir </w:t>
      </w:r>
      <w:r w:rsidRPr="006B53A5">
        <w:rPr>
          <w:lang w:val="fr-FR"/>
        </w:rPr>
        <w:t xml:space="preserve">que notre intervention humanitaire ne </w:t>
      </w:r>
      <w:r w:rsidR="00377EB8" w:rsidRPr="006B53A5">
        <w:rPr>
          <w:lang w:val="fr-FR"/>
        </w:rPr>
        <w:t>porte pas atteinte</w:t>
      </w:r>
      <w:r w:rsidRPr="006B53A5">
        <w:rPr>
          <w:lang w:val="fr-FR"/>
        </w:rPr>
        <w:t xml:space="preserve"> à l’économie locale.</w:t>
      </w:r>
    </w:p>
    <w:p w:rsidR="000F5883" w:rsidRPr="006B53A5" w:rsidRDefault="00AD69EC" w:rsidP="0013517C">
      <w:pPr>
        <w:pStyle w:val="ListParagraph"/>
        <w:numPr>
          <w:ilvl w:val="0"/>
          <w:numId w:val="1"/>
        </w:numPr>
        <w:spacing w:before="240"/>
        <w:ind w:left="284" w:hanging="284"/>
        <w:rPr>
          <w:rFonts w:eastAsia="Calibri" w:cs="Arial"/>
          <w:b/>
          <w:lang w:val="fr-FR"/>
        </w:rPr>
      </w:pPr>
      <w:r w:rsidRPr="006B53A5">
        <w:rPr>
          <w:rFonts w:eastAsia="Calibri" w:cs="Arial"/>
          <w:b/>
          <w:lang w:val="fr-FR"/>
        </w:rPr>
        <w:t>Quels sont les principaux avantages des PTM ?</w:t>
      </w:r>
    </w:p>
    <w:p w:rsidR="00D4329A" w:rsidRPr="006B53A5" w:rsidRDefault="00F249B9" w:rsidP="0013517C">
      <w:pPr>
        <w:pStyle w:val="Bullet1"/>
        <w:rPr>
          <w:rFonts w:eastAsia="Calibri"/>
          <w:lang w:val="fr-FR"/>
        </w:rPr>
      </w:pPr>
      <w:r w:rsidRPr="006B53A5">
        <w:rPr>
          <w:rFonts w:eastAsia="Calibri"/>
          <w:b/>
          <w:lang w:val="fr-FR"/>
        </w:rPr>
        <w:t>Choix </w:t>
      </w:r>
      <w:r w:rsidR="000F5883" w:rsidRPr="006B53A5">
        <w:rPr>
          <w:rFonts w:eastAsia="Calibri"/>
          <w:b/>
          <w:lang w:val="fr-FR"/>
        </w:rPr>
        <w:t>:</w:t>
      </w:r>
      <w:r w:rsidR="001277D2" w:rsidRPr="006B53A5">
        <w:rPr>
          <w:rFonts w:eastAsia="Calibri"/>
          <w:lang w:val="fr-FR"/>
        </w:rPr>
        <w:t xml:space="preserve"> </w:t>
      </w:r>
      <w:r w:rsidR="00377EB8" w:rsidRPr="006B53A5">
        <w:rPr>
          <w:rFonts w:eastAsia="Calibri"/>
          <w:lang w:val="fr-FR"/>
        </w:rPr>
        <w:t>ils offr</w:t>
      </w:r>
      <w:r w:rsidR="00D4329A" w:rsidRPr="006B53A5">
        <w:rPr>
          <w:rFonts w:eastAsia="Calibri"/>
          <w:lang w:val="fr-FR"/>
        </w:rPr>
        <w:t xml:space="preserve">ent </w:t>
      </w:r>
      <w:r w:rsidR="002725F5" w:rsidRPr="006B53A5">
        <w:rPr>
          <w:rFonts w:eastAsia="Calibri"/>
          <w:lang w:val="fr-FR"/>
        </w:rPr>
        <w:t>davantage de</w:t>
      </w:r>
      <w:r w:rsidR="00D4329A" w:rsidRPr="006B53A5">
        <w:rPr>
          <w:rFonts w:eastAsia="Calibri"/>
          <w:lang w:val="fr-FR"/>
        </w:rPr>
        <w:t xml:space="preserve"> flexibilité </w:t>
      </w:r>
      <w:r w:rsidR="00377EB8" w:rsidRPr="006B53A5">
        <w:rPr>
          <w:rFonts w:eastAsia="Calibri"/>
          <w:lang w:val="fr-FR"/>
        </w:rPr>
        <w:t>pour</w:t>
      </w:r>
      <w:r w:rsidR="00D4329A" w:rsidRPr="006B53A5">
        <w:rPr>
          <w:rFonts w:eastAsia="Calibri"/>
          <w:lang w:val="fr-FR"/>
        </w:rPr>
        <w:t xml:space="preserve"> répondre aux di</w:t>
      </w:r>
      <w:r w:rsidR="00377EB8" w:rsidRPr="006B53A5">
        <w:rPr>
          <w:rFonts w:eastAsia="Calibri"/>
          <w:lang w:val="fr-FR"/>
        </w:rPr>
        <w:t>fférents</w:t>
      </w:r>
      <w:r w:rsidR="00D4329A" w:rsidRPr="006B53A5">
        <w:rPr>
          <w:rFonts w:eastAsia="Calibri"/>
          <w:lang w:val="fr-FR"/>
        </w:rPr>
        <w:t xml:space="preserve"> besoins des individus touchés par une catastrophe ou </w:t>
      </w:r>
      <w:r w:rsidR="00377EB8" w:rsidRPr="006B53A5">
        <w:rPr>
          <w:rFonts w:eastAsia="Calibri"/>
          <w:lang w:val="fr-FR"/>
        </w:rPr>
        <w:t xml:space="preserve">par </w:t>
      </w:r>
      <w:r w:rsidR="00D4329A" w:rsidRPr="006B53A5">
        <w:rPr>
          <w:rFonts w:eastAsia="Calibri"/>
          <w:lang w:val="fr-FR"/>
        </w:rPr>
        <w:t>un conflit.</w:t>
      </w:r>
    </w:p>
    <w:p w:rsidR="00D4329A" w:rsidRPr="006B53A5" w:rsidRDefault="00A57F42" w:rsidP="00A57F42">
      <w:pPr>
        <w:pStyle w:val="Bullet1"/>
        <w:rPr>
          <w:rFonts w:eastAsia="Calibri"/>
          <w:lang w:val="fr-FR"/>
        </w:rPr>
      </w:pPr>
      <w:r w:rsidRPr="006B53A5">
        <w:rPr>
          <w:rFonts w:eastAsia="Calibri"/>
          <w:b/>
          <w:lang w:val="fr-FR"/>
        </w:rPr>
        <w:t>Rapidité et efficacité par rapport aux coûts </w:t>
      </w:r>
      <w:r w:rsidR="000F5883" w:rsidRPr="006B53A5">
        <w:rPr>
          <w:rFonts w:eastAsia="Calibri"/>
          <w:b/>
          <w:lang w:val="fr-FR"/>
        </w:rPr>
        <w:t>:</w:t>
      </w:r>
      <w:r w:rsidR="000F5883" w:rsidRPr="006B53A5">
        <w:rPr>
          <w:rFonts w:eastAsia="Calibri"/>
          <w:lang w:val="fr-FR"/>
        </w:rPr>
        <w:t xml:space="preserve"> </w:t>
      </w:r>
      <w:r w:rsidR="00D4329A" w:rsidRPr="006B53A5">
        <w:rPr>
          <w:rFonts w:eastAsia="Calibri"/>
          <w:lang w:val="fr-FR"/>
        </w:rPr>
        <w:t xml:space="preserve">ils peuvent être mis en place plus rapidement que d’autres solutions d’intervention et permettre d’économiser les coûts logistiques </w:t>
      </w:r>
      <w:r w:rsidRPr="006B53A5">
        <w:rPr>
          <w:rFonts w:eastAsia="Calibri"/>
          <w:lang w:val="fr-FR"/>
        </w:rPr>
        <w:t xml:space="preserve">liés à l’acheminement des </w:t>
      </w:r>
      <w:r w:rsidR="00D4329A" w:rsidRPr="006B53A5">
        <w:rPr>
          <w:rFonts w:eastAsia="Calibri"/>
          <w:lang w:val="fr-FR"/>
        </w:rPr>
        <w:t xml:space="preserve">articles de secours. </w:t>
      </w:r>
    </w:p>
    <w:p w:rsidR="00D4329A" w:rsidRPr="006B53A5" w:rsidRDefault="00A57F42" w:rsidP="00A57F42">
      <w:pPr>
        <w:pStyle w:val="Bullet1"/>
        <w:rPr>
          <w:rFonts w:eastAsia="Calibri"/>
          <w:lang w:val="fr-FR"/>
        </w:rPr>
      </w:pPr>
      <w:r w:rsidRPr="006B53A5">
        <w:rPr>
          <w:rFonts w:eastAsia="Calibri"/>
          <w:b/>
          <w:lang w:val="fr-FR"/>
        </w:rPr>
        <w:t>Dignité </w:t>
      </w:r>
      <w:r w:rsidR="000F5883" w:rsidRPr="006B53A5">
        <w:rPr>
          <w:rFonts w:eastAsia="Calibri"/>
          <w:b/>
          <w:lang w:val="fr-FR"/>
        </w:rPr>
        <w:t>:</w:t>
      </w:r>
      <w:r w:rsidR="000F5883" w:rsidRPr="006B53A5">
        <w:rPr>
          <w:rFonts w:eastAsia="Calibri"/>
          <w:lang w:val="fr-FR"/>
        </w:rPr>
        <w:t xml:space="preserve"> </w:t>
      </w:r>
      <w:r w:rsidR="00D4329A" w:rsidRPr="006B53A5">
        <w:rPr>
          <w:rFonts w:eastAsia="Calibri"/>
          <w:lang w:val="fr-FR"/>
        </w:rPr>
        <w:t xml:space="preserve">ils </w:t>
      </w:r>
      <w:r w:rsidR="00377EB8" w:rsidRPr="006B53A5">
        <w:rPr>
          <w:rFonts w:eastAsia="Calibri"/>
          <w:lang w:val="fr-FR"/>
        </w:rPr>
        <w:t>préservent</w:t>
      </w:r>
      <w:r w:rsidR="00D4329A" w:rsidRPr="006B53A5">
        <w:rPr>
          <w:rFonts w:eastAsia="Calibri"/>
          <w:lang w:val="fr-FR"/>
        </w:rPr>
        <w:t xml:space="preserve"> la dignité des individus en leur permettant de choisir quand et comment </w:t>
      </w:r>
      <w:r w:rsidRPr="006B53A5">
        <w:rPr>
          <w:rFonts w:eastAsia="Calibri"/>
          <w:lang w:val="fr-FR"/>
        </w:rPr>
        <w:t>dépenser leur argent</w:t>
      </w:r>
      <w:r w:rsidR="00D4329A" w:rsidRPr="006B53A5">
        <w:rPr>
          <w:rFonts w:eastAsia="Calibri"/>
          <w:lang w:val="fr-FR"/>
        </w:rPr>
        <w:t>.</w:t>
      </w:r>
    </w:p>
    <w:p w:rsidR="00D4329A" w:rsidRPr="006B53A5" w:rsidRDefault="00A57F42" w:rsidP="007F4E0A">
      <w:pPr>
        <w:pStyle w:val="Bullet1"/>
        <w:rPr>
          <w:rFonts w:eastAsia="Calibri"/>
          <w:lang w:val="fr-FR"/>
        </w:rPr>
      </w:pPr>
      <w:r w:rsidRPr="006B53A5">
        <w:rPr>
          <w:rFonts w:eastAsia="Calibri"/>
          <w:b/>
          <w:lang w:val="fr-FR"/>
        </w:rPr>
        <w:t>Soutien aux marchés locaux </w:t>
      </w:r>
      <w:r w:rsidR="000F5883" w:rsidRPr="006B53A5">
        <w:rPr>
          <w:rFonts w:eastAsia="Calibri"/>
          <w:b/>
          <w:lang w:val="fr-FR"/>
        </w:rPr>
        <w:t>:</w:t>
      </w:r>
      <w:r w:rsidR="000F5883" w:rsidRPr="006B53A5">
        <w:rPr>
          <w:rFonts w:eastAsia="Calibri"/>
          <w:lang w:val="fr-FR"/>
        </w:rPr>
        <w:t xml:space="preserve"> </w:t>
      </w:r>
      <w:r w:rsidR="00D4329A" w:rsidRPr="006B53A5">
        <w:rPr>
          <w:rFonts w:eastAsia="Calibri"/>
          <w:lang w:val="fr-FR"/>
        </w:rPr>
        <w:t xml:space="preserve">ils contribuent </w:t>
      </w:r>
      <w:r w:rsidR="007F4E0A" w:rsidRPr="006B53A5">
        <w:rPr>
          <w:rFonts w:eastAsia="Calibri"/>
          <w:lang w:val="fr-FR"/>
        </w:rPr>
        <w:t>à la reprise</w:t>
      </w:r>
      <w:r w:rsidR="00D4329A" w:rsidRPr="006B53A5">
        <w:rPr>
          <w:rFonts w:eastAsia="Calibri"/>
          <w:lang w:val="fr-FR"/>
        </w:rPr>
        <w:t xml:space="preserve"> des économies et des marchés locaux, </w:t>
      </w:r>
      <w:r w:rsidR="0023007B" w:rsidRPr="006B53A5">
        <w:rPr>
          <w:rFonts w:eastAsia="Calibri"/>
          <w:lang w:val="fr-FR"/>
        </w:rPr>
        <w:t>qui sont essentiels à la vie quotidienne et au relèvement des individus.</w:t>
      </w:r>
    </w:p>
    <w:p w:rsidR="007C655D" w:rsidRPr="006B53A5" w:rsidRDefault="007C655D" w:rsidP="007F4E0A">
      <w:pPr>
        <w:pStyle w:val="ListParagraph"/>
        <w:numPr>
          <w:ilvl w:val="0"/>
          <w:numId w:val="1"/>
        </w:numPr>
        <w:spacing w:before="240"/>
        <w:ind w:left="284" w:hanging="284"/>
        <w:rPr>
          <w:rFonts w:cs="Arial"/>
          <w:b/>
          <w:lang w:val="fr-FR"/>
        </w:rPr>
      </w:pPr>
      <w:r w:rsidRPr="006B53A5">
        <w:rPr>
          <w:rFonts w:cs="Arial"/>
          <w:b/>
          <w:lang w:val="fr-FR"/>
        </w:rPr>
        <w:t>Quel</w:t>
      </w:r>
      <w:r w:rsidR="007F4E0A" w:rsidRPr="006B53A5">
        <w:rPr>
          <w:rFonts w:cs="Arial"/>
          <w:b/>
          <w:lang w:val="fr-FR"/>
        </w:rPr>
        <w:t>le</w:t>
      </w:r>
      <w:r w:rsidRPr="006B53A5">
        <w:rPr>
          <w:rFonts w:cs="Arial"/>
          <w:b/>
          <w:lang w:val="fr-FR"/>
        </w:rPr>
        <w:t>s sont les différent</w:t>
      </w:r>
      <w:r w:rsidR="007F4E0A" w:rsidRPr="006B53A5">
        <w:rPr>
          <w:rFonts w:cs="Arial"/>
          <w:b/>
          <w:lang w:val="fr-FR"/>
        </w:rPr>
        <w:t>e</w:t>
      </w:r>
      <w:r w:rsidRPr="006B53A5">
        <w:rPr>
          <w:rFonts w:cs="Arial"/>
          <w:b/>
          <w:lang w:val="fr-FR"/>
        </w:rPr>
        <w:t xml:space="preserve">s </w:t>
      </w:r>
      <w:r w:rsidR="007F4E0A" w:rsidRPr="006B53A5">
        <w:rPr>
          <w:rFonts w:cs="Arial"/>
          <w:b/>
          <w:lang w:val="fr-FR"/>
        </w:rPr>
        <w:t>modalités</w:t>
      </w:r>
      <w:r w:rsidRPr="006B53A5">
        <w:rPr>
          <w:rFonts w:cs="Arial"/>
          <w:b/>
          <w:lang w:val="fr-FR"/>
        </w:rPr>
        <w:t xml:space="preserve"> (mécanismes de distribution) </w:t>
      </w:r>
      <w:r w:rsidR="007F4E0A" w:rsidRPr="006B53A5">
        <w:rPr>
          <w:rFonts w:cs="Arial"/>
          <w:b/>
          <w:lang w:val="fr-FR"/>
        </w:rPr>
        <w:t>des PTM</w:t>
      </w:r>
      <w:r w:rsidRPr="006B53A5">
        <w:rPr>
          <w:rFonts w:cs="Arial"/>
          <w:b/>
          <w:lang w:val="fr-FR"/>
        </w:rPr>
        <w:t> ?</w:t>
      </w:r>
    </w:p>
    <w:p w:rsidR="007C655D" w:rsidRPr="006B53A5" w:rsidRDefault="007C655D" w:rsidP="007F4E0A">
      <w:pPr>
        <w:ind w:left="284"/>
        <w:rPr>
          <w:lang w:val="fr-FR"/>
        </w:rPr>
      </w:pPr>
      <w:r w:rsidRPr="006B53A5">
        <w:rPr>
          <w:lang w:val="fr-FR"/>
        </w:rPr>
        <w:t>Les mécanismes de distribution les plus utilisés peuvent être regroupés en trois catégories :</w:t>
      </w:r>
    </w:p>
    <w:p w:rsidR="007C655D" w:rsidRPr="006B53A5" w:rsidRDefault="002D3DC0" w:rsidP="00B047D0">
      <w:pPr>
        <w:spacing w:before="240"/>
        <w:ind w:left="720" w:hanging="436"/>
        <w:rPr>
          <w:lang w:val="fr-FR"/>
        </w:rPr>
      </w:pPr>
      <w:r w:rsidRPr="006B53A5">
        <w:rPr>
          <w:lang w:val="fr-FR"/>
        </w:rPr>
        <w:t>1.</w:t>
      </w:r>
      <w:r w:rsidRPr="006B53A5">
        <w:rPr>
          <w:lang w:val="fr-FR"/>
        </w:rPr>
        <w:tab/>
      </w:r>
      <w:r w:rsidR="00B047D0">
        <w:rPr>
          <w:lang w:val="fr-FR"/>
        </w:rPr>
        <w:t>l</w:t>
      </w:r>
      <w:r w:rsidR="00343CFE" w:rsidRPr="006B53A5">
        <w:rPr>
          <w:lang w:val="fr-FR"/>
        </w:rPr>
        <w:t>es s</w:t>
      </w:r>
      <w:r w:rsidR="007C655D" w:rsidRPr="006B53A5">
        <w:rPr>
          <w:lang w:val="fr-FR"/>
        </w:rPr>
        <w:t xml:space="preserve">ubventions en espèces ou </w:t>
      </w:r>
      <w:r w:rsidR="00343CFE" w:rsidRPr="006B53A5">
        <w:rPr>
          <w:lang w:val="fr-FR"/>
        </w:rPr>
        <w:t xml:space="preserve">les </w:t>
      </w:r>
      <w:r w:rsidR="00530A83" w:rsidRPr="006B53A5">
        <w:rPr>
          <w:lang w:val="fr-FR"/>
        </w:rPr>
        <w:t>paiements</w:t>
      </w:r>
      <w:r w:rsidR="007C655D" w:rsidRPr="006B53A5">
        <w:rPr>
          <w:lang w:val="fr-FR"/>
        </w:rPr>
        <w:t xml:space="preserve"> « argent contre travail » </w:t>
      </w:r>
      <w:r w:rsidR="00FF2F69" w:rsidRPr="006B53A5">
        <w:rPr>
          <w:lang w:val="fr-FR"/>
        </w:rPr>
        <w:t>v</w:t>
      </w:r>
      <w:r w:rsidR="00530A83" w:rsidRPr="006B53A5">
        <w:rPr>
          <w:lang w:val="fr-FR"/>
        </w:rPr>
        <w:t>ersé</w:t>
      </w:r>
      <w:r w:rsidR="00FF2F69" w:rsidRPr="006B53A5">
        <w:rPr>
          <w:lang w:val="fr-FR"/>
        </w:rPr>
        <w:t>s</w:t>
      </w:r>
      <w:r w:rsidR="00343CFE" w:rsidRPr="006B53A5">
        <w:rPr>
          <w:lang w:val="fr-FR"/>
        </w:rPr>
        <w:t xml:space="preserve"> par le biais</w:t>
      </w:r>
      <w:r w:rsidR="007C655D" w:rsidRPr="006B53A5">
        <w:rPr>
          <w:lang w:val="fr-FR"/>
        </w:rPr>
        <w:t xml:space="preserve"> de tie</w:t>
      </w:r>
      <w:r w:rsidR="00FF2F69" w:rsidRPr="006B53A5">
        <w:rPr>
          <w:lang w:val="fr-FR"/>
        </w:rPr>
        <w:t>rs</w:t>
      </w:r>
      <w:r w:rsidR="007C655D" w:rsidRPr="006B53A5">
        <w:rPr>
          <w:lang w:val="fr-FR"/>
        </w:rPr>
        <w:t>/</w:t>
      </w:r>
      <w:r w:rsidR="00343CFE" w:rsidRPr="006B53A5">
        <w:rPr>
          <w:lang w:val="fr-FR"/>
        </w:rPr>
        <w:t>d’</w:t>
      </w:r>
      <w:r w:rsidR="007C655D" w:rsidRPr="006B53A5">
        <w:rPr>
          <w:lang w:val="fr-FR"/>
        </w:rPr>
        <w:t>organismes de transfert (banques, bureaux de poste, organismes de transfert de fonds, cartes prépayées, o</w:t>
      </w:r>
      <w:r w:rsidR="00B047D0">
        <w:rPr>
          <w:lang w:val="fr-FR"/>
        </w:rPr>
        <w:t>pérateurs de téléphonie mobile) ;</w:t>
      </w:r>
    </w:p>
    <w:p w:rsidR="002B5A70" w:rsidRPr="006B53A5" w:rsidRDefault="002D3DC0" w:rsidP="00B047D0">
      <w:pPr>
        <w:ind w:left="720" w:hanging="436"/>
        <w:rPr>
          <w:lang w:val="fr-FR"/>
        </w:rPr>
      </w:pPr>
      <w:r w:rsidRPr="006B53A5">
        <w:rPr>
          <w:lang w:val="fr-FR"/>
        </w:rPr>
        <w:t>2.</w:t>
      </w:r>
      <w:r w:rsidRPr="006B53A5">
        <w:rPr>
          <w:lang w:val="fr-FR"/>
        </w:rPr>
        <w:tab/>
      </w:r>
      <w:r w:rsidR="00B047D0">
        <w:rPr>
          <w:lang w:val="fr-FR"/>
        </w:rPr>
        <w:t>l</w:t>
      </w:r>
      <w:r w:rsidR="00343CFE" w:rsidRPr="006B53A5">
        <w:rPr>
          <w:lang w:val="fr-FR"/>
        </w:rPr>
        <w:t>es su</w:t>
      </w:r>
      <w:r w:rsidR="002B5A70" w:rsidRPr="006B53A5">
        <w:rPr>
          <w:lang w:val="fr-FR"/>
        </w:rPr>
        <w:t xml:space="preserve">bventions en espèces ou </w:t>
      </w:r>
      <w:r w:rsidR="00343CFE" w:rsidRPr="006B53A5">
        <w:rPr>
          <w:lang w:val="fr-FR"/>
        </w:rPr>
        <w:t xml:space="preserve">les </w:t>
      </w:r>
      <w:r w:rsidR="00530A83" w:rsidRPr="006B53A5">
        <w:rPr>
          <w:lang w:val="fr-FR"/>
        </w:rPr>
        <w:t>paiements</w:t>
      </w:r>
      <w:r w:rsidR="00FF2F69" w:rsidRPr="006B53A5">
        <w:rPr>
          <w:lang w:val="fr-FR"/>
        </w:rPr>
        <w:t xml:space="preserve"> </w:t>
      </w:r>
      <w:r w:rsidR="002B5A70" w:rsidRPr="006B53A5">
        <w:rPr>
          <w:lang w:val="fr-FR"/>
        </w:rPr>
        <w:t xml:space="preserve">« argent contre travail » </w:t>
      </w:r>
      <w:r w:rsidR="00FF2F69" w:rsidRPr="006B53A5">
        <w:rPr>
          <w:lang w:val="fr-FR"/>
        </w:rPr>
        <w:t>v</w:t>
      </w:r>
      <w:r w:rsidR="00530A83" w:rsidRPr="006B53A5">
        <w:rPr>
          <w:lang w:val="fr-FR"/>
        </w:rPr>
        <w:t>ersé</w:t>
      </w:r>
      <w:r w:rsidR="00FF2F69" w:rsidRPr="006B53A5">
        <w:rPr>
          <w:lang w:val="fr-FR"/>
        </w:rPr>
        <w:t>s</w:t>
      </w:r>
      <w:r w:rsidR="00D44D40" w:rsidRPr="006B53A5">
        <w:rPr>
          <w:lang w:val="fr-FR"/>
        </w:rPr>
        <w:t xml:space="preserve"> directement par la Fédération internationale, le CICR ou les Sociétés nationales</w:t>
      </w:r>
      <w:r w:rsidR="00B047D0">
        <w:rPr>
          <w:lang w:val="fr-FR"/>
        </w:rPr>
        <w:t> ;</w:t>
      </w:r>
    </w:p>
    <w:p w:rsidR="00D44D40" w:rsidRPr="006B53A5" w:rsidRDefault="002D3DC0" w:rsidP="00B047D0">
      <w:pPr>
        <w:ind w:left="720" w:hanging="436"/>
        <w:rPr>
          <w:lang w:val="fr-FR"/>
        </w:rPr>
      </w:pPr>
      <w:r w:rsidRPr="006B53A5">
        <w:rPr>
          <w:lang w:val="fr-FR"/>
        </w:rPr>
        <w:t>3.</w:t>
      </w:r>
      <w:r w:rsidRPr="006B53A5">
        <w:rPr>
          <w:lang w:val="fr-FR"/>
        </w:rPr>
        <w:tab/>
      </w:r>
      <w:r w:rsidR="00B047D0">
        <w:rPr>
          <w:lang w:val="fr-FR"/>
        </w:rPr>
        <w:t>l</w:t>
      </w:r>
      <w:r w:rsidR="00343CFE" w:rsidRPr="006B53A5">
        <w:rPr>
          <w:lang w:val="fr-FR"/>
        </w:rPr>
        <w:t>es b</w:t>
      </w:r>
      <w:r w:rsidR="00D44D40" w:rsidRPr="006B53A5">
        <w:rPr>
          <w:lang w:val="fr-FR"/>
        </w:rPr>
        <w:t xml:space="preserve">ons </w:t>
      </w:r>
      <w:r w:rsidR="00FF2F69" w:rsidRPr="006B53A5">
        <w:rPr>
          <w:lang w:val="fr-FR"/>
        </w:rPr>
        <w:t>pour</w:t>
      </w:r>
      <w:r w:rsidR="00D44D40" w:rsidRPr="006B53A5">
        <w:rPr>
          <w:lang w:val="fr-FR"/>
        </w:rPr>
        <w:t xml:space="preserve"> provisions </w:t>
      </w:r>
      <w:r w:rsidR="00FF2F69" w:rsidRPr="006B53A5">
        <w:rPr>
          <w:lang w:val="fr-FR"/>
        </w:rPr>
        <w:t xml:space="preserve">et/ou pour </w:t>
      </w:r>
      <w:r w:rsidR="00343CFE" w:rsidRPr="006B53A5">
        <w:rPr>
          <w:lang w:val="fr-FR"/>
        </w:rPr>
        <w:t>espèces distribués par le biais</w:t>
      </w:r>
      <w:r w:rsidR="00D44D40" w:rsidRPr="006B53A5">
        <w:rPr>
          <w:lang w:val="fr-FR"/>
        </w:rPr>
        <w:t xml:space="preserve"> de commerçants/tiers et devant être échangés dans des </w:t>
      </w:r>
      <w:r w:rsidR="007310BA" w:rsidRPr="006B53A5">
        <w:rPr>
          <w:lang w:val="fr-FR"/>
        </w:rPr>
        <w:t xml:space="preserve">commerces </w:t>
      </w:r>
      <w:r w:rsidR="00343CFE" w:rsidRPr="006B53A5">
        <w:rPr>
          <w:lang w:val="fr-FR"/>
        </w:rPr>
        <w:t>donnés</w:t>
      </w:r>
      <w:r w:rsidR="00B047D0">
        <w:rPr>
          <w:lang w:val="fr-FR"/>
        </w:rPr>
        <w:t>.</w:t>
      </w:r>
    </w:p>
    <w:p w:rsidR="007310BA" w:rsidRPr="006B53A5" w:rsidRDefault="007310BA" w:rsidP="00FF2F69">
      <w:pPr>
        <w:ind w:left="284"/>
        <w:rPr>
          <w:lang w:val="fr-FR"/>
        </w:rPr>
      </w:pPr>
      <w:r w:rsidRPr="006B53A5">
        <w:rPr>
          <w:lang w:val="fr-FR"/>
        </w:rPr>
        <w:t xml:space="preserve">Toutes ces </w:t>
      </w:r>
      <w:r w:rsidR="00FF2F69" w:rsidRPr="006B53A5">
        <w:rPr>
          <w:lang w:val="fr-FR"/>
        </w:rPr>
        <w:t>modalités</w:t>
      </w:r>
      <w:r w:rsidRPr="006B53A5">
        <w:rPr>
          <w:lang w:val="fr-FR"/>
        </w:rPr>
        <w:t xml:space="preserve"> peuvent être combinées avec l’apport d’une aide en nature et la fourniture de services tels que des soins de santé. Les solutions choisies dépendront des objectifs du programme et des préférences des bénéficiaires visés.</w:t>
      </w:r>
    </w:p>
    <w:p w:rsidR="000F5883" w:rsidRPr="006B53A5" w:rsidRDefault="007310BA" w:rsidP="00FF2F69">
      <w:pPr>
        <w:pStyle w:val="ListParagraph"/>
        <w:numPr>
          <w:ilvl w:val="0"/>
          <w:numId w:val="1"/>
        </w:numPr>
        <w:spacing w:before="240"/>
        <w:ind w:left="284" w:hanging="284"/>
        <w:rPr>
          <w:rFonts w:cs="Arial"/>
          <w:b/>
          <w:lang w:val="fr-FR"/>
        </w:rPr>
      </w:pPr>
      <w:r w:rsidRPr="006B53A5">
        <w:rPr>
          <w:rFonts w:cs="Arial"/>
          <w:b/>
          <w:lang w:val="fr-FR"/>
        </w:rPr>
        <w:t xml:space="preserve">Quelle est la différence entre les transferts monétaires conditionnels et </w:t>
      </w:r>
      <w:r w:rsidR="00FF2F69" w:rsidRPr="006B53A5">
        <w:rPr>
          <w:rFonts w:cs="Arial"/>
          <w:b/>
          <w:lang w:val="fr-FR"/>
        </w:rPr>
        <w:t>les transferts monétaires sans condition</w:t>
      </w:r>
      <w:r w:rsidRPr="006B53A5">
        <w:rPr>
          <w:rFonts w:cs="Arial"/>
          <w:b/>
          <w:lang w:val="fr-FR"/>
        </w:rPr>
        <w:t> ?</w:t>
      </w:r>
      <w:r w:rsidR="000F5883" w:rsidRPr="006B53A5">
        <w:rPr>
          <w:rFonts w:cs="Arial"/>
          <w:b/>
          <w:lang w:val="fr-FR"/>
        </w:rPr>
        <w:t xml:space="preserve"> </w:t>
      </w:r>
    </w:p>
    <w:p w:rsidR="002D3DC0" w:rsidRPr="006B53A5" w:rsidRDefault="002D3DC0" w:rsidP="002D3DC0">
      <w:pPr>
        <w:pStyle w:val="ListParagraph"/>
        <w:spacing w:after="0"/>
        <w:ind w:left="284"/>
        <w:rPr>
          <w:rFonts w:cs="Arial"/>
          <w:b/>
          <w:lang w:val="fr-FR"/>
        </w:rPr>
      </w:pPr>
    </w:p>
    <w:p w:rsidR="007310BA" w:rsidRPr="006B53A5" w:rsidRDefault="007310BA" w:rsidP="00FF2F69">
      <w:pPr>
        <w:pStyle w:val="ListParagraph"/>
        <w:spacing w:before="240"/>
        <w:ind w:left="284"/>
        <w:rPr>
          <w:rFonts w:cs="Arial"/>
          <w:lang w:val="fr-FR"/>
        </w:rPr>
      </w:pPr>
      <w:r w:rsidRPr="006B53A5">
        <w:rPr>
          <w:rFonts w:eastAsia="Times New Roman" w:cs="Arial"/>
          <w:b/>
          <w:bCs/>
          <w:lang w:val="fr-FR" w:eastAsia="en-GB"/>
        </w:rPr>
        <w:t xml:space="preserve">Transferts monétaires </w:t>
      </w:r>
      <w:r w:rsidR="00FF2F69" w:rsidRPr="006B53A5">
        <w:rPr>
          <w:rFonts w:eastAsia="Times New Roman" w:cs="Arial"/>
          <w:b/>
          <w:bCs/>
          <w:lang w:val="fr-FR" w:eastAsia="en-GB"/>
        </w:rPr>
        <w:t>sans condition</w:t>
      </w:r>
      <w:r w:rsidRPr="006B53A5">
        <w:rPr>
          <w:rFonts w:eastAsia="Times New Roman" w:cs="Arial"/>
          <w:b/>
          <w:bCs/>
          <w:lang w:val="fr-FR" w:eastAsia="en-GB"/>
        </w:rPr>
        <w:t xml:space="preserve"> </w:t>
      </w:r>
      <w:r w:rsidR="000F5883" w:rsidRPr="006B53A5">
        <w:rPr>
          <w:rFonts w:eastAsia="Times New Roman" w:cs="Arial"/>
          <w:b/>
          <w:bCs/>
          <w:lang w:val="fr-FR" w:eastAsia="en-GB"/>
        </w:rPr>
        <w:t>:</w:t>
      </w:r>
      <w:r w:rsidR="000F5883" w:rsidRPr="006B53A5">
        <w:rPr>
          <w:rFonts w:eastAsia="Times New Roman" w:cs="Arial"/>
          <w:lang w:val="fr-FR" w:eastAsia="en-GB"/>
        </w:rPr>
        <w:t> </w:t>
      </w:r>
      <w:r w:rsidR="0017045F" w:rsidRPr="006B53A5">
        <w:rPr>
          <w:rFonts w:cs="Arial"/>
          <w:lang w:val="fr-FR"/>
        </w:rPr>
        <w:t xml:space="preserve">ne sont assortis d’aucune condition quant à l’utilisation qui doit en être faite. </w:t>
      </w:r>
      <w:r w:rsidR="00FF2F69" w:rsidRPr="006B53A5">
        <w:rPr>
          <w:rFonts w:cs="Arial"/>
          <w:lang w:val="fr-FR"/>
        </w:rPr>
        <w:t>Dans les situations d’urgence, le</w:t>
      </w:r>
      <w:r w:rsidR="0017045F" w:rsidRPr="006B53A5">
        <w:rPr>
          <w:rFonts w:cs="Arial"/>
          <w:lang w:val="fr-FR"/>
        </w:rPr>
        <w:t xml:space="preserve"> Mouvement international de la Croix-Rouge et du Croissant-Rouge (le Mouvement) privilégie les transferts monétaires </w:t>
      </w:r>
      <w:r w:rsidR="00FF2F69" w:rsidRPr="006B53A5">
        <w:rPr>
          <w:rFonts w:cs="Arial"/>
          <w:lang w:val="fr-FR"/>
        </w:rPr>
        <w:t>sans condition</w:t>
      </w:r>
      <w:r w:rsidR="0017045F" w:rsidRPr="006B53A5">
        <w:rPr>
          <w:rFonts w:cs="Arial"/>
          <w:lang w:val="fr-FR"/>
        </w:rPr>
        <w:t xml:space="preserve"> et universels</w:t>
      </w:r>
      <w:r w:rsidR="00FF2F69" w:rsidRPr="006B53A5">
        <w:rPr>
          <w:rFonts w:cs="Arial"/>
          <w:lang w:val="fr-FR"/>
        </w:rPr>
        <w:t>,</w:t>
      </w:r>
      <w:r w:rsidR="0017045F" w:rsidRPr="006B53A5">
        <w:rPr>
          <w:rFonts w:cs="Arial"/>
          <w:lang w:val="fr-FR"/>
        </w:rPr>
        <w:t xml:space="preserve"> car </w:t>
      </w:r>
      <w:r w:rsidR="00FF2F69" w:rsidRPr="006B53A5">
        <w:rPr>
          <w:rFonts w:cs="Arial"/>
          <w:lang w:val="fr-FR"/>
        </w:rPr>
        <w:t xml:space="preserve">ils </w:t>
      </w:r>
      <w:r w:rsidR="0017045F" w:rsidRPr="006B53A5">
        <w:rPr>
          <w:rFonts w:cs="Arial"/>
          <w:lang w:val="fr-FR"/>
        </w:rPr>
        <w:t>offrent davantage de flexibilité pour répondre aux besoins</w:t>
      </w:r>
      <w:r w:rsidR="00FF2F69" w:rsidRPr="006B53A5">
        <w:rPr>
          <w:rFonts w:cs="Arial"/>
          <w:lang w:val="fr-FR"/>
        </w:rPr>
        <w:t xml:space="preserve"> variés</w:t>
      </w:r>
      <w:r w:rsidR="0017045F" w:rsidRPr="006B53A5">
        <w:rPr>
          <w:rFonts w:cs="Arial"/>
          <w:lang w:val="fr-FR"/>
        </w:rPr>
        <w:t xml:space="preserve"> des individus et </w:t>
      </w:r>
      <w:r w:rsidR="00FF2F69" w:rsidRPr="006B53A5">
        <w:rPr>
          <w:rFonts w:cs="Arial"/>
          <w:lang w:val="fr-FR"/>
        </w:rPr>
        <w:t>assurent une réponse plus rapide</w:t>
      </w:r>
      <w:r w:rsidR="0017045F" w:rsidRPr="006B53A5">
        <w:rPr>
          <w:rFonts w:cs="Arial"/>
          <w:lang w:val="fr-FR"/>
        </w:rPr>
        <w:t xml:space="preserve">. </w:t>
      </w:r>
    </w:p>
    <w:p w:rsidR="00617DED" w:rsidRPr="006B53A5" w:rsidRDefault="00617DED" w:rsidP="002D3DC0">
      <w:pPr>
        <w:pStyle w:val="ListParagraph"/>
        <w:spacing w:before="240"/>
        <w:ind w:left="284"/>
        <w:rPr>
          <w:rFonts w:cs="Arial"/>
          <w:lang w:val="fr-FR"/>
        </w:rPr>
      </w:pPr>
    </w:p>
    <w:p w:rsidR="0017045F" w:rsidRPr="006B53A5" w:rsidRDefault="00343CFE" w:rsidP="00FF2F69">
      <w:pPr>
        <w:pStyle w:val="ListParagraph"/>
        <w:ind w:left="284"/>
        <w:rPr>
          <w:rFonts w:cs="Arial"/>
          <w:lang w:val="fr-FR"/>
        </w:rPr>
      </w:pPr>
      <w:r w:rsidRPr="006B53A5">
        <w:rPr>
          <w:rFonts w:cs="Arial"/>
          <w:lang w:val="fr-FR"/>
        </w:rPr>
        <w:t xml:space="preserve">Les transferts monétaires </w:t>
      </w:r>
      <w:r w:rsidR="00FF2F69" w:rsidRPr="006B53A5">
        <w:rPr>
          <w:rFonts w:cs="Arial"/>
          <w:lang w:val="fr-FR"/>
        </w:rPr>
        <w:t>sans condition</w:t>
      </w:r>
      <w:r w:rsidR="007D193E" w:rsidRPr="006B53A5">
        <w:rPr>
          <w:rFonts w:cs="Arial"/>
          <w:lang w:val="fr-FR"/>
        </w:rPr>
        <w:t xml:space="preserve"> se fondent sur </w:t>
      </w:r>
      <w:r w:rsidR="00FF2F69" w:rsidRPr="006B53A5">
        <w:rPr>
          <w:rFonts w:cs="Arial"/>
          <w:lang w:val="fr-FR"/>
        </w:rPr>
        <w:t>le principe selon lequel l’argent sera utilisé pour répondre aux besoins essentiels recensés dans le cadre de l’évaluation initiale</w:t>
      </w:r>
      <w:r w:rsidR="003B0422" w:rsidRPr="006B53A5">
        <w:rPr>
          <w:rFonts w:cs="Arial"/>
          <w:lang w:val="fr-FR"/>
        </w:rPr>
        <w:t xml:space="preserve">. </w:t>
      </w:r>
      <w:r w:rsidRPr="006B53A5">
        <w:rPr>
          <w:rFonts w:cs="Arial"/>
          <w:lang w:val="fr-FR"/>
        </w:rPr>
        <w:t>Ils</w:t>
      </w:r>
      <w:r w:rsidR="003B0422" w:rsidRPr="006B53A5">
        <w:rPr>
          <w:rFonts w:cs="Arial"/>
          <w:lang w:val="fr-FR"/>
        </w:rPr>
        <w:t xml:space="preserve"> peuvent être ponctuels</w:t>
      </w:r>
      <w:r w:rsidR="00FB70BA" w:rsidRPr="006B53A5">
        <w:rPr>
          <w:rFonts w:cs="Arial"/>
          <w:lang w:val="fr-FR"/>
        </w:rPr>
        <w:t xml:space="preserve"> ou</w:t>
      </w:r>
      <w:r w:rsidR="003B0422" w:rsidRPr="006B53A5">
        <w:rPr>
          <w:rFonts w:cs="Arial"/>
          <w:lang w:val="fr-FR"/>
        </w:rPr>
        <w:t xml:space="preserve"> </w:t>
      </w:r>
      <w:r w:rsidR="005242D2" w:rsidRPr="006B53A5">
        <w:rPr>
          <w:rFonts w:cs="Arial"/>
          <w:lang w:val="fr-FR"/>
        </w:rPr>
        <w:t>répétés ;</w:t>
      </w:r>
      <w:r w:rsidR="00FB70BA" w:rsidRPr="006B53A5">
        <w:rPr>
          <w:rFonts w:cs="Arial"/>
          <w:lang w:val="fr-FR"/>
        </w:rPr>
        <w:t xml:space="preserve"> </w:t>
      </w:r>
      <w:r w:rsidR="005242D2" w:rsidRPr="006B53A5">
        <w:rPr>
          <w:rFonts w:cs="Arial"/>
          <w:lang w:val="fr-FR"/>
        </w:rPr>
        <w:t xml:space="preserve">une autre solution consiste à verser </w:t>
      </w:r>
      <w:r w:rsidR="00FB70BA" w:rsidRPr="006B53A5">
        <w:rPr>
          <w:rFonts w:cs="Arial"/>
          <w:lang w:val="fr-FR"/>
        </w:rPr>
        <w:t xml:space="preserve">différents montants sur </w:t>
      </w:r>
      <w:r w:rsidR="00FF2F69" w:rsidRPr="006B53A5">
        <w:rPr>
          <w:rFonts w:cs="Arial"/>
          <w:lang w:val="fr-FR"/>
        </w:rPr>
        <w:t>une</w:t>
      </w:r>
      <w:r w:rsidR="00FB70BA" w:rsidRPr="006B53A5">
        <w:rPr>
          <w:rFonts w:cs="Arial"/>
          <w:lang w:val="fr-FR"/>
        </w:rPr>
        <w:t xml:space="preserve"> période</w:t>
      </w:r>
      <w:r w:rsidR="00FF2F69" w:rsidRPr="006B53A5">
        <w:rPr>
          <w:rFonts w:cs="Arial"/>
          <w:lang w:val="fr-FR"/>
        </w:rPr>
        <w:t xml:space="preserve"> </w:t>
      </w:r>
      <w:r w:rsidR="00FB70BA" w:rsidRPr="006B53A5">
        <w:rPr>
          <w:rFonts w:cs="Arial"/>
          <w:lang w:val="fr-FR"/>
        </w:rPr>
        <w:t>de plusieurs mois.</w:t>
      </w:r>
    </w:p>
    <w:p w:rsidR="00FB70BA" w:rsidRPr="006B53A5" w:rsidRDefault="00170E01" w:rsidP="00681047">
      <w:pPr>
        <w:keepNext/>
        <w:keepLines/>
        <w:autoSpaceDE w:val="0"/>
        <w:autoSpaceDN w:val="0"/>
        <w:adjustRightInd w:val="0"/>
        <w:spacing w:after="0"/>
        <w:ind w:left="284"/>
        <w:rPr>
          <w:rFonts w:eastAsiaTheme="minorHAnsi"/>
          <w:lang w:val="fr-FR"/>
        </w:rPr>
      </w:pPr>
      <w:r w:rsidRPr="006B53A5">
        <w:rPr>
          <w:rFonts w:eastAsiaTheme="minorHAnsi"/>
          <w:b/>
          <w:bCs/>
          <w:lang w:val="fr-FR"/>
        </w:rPr>
        <w:t>T</w:t>
      </w:r>
      <w:r w:rsidR="00FB70BA" w:rsidRPr="006B53A5">
        <w:rPr>
          <w:rFonts w:eastAsiaTheme="minorHAnsi"/>
          <w:b/>
          <w:bCs/>
          <w:lang w:val="fr-FR"/>
        </w:rPr>
        <w:t xml:space="preserve">ransferts monétaires conditionnels </w:t>
      </w:r>
      <w:r w:rsidR="00047855" w:rsidRPr="006B53A5">
        <w:rPr>
          <w:rFonts w:eastAsiaTheme="minorHAnsi"/>
          <w:b/>
          <w:bCs/>
          <w:lang w:val="fr-FR"/>
        </w:rPr>
        <w:t xml:space="preserve">: </w:t>
      </w:r>
      <w:r w:rsidR="00FB70BA" w:rsidRPr="006B53A5">
        <w:rPr>
          <w:rFonts w:eastAsiaTheme="minorHAnsi"/>
          <w:lang w:val="fr-FR"/>
        </w:rPr>
        <w:t xml:space="preserve">sont octroyés aux bénéficiaires </w:t>
      </w:r>
      <w:r w:rsidR="005242D2" w:rsidRPr="006B53A5">
        <w:rPr>
          <w:rFonts w:eastAsiaTheme="minorHAnsi"/>
          <w:lang w:val="fr-FR"/>
        </w:rPr>
        <w:t>selon des</w:t>
      </w:r>
      <w:r w:rsidR="00FB70BA" w:rsidRPr="006B53A5">
        <w:rPr>
          <w:rFonts w:eastAsiaTheme="minorHAnsi"/>
          <w:lang w:val="fr-FR"/>
        </w:rPr>
        <w:t xml:space="preserve"> conditions données ou</w:t>
      </w:r>
      <w:r w:rsidR="005242D2" w:rsidRPr="006B53A5">
        <w:rPr>
          <w:rFonts w:eastAsiaTheme="minorHAnsi"/>
          <w:lang w:val="fr-FR"/>
        </w:rPr>
        <w:t xml:space="preserve"> afin d’être utilisés</w:t>
      </w:r>
      <w:r w:rsidR="00FB70BA" w:rsidRPr="006B53A5">
        <w:rPr>
          <w:rFonts w:eastAsiaTheme="minorHAnsi"/>
          <w:lang w:val="fr-FR"/>
        </w:rPr>
        <w:t xml:space="preserve"> dans un</w:t>
      </w:r>
      <w:r w:rsidR="005242D2" w:rsidRPr="006B53A5">
        <w:rPr>
          <w:rFonts w:eastAsiaTheme="minorHAnsi"/>
          <w:lang w:val="fr-FR"/>
        </w:rPr>
        <w:t xml:space="preserve"> </w:t>
      </w:r>
      <w:r w:rsidR="002725F5" w:rsidRPr="006B53A5">
        <w:rPr>
          <w:rFonts w:eastAsiaTheme="minorHAnsi"/>
          <w:lang w:val="fr-FR"/>
        </w:rPr>
        <w:t>but</w:t>
      </w:r>
      <w:r w:rsidR="00FB70BA" w:rsidRPr="006B53A5">
        <w:rPr>
          <w:rFonts w:eastAsiaTheme="minorHAnsi"/>
          <w:lang w:val="fr-FR"/>
        </w:rPr>
        <w:t xml:space="preserve"> précis, par exemple pour le lancement d’une activité économique, l’achat d’outils ou de produits des</w:t>
      </w:r>
      <w:r w:rsidR="005242D2" w:rsidRPr="006B53A5">
        <w:rPr>
          <w:rFonts w:eastAsiaTheme="minorHAnsi"/>
          <w:lang w:val="fr-FR"/>
        </w:rPr>
        <w:t>tinés à l’agriculture, l’accès aux</w:t>
      </w:r>
      <w:r w:rsidR="00FB70BA" w:rsidRPr="006B53A5">
        <w:rPr>
          <w:rFonts w:eastAsiaTheme="minorHAnsi"/>
          <w:lang w:val="fr-FR"/>
        </w:rPr>
        <w:t xml:space="preserve"> soins de santé ou l’envoi des enfants à l’école. </w:t>
      </w:r>
      <w:r w:rsidR="00681047" w:rsidRPr="006B53A5">
        <w:rPr>
          <w:rFonts w:eastAsiaTheme="minorHAnsi"/>
          <w:lang w:val="fr-FR"/>
        </w:rPr>
        <w:t>Tant que l’argent est utilisé aux fins convenues, les bénéficiaires sont libres de choisir le type, la qualité ou la quantité de produits qu’ils souhaitent acheter</w:t>
      </w:r>
      <w:r w:rsidR="00FB70BA" w:rsidRPr="006B53A5">
        <w:rPr>
          <w:rFonts w:eastAsiaTheme="minorHAnsi"/>
          <w:lang w:val="fr-FR"/>
        </w:rPr>
        <w:t xml:space="preserve">. </w:t>
      </w:r>
    </w:p>
    <w:p w:rsidR="00617DED" w:rsidRPr="006B53A5" w:rsidRDefault="00617DED" w:rsidP="003C7E37">
      <w:pPr>
        <w:autoSpaceDE w:val="0"/>
        <w:autoSpaceDN w:val="0"/>
        <w:adjustRightInd w:val="0"/>
        <w:spacing w:after="0"/>
        <w:ind w:left="284"/>
        <w:rPr>
          <w:rFonts w:eastAsiaTheme="minorHAnsi"/>
          <w:bCs/>
          <w:lang w:val="fr-FR"/>
        </w:rPr>
      </w:pPr>
    </w:p>
    <w:p w:rsidR="00FB70BA" w:rsidRPr="006B53A5" w:rsidRDefault="00FB70BA" w:rsidP="00530A83">
      <w:pPr>
        <w:autoSpaceDE w:val="0"/>
        <w:autoSpaceDN w:val="0"/>
        <w:adjustRightInd w:val="0"/>
        <w:spacing w:after="0"/>
        <w:ind w:left="284"/>
        <w:rPr>
          <w:rFonts w:eastAsiaTheme="minorHAnsi"/>
          <w:lang w:val="fr-FR"/>
        </w:rPr>
      </w:pPr>
      <w:r w:rsidRPr="006B53A5">
        <w:rPr>
          <w:rFonts w:eastAsiaTheme="minorHAnsi"/>
          <w:lang w:val="fr-FR"/>
        </w:rPr>
        <w:t xml:space="preserve">Les transferts monétaires conditionnels </w:t>
      </w:r>
      <w:r w:rsidR="00530A83" w:rsidRPr="006B53A5">
        <w:rPr>
          <w:rFonts w:eastAsiaTheme="minorHAnsi"/>
          <w:lang w:val="fr-FR"/>
        </w:rPr>
        <w:t>englobent</w:t>
      </w:r>
      <w:r w:rsidRPr="006B53A5">
        <w:rPr>
          <w:rFonts w:eastAsiaTheme="minorHAnsi"/>
          <w:lang w:val="fr-FR"/>
        </w:rPr>
        <w:t xml:space="preserve"> les </w:t>
      </w:r>
      <w:r w:rsidR="00530A83" w:rsidRPr="006B53A5">
        <w:rPr>
          <w:rFonts w:eastAsiaTheme="minorHAnsi"/>
          <w:lang w:val="fr-FR"/>
        </w:rPr>
        <w:t>paiements</w:t>
      </w:r>
      <w:r w:rsidRPr="006B53A5">
        <w:rPr>
          <w:rFonts w:eastAsiaTheme="minorHAnsi"/>
          <w:lang w:val="fr-FR"/>
        </w:rPr>
        <w:t xml:space="preserve"> « argent contre travail », les subventions en espèces et les bons à échanger contre des articles </w:t>
      </w:r>
      <w:r w:rsidR="005242D2" w:rsidRPr="006B53A5">
        <w:rPr>
          <w:rFonts w:eastAsiaTheme="minorHAnsi"/>
          <w:lang w:val="fr-FR"/>
        </w:rPr>
        <w:t>donnés</w:t>
      </w:r>
      <w:r w:rsidRPr="006B53A5">
        <w:rPr>
          <w:rFonts w:eastAsiaTheme="minorHAnsi"/>
          <w:lang w:val="fr-FR"/>
        </w:rPr>
        <w:t xml:space="preserve">. </w:t>
      </w:r>
    </w:p>
    <w:p w:rsidR="004C13D2" w:rsidRPr="006B53A5" w:rsidRDefault="000D4365" w:rsidP="00530A83">
      <w:pPr>
        <w:pStyle w:val="ListParagraph"/>
        <w:numPr>
          <w:ilvl w:val="0"/>
          <w:numId w:val="1"/>
        </w:numPr>
        <w:spacing w:before="240"/>
        <w:ind w:left="284" w:hanging="284"/>
        <w:rPr>
          <w:rFonts w:cs="Arial"/>
          <w:b/>
          <w:lang w:val="fr-FR"/>
        </w:rPr>
      </w:pPr>
      <w:r w:rsidRPr="006B53A5">
        <w:rPr>
          <w:rFonts w:cs="Arial"/>
          <w:b/>
          <w:lang w:val="fr-FR"/>
        </w:rPr>
        <w:t xml:space="preserve">Quelle est la différence entre les </w:t>
      </w:r>
      <w:r w:rsidR="00530A83" w:rsidRPr="006B53A5">
        <w:rPr>
          <w:rFonts w:cs="Arial"/>
          <w:b/>
          <w:lang w:val="fr-FR"/>
        </w:rPr>
        <w:t>divers</w:t>
      </w:r>
      <w:r w:rsidRPr="006B53A5">
        <w:rPr>
          <w:rFonts w:cs="Arial"/>
          <w:b/>
          <w:lang w:val="fr-FR"/>
        </w:rPr>
        <w:t xml:space="preserve"> types de bons ?</w:t>
      </w:r>
      <w:r w:rsidR="004C13D2" w:rsidRPr="006B53A5">
        <w:rPr>
          <w:rFonts w:cs="Arial"/>
          <w:b/>
          <w:lang w:val="fr-FR"/>
        </w:rPr>
        <w:t xml:space="preserve"> </w:t>
      </w:r>
    </w:p>
    <w:p w:rsidR="000D4365" w:rsidRPr="006B53A5" w:rsidRDefault="000D4365" w:rsidP="00530A83">
      <w:pPr>
        <w:ind w:left="284"/>
        <w:rPr>
          <w:rFonts w:eastAsia="Times New Roman"/>
          <w:color w:val="000000"/>
          <w:lang w:val="fr-FR" w:eastAsia="en-GB"/>
        </w:rPr>
      </w:pPr>
      <w:r w:rsidRPr="006B53A5">
        <w:rPr>
          <w:rFonts w:eastAsia="Times New Roman"/>
          <w:b/>
          <w:color w:val="000000"/>
          <w:lang w:val="fr-FR" w:eastAsia="en-GB"/>
        </w:rPr>
        <w:t xml:space="preserve">Bons </w:t>
      </w:r>
      <w:r w:rsidR="00530A83" w:rsidRPr="006B53A5">
        <w:rPr>
          <w:rFonts w:eastAsia="Times New Roman"/>
          <w:b/>
          <w:color w:val="000000"/>
          <w:lang w:val="fr-FR" w:eastAsia="en-GB"/>
        </w:rPr>
        <w:t>pour espèces </w:t>
      </w:r>
      <w:r w:rsidR="00CB1920" w:rsidRPr="006B53A5">
        <w:rPr>
          <w:rFonts w:eastAsia="Times New Roman"/>
          <w:b/>
          <w:color w:val="000000"/>
          <w:lang w:val="fr-FR" w:eastAsia="en-GB"/>
        </w:rPr>
        <w:t>:</w:t>
      </w:r>
      <w:r w:rsidR="004C13D2" w:rsidRPr="006B53A5">
        <w:rPr>
          <w:rFonts w:eastAsia="Times New Roman"/>
          <w:color w:val="000000"/>
          <w:lang w:val="fr-FR" w:eastAsia="en-GB"/>
        </w:rPr>
        <w:t xml:space="preserve"> </w:t>
      </w:r>
      <w:r w:rsidR="00170E01" w:rsidRPr="006B53A5">
        <w:rPr>
          <w:rFonts w:eastAsia="Times New Roman"/>
          <w:color w:val="000000"/>
          <w:lang w:val="fr-FR" w:eastAsia="en-GB"/>
        </w:rPr>
        <w:t xml:space="preserve">ont une valeur monétaire </w:t>
      </w:r>
      <w:r w:rsidR="00530A83" w:rsidRPr="006B53A5">
        <w:rPr>
          <w:rFonts w:eastAsia="Times New Roman"/>
          <w:color w:val="000000"/>
          <w:lang w:val="fr-FR" w:eastAsia="en-GB"/>
        </w:rPr>
        <w:t>donnée</w:t>
      </w:r>
      <w:r w:rsidR="00170E01" w:rsidRPr="006B53A5">
        <w:rPr>
          <w:rFonts w:eastAsia="Times New Roman"/>
          <w:color w:val="000000"/>
          <w:lang w:val="fr-FR" w:eastAsia="en-GB"/>
        </w:rPr>
        <w:t xml:space="preserve"> et peuvent </w:t>
      </w:r>
      <w:r w:rsidR="00530A83" w:rsidRPr="006B53A5">
        <w:rPr>
          <w:rFonts w:eastAsia="Times New Roman"/>
          <w:color w:val="000000"/>
          <w:lang w:val="fr-FR" w:eastAsia="en-GB"/>
        </w:rPr>
        <w:t>préciser</w:t>
      </w:r>
      <w:r w:rsidR="00170E01" w:rsidRPr="006B53A5">
        <w:rPr>
          <w:rFonts w:eastAsia="Times New Roman"/>
          <w:color w:val="000000"/>
          <w:lang w:val="fr-FR" w:eastAsia="en-GB"/>
        </w:rPr>
        <w:t xml:space="preserve"> le service, l’article ou le type d’articles contre lesquels ils peuvent être échangés.</w:t>
      </w:r>
    </w:p>
    <w:p w:rsidR="00170E01" w:rsidRPr="006B53A5" w:rsidRDefault="000D4365" w:rsidP="00A70CAF">
      <w:pPr>
        <w:pStyle w:val="ListParagraph"/>
        <w:ind w:left="284"/>
        <w:rPr>
          <w:rFonts w:eastAsia="Times New Roman" w:cs="Arial"/>
          <w:color w:val="000000"/>
          <w:lang w:val="fr-FR" w:eastAsia="en-GB"/>
        </w:rPr>
      </w:pPr>
      <w:r w:rsidRPr="006B53A5">
        <w:rPr>
          <w:rFonts w:eastAsia="Times New Roman" w:cs="Arial"/>
          <w:b/>
          <w:color w:val="000000"/>
          <w:lang w:val="fr-FR" w:eastAsia="en-GB"/>
        </w:rPr>
        <w:t xml:space="preserve">Bons </w:t>
      </w:r>
      <w:r w:rsidR="00530A83" w:rsidRPr="006B53A5">
        <w:rPr>
          <w:rFonts w:eastAsia="Times New Roman" w:cs="Arial"/>
          <w:b/>
          <w:color w:val="000000"/>
          <w:lang w:val="fr-FR" w:eastAsia="en-GB"/>
        </w:rPr>
        <w:t>pour provisions </w:t>
      </w:r>
      <w:r w:rsidR="00CB1920" w:rsidRPr="006B53A5">
        <w:rPr>
          <w:rFonts w:eastAsia="Times New Roman" w:cs="Arial"/>
          <w:b/>
          <w:color w:val="000000"/>
          <w:lang w:val="fr-FR" w:eastAsia="en-GB"/>
        </w:rPr>
        <w:t>:</w:t>
      </w:r>
      <w:r w:rsidR="004C13D2" w:rsidRPr="006B53A5">
        <w:rPr>
          <w:rFonts w:eastAsia="Times New Roman" w:cs="Arial"/>
          <w:color w:val="000000"/>
          <w:lang w:val="fr-FR" w:eastAsia="en-GB"/>
        </w:rPr>
        <w:t xml:space="preserve"> </w:t>
      </w:r>
      <w:r w:rsidR="00170E01" w:rsidRPr="006B53A5">
        <w:rPr>
          <w:rFonts w:eastAsia="Times New Roman" w:cs="Arial"/>
          <w:color w:val="000000"/>
          <w:lang w:val="fr-FR" w:eastAsia="en-GB"/>
        </w:rPr>
        <w:t>peuvent être échangés cont</w:t>
      </w:r>
      <w:r w:rsidR="005242D2" w:rsidRPr="006B53A5">
        <w:rPr>
          <w:rFonts w:eastAsia="Times New Roman" w:cs="Arial"/>
          <w:color w:val="000000"/>
          <w:lang w:val="fr-FR" w:eastAsia="en-GB"/>
        </w:rPr>
        <w:t>re une quantité donnée</w:t>
      </w:r>
      <w:r w:rsidR="00170E01" w:rsidRPr="006B53A5">
        <w:rPr>
          <w:rFonts w:eastAsia="Times New Roman" w:cs="Arial"/>
          <w:color w:val="000000"/>
          <w:lang w:val="fr-FR" w:eastAsia="en-GB"/>
        </w:rPr>
        <w:t xml:space="preserve"> de biens ou de services dans les commerces ou les marchés participant au programme. Les bons </w:t>
      </w:r>
      <w:r w:rsidR="00A70CAF" w:rsidRPr="006B53A5">
        <w:rPr>
          <w:rFonts w:eastAsia="Times New Roman" w:cs="Arial"/>
          <w:color w:val="000000"/>
          <w:lang w:val="fr-FR" w:eastAsia="en-GB"/>
        </w:rPr>
        <w:t>pour</w:t>
      </w:r>
      <w:r w:rsidR="00170E01" w:rsidRPr="006B53A5">
        <w:rPr>
          <w:rFonts w:eastAsia="Times New Roman" w:cs="Arial"/>
          <w:color w:val="000000"/>
          <w:lang w:val="fr-FR" w:eastAsia="en-GB"/>
        </w:rPr>
        <w:t xml:space="preserve"> provisions permettent à l’organisme d’imposer aux bénéficiaires le type et la qualité des articles.</w:t>
      </w:r>
    </w:p>
    <w:p w:rsidR="002D3DC0" w:rsidRPr="006B53A5" w:rsidRDefault="002D3DC0" w:rsidP="00A60809">
      <w:pPr>
        <w:pStyle w:val="ListParagraph"/>
        <w:ind w:left="284"/>
        <w:rPr>
          <w:rFonts w:eastAsia="Times New Roman" w:cs="Arial"/>
          <w:color w:val="000000"/>
          <w:lang w:val="fr-FR" w:eastAsia="en-GB"/>
        </w:rPr>
      </w:pPr>
    </w:p>
    <w:p w:rsidR="000F5883" w:rsidRPr="006B53A5" w:rsidRDefault="002E520E" w:rsidP="00A70CAF">
      <w:pPr>
        <w:pStyle w:val="ListParagraph"/>
        <w:numPr>
          <w:ilvl w:val="0"/>
          <w:numId w:val="2"/>
        </w:numPr>
        <w:ind w:left="284" w:hanging="284"/>
        <w:rPr>
          <w:rFonts w:cs="Arial"/>
          <w:b/>
          <w:bCs/>
          <w:lang w:val="fr-FR"/>
        </w:rPr>
      </w:pPr>
      <w:r w:rsidRPr="006B53A5">
        <w:rPr>
          <w:rFonts w:cs="Arial"/>
          <w:b/>
          <w:bCs/>
          <w:lang w:val="fr-FR"/>
        </w:rPr>
        <w:t>Quand mettre en œuvre des</w:t>
      </w:r>
      <w:r w:rsidR="000D4365" w:rsidRPr="006B53A5">
        <w:rPr>
          <w:rFonts w:cs="Arial"/>
          <w:b/>
          <w:bCs/>
          <w:lang w:val="fr-FR"/>
        </w:rPr>
        <w:t xml:space="preserve"> </w:t>
      </w:r>
      <w:r w:rsidR="00A70CAF" w:rsidRPr="006B53A5">
        <w:rPr>
          <w:rFonts w:cs="Arial"/>
          <w:b/>
          <w:bCs/>
          <w:lang w:val="fr-FR"/>
        </w:rPr>
        <w:t>PTM </w:t>
      </w:r>
      <w:r w:rsidR="000F5883" w:rsidRPr="006B53A5">
        <w:rPr>
          <w:rFonts w:cs="Arial"/>
          <w:b/>
          <w:bCs/>
          <w:lang w:val="fr-FR"/>
        </w:rPr>
        <w:t>?</w:t>
      </w:r>
    </w:p>
    <w:p w:rsidR="001B3331" w:rsidRPr="006B53A5" w:rsidRDefault="001B3331" w:rsidP="002D3DC0">
      <w:pPr>
        <w:pStyle w:val="Bullet1"/>
        <w:rPr>
          <w:lang w:val="fr-FR"/>
        </w:rPr>
      </w:pPr>
      <w:r w:rsidRPr="006B53A5">
        <w:rPr>
          <w:b/>
          <w:bCs/>
          <w:lang w:val="fr-FR"/>
        </w:rPr>
        <w:t>Avan</w:t>
      </w:r>
      <w:r w:rsidR="00A70CAF" w:rsidRPr="006B53A5">
        <w:rPr>
          <w:b/>
          <w:bCs/>
          <w:lang w:val="fr-FR"/>
        </w:rPr>
        <w:t>t la survenue d’une catastrophe </w:t>
      </w:r>
      <w:r w:rsidR="00260E7E" w:rsidRPr="006B53A5">
        <w:rPr>
          <w:b/>
          <w:bCs/>
          <w:lang w:val="fr-FR"/>
        </w:rPr>
        <w:t xml:space="preserve">: </w:t>
      </w:r>
      <w:r w:rsidRPr="006B53A5">
        <w:rPr>
          <w:bCs/>
          <w:lang w:val="fr-FR"/>
        </w:rPr>
        <w:t>en anticipation de chocs prévisibles ou dans le cadre d’un programme de réduction des risques de catastrophe.</w:t>
      </w:r>
    </w:p>
    <w:p w:rsidR="001B3331" w:rsidRPr="006B53A5" w:rsidRDefault="00A70CAF" w:rsidP="00D9189F">
      <w:pPr>
        <w:pStyle w:val="Bullet1"/>
        <w:rPr>
          <w:lang w:val="fr-FR"/>
        </w:rPr>
      </w:pPr>
      <w:r w:rsidRPr="006B53A5">
        <w:rPr>
          <w:b/>
          <w:bCs/>
          <w:lang w:val="fr-FR"/>
        </w:rPr>
        <w:t>Dans les</w:t>
      </w:r>
      <w:r w:rsidR="00314753" w:rsidRPr="006B53A5">
        <w:rPr>
          <w:b/>
          <w:bCs/>
          <w:lang w:val="fr-FR"/>
        </w:rPr>
        <w:t xml:space="preserve"> p</w:t>
      </w:r>
      <w:r w:rsidR="001B3331" w:rsidRPr="006B53A5">
        <w:rPr>
          <w:b/>
          <w:bCs/>
          <w:lang w:val="fr-FR"/>
        </w:rPr>
        <w:t>remières phase</w:t>
      </w:r>
      <w:r w:rsidRPr="006B53A5">
        <w:rPr>
          <w:b/>
          <w:bCs/>
          <w:lang w:val="fr-FR"/>
        </w:rPr>
        <w:t>s d’une intervention de secours </w:t>
      </w:r>
      <w:r w:rsidR="00260E7E" w:rsidRPr="006B53A5">
        <w:rPr>
          <w:b/>
          <w:bCs/>
          <w:lang w:val="fr-FR"/>
        </w:rPr>
        <w:t>:</w:t>
      </w:r>
      <w:r w:rsidR="000F5883" w:rsidRPr="006B53A5">
        <w:rPr>
          <w:b/>
          <w:bCs/>
          <w:lang w:val="fr-FR"/>
        </w:rPr>
        <w:t xml:space="preserve"> </w:t>
      </w:r>
      <w:r w:rsidR="001B3331" w:rsidRPr="006B53A5">
        <w:rPr>
          <w:lang w:val="fr-FR"/>
        </w:rPr>
        <w:t xml:space="preserve">pour répondre aux besoins alimentaires et non alimentaires </w:t>
      </w:r>
      <w:r w:rsidR="00A8684B" w:rsidRPr="006B53A5">
        <w:rPr>
          <w:lang w:val="fr-FR"/>
        </w:rPr>
        <w:t>immédiats</w:t>
      </w:r>
      <w:r w:rsidRPr="006B53A5">
        <w:rPr>
          <w:lang w:val="fr-FR"/>
        </w:rPr>
        <w:t> ; pallier l’absence de revenus ; et/ou</w:t>
      </w:r>
      <w:r w:rsidR="00A8684B" w:rsidRPr="006B53A5">
        <w:rPr>
          <w:lang w:val="fr-FR"/>
        </w:rPr>
        <w:t xml:space="preserve"> protéger/remettre en état les moyens de subsistance </w:t>
      </w:r>
      <w:r w:rsidRPr="006B53A5">
        <w:rPr>
          <w:lang w:val="fr-FR"/>
        </w:rPr>
        <w:t>e</w:t>
      </w:r>
      <w:r w:rsidR="00D9189F" w:rsidRPr="006B53A5">
        <w:rPr>
          <w:lang w:val="fr-FR"/>
        </w:rPr>
        <w:t>t</w:t>
      </w:r>
      <w:r w:rsidR="00A8684B" w:rsidRPr="006B53A5">
        <w:rPr>
          <w:lang w:val="fr-FR"/>
        </w:rPr>
        <w:t xml:space="preserve"> </w:t>
      </w:r>
      <w:r w:rsidR="00D9189F" w:rsidRPr="006B53A5">
        <w:rPr>
          <w:lang w:val="fr-FR"/>
        </w:rPr>
        <w:t>les logements</w:t>
      </w:r>
      <w:r w:rsidR="00A8684B" w:rsidRPr="006B53A5">
        <w:rPr>
          <w:lang w:val="fr-FR"/>
        </w:rPr>
        <w:t>.</w:t>
      </w:r>
    </w:p>
    <w:p w:rsidR="00A8684B" w:rsidRPr="006B53A5" w:rsidRDefault="00D9189F" w:rsidP="00D9189F">
      <w:pPr>
        <w:pStyle w:val="Bullet1"/>
        <w:rPr>
          <w:lang w:val="fr-FR"/>
        </w:rPr>
      </w:pPr>
      <w:r w:rsidRPr="006B53A5">
        <w:rPr>
          <w:b/>
          <w:bCs/>
          <w:lang w:val="fr-FR"/>
        </w:rPr>
        <w:t>En période de relèvement </w:t>
      </w:r>
      <w:r w:rsidR="00260E7E" w:rsidRPr="006B53A5">
        <w:rPr>
          <w:b/>
          <w:bCs/>
          <w:lang w:val="fr-FR"/>
        </w:rPr>
        <w:t>:</w:t>
      </w:r>
      <w:r w:rsidR="000F5883" w:rsidRPr="006B53A5">
        <w:rPr>
          <w:b/>
          <w:bCs/>
          <w:lang w:val="fr-FR"/>
        </w:rPr>
        <w:t xml:space="preserve"> </w:t>
      </w:r>
      <w:r w:rsidR="00314753" w:rsidRPr="006B53A5">
        <w:rPr>
          <w:bCs/>
          <w:lang w:val="fr-FR"/>
        </w:rPr>
        <w:t xml:space="preserve">pour favoriser la remise en état/le renforcement des moyens de subsistance, fournir des abris </w:t>
      </w:r>
      <w:r w:rsidR="00314753" w:rsidRPr="006B53A5">
        <w:rPr>
          <w:b/>
          <w:bCs/>
          <w:lang w:val="fr-FR"/>
        </w:rPr>
        <w:t>t</w:t>
      </w:r>
      <w:r w:rsidRPr="006B53A5">
        <w:rPr>
          <w:b/>
          <w:bCs/>
          <w:lang w:val="fr-FR"/>
        </w:rPr>
        <w:t>emporaires</w:t>
      </w:r>
      <w:r w:rsidR="00314753" w:rsidRPr="006B53A5">
        <w:rPr>
          <w:bCs/>
          <w:lang w:val="fr-FR"/>
        </w:rPr>
        <w:t xml:space="preserve"> ou créer des emplois à court terme, au profit de la communauté</w:t>
      </w:r>
      <w:r w:rsidR="002E520E" w:rsidRPr="006B53A5">
        <w:rPr>
          <w:bCs/>
          <w:lang w:val="fr-FR"/>
        </w:rPr>
        <w:t>.</w:t>
      </w:r>
    </w:p>
    <w:p w:rsidR="00314753" w:rsidRPr="006B53A5" w:rsidRDefault="00314753" w:rsidP="00D9189F">
      <w:pPr>
        <w:pStyle w:val="Bullet1"/>
        <w:rPr>
          <w:lang w:val="fr-FR"/>
        </w:rPr>
      </w:pPr>
      <w:r w:rsidRPr="006B53A5">
        <w:rPr>
          <w:b/>
          <w:bCs/>
          <w:lang w:val="fr-FR"/>
        </w:rPr>
        <w:t xml:space="preserve">Dans le </w:t>
      </w:r>
      <w:r w:rsidR="00D9189F" w:rsidRPr="006B53A5">
        <w:rPr>
          <w:b/>
          <w:bCs/>
          <w:lang w:val="fr-FR"/>
        </w:rPr>
        <w:t>contexte</w:t>
      </w:r>
      <w:r w:rsidRPr="006B53A5">
        <w:rPr>
          <w:b/>
          <w:bCs/>
          <w:lang w:val="fr-FR"/>
        </w:rPr>
        <w:t xml:space="preserve"> d</w:t>
      </w:r>
      <w:r w:rsidR="00D9189F" w:rsidRPr="006B53A5">
        <w:rPr>
          <w:b/>
          <w:bCs/>
          <w:lang w:val="fr-FR"/>
        </w:rPr>
        <w:t>e crises chroniques/permanentes </w:t>
      </w:r>
      <w:r w:rsidR="00260E7E" w:rsidRPr="006B53A5">
        <w:rPr>
          <w:b/>
          <w:bCs/>
          <w:lang w:val="fr-FR"/>
        </w:rPr>
        <w:t>:</w:t>
      </w:r>
      <w:r w:rsidR="000F5883" w:rsidRPr="006B53A5">
        <w:rPr>
          <w:b/>
          <w:bCs/>
          <w:lang w:val="fr-FR"/>
        </w:rPr>
        <w:t xml:space="preserve"> </w:t>
      </w:r>
      <w:r w:rsidRPr="006B53A5">
        <w:rPr>
          <w:bCs/>
          <w:lang w:val="fr-FR"/>
        </w:rPr>
        <w:t>pour contribuer à la lutte contre la pauvreté, favoriser la transition de l’aide humanitaire à l’aide sociale, répondre aux besoins alimentaires et non alimentaires essentiels et renforcer/mettre en place des moyens de subsistance.</w:t>
      </w:r>
    </w:p>
    <w:p w:rsidR="00314753" w:rsidRPr="006B53A5" w:rsidRDefault="00C465FE" w:rsidP="002D3DC0">
      <w:pPr>
        <w:pStyle w:val="Bullet1"/>
        <w:rPr>
          <w:lang w:val="fr-FR"/>
        </w:rPr>
      </w:pPr>
      <w:r w:rsidRPr="006B53A5">
        <w:rPr>
          <w:b/>
          <w:bCs/>
          <w:lang w:val="fr-FR"/>
        </w:rPr>
        <w:t>Pendant un conflit </w:t>
      </w:r>
      <w:r w:rsidR="00260E7E" w:rsidRPr="006B53A5">
        <w:rPr>
          <w:b/>
          <w:bCs/>
          <w:lang w:val="fr-FR"/>
        </w:rPr>
        <w:t>:</w:t>
      </w:r>
      <w:r w:rsidR="000F5883" w:rsidRPr="006B53A5">
        <w:rPr>
          <w:b/>
          <w:bCs/>
          <w:lang w:val="fr-FR"/>
        </w:rPr>
        <w:t xml:space="preserve"> </w:t>
      </w:r>
      <w:r w:rsidR="00314753" w:rsidRPr="006B53A5">
        <w:rPr>
          <w:bCs/>
          <w:lang w:val="fr-FR"/>
        </w:rPr>
        <w:t>pour répondre aux besoins immédiats et contribuer au renforcement des moyens de subsistance.</w:t>
      </w:r>
    </w:p>
    <w:p w:rsidR="00ED420E" w:rsidRPr="006B53A5" w:rsidRDefault="002E520E" w:rsidP="0019190A">
      <w:pPr>
        <w:pStyle w:val="ListParagraph"/>
        <w:numPr>
          <w:ilvl w:val="0"/>
          <w:numId w:val="1"/>
        </w:numPr>
        <w:spacing w:before="240"/>
        <w:ind w:left="284" w:hanging="284"/>
        <w:rPr>
          <w:rFonts w:cs="Arial"/>
          <w:b/>
          <w:lang w:val="fr-FR"/>
        </w:rPr>
      </w:pPr>
      <w:r w:rsidRPr="006B53A5">
        <w:rPr>
          <w:rFonts w:cs="Arial"/>
          <w:b/>
          <w:lang w:val="fr-FR"/>
        </w:rPr>
        <w:t>Qu</w:t>
      </w:r>
      <w:r w:rsidR="00A10D3F" w:rsidRPr="006B53A5">
        <w:rPr>
          <w:rFonts w:cs="Arial"/>
          <w:b/>
          <w:lang w:val="fr-FR"/>
        </w:rPr>
        <w:t xml:space="preserve">and faut-il prendre la décision </w:t>
      </w:r>
      <w:r w:rsidR="0019190A" w:rsidRPr="006B53A5">
        <w:rPr>
          <w:rFonts w:cs="Arial"/>
          <w:b/>
          <w:lang w:val="fr-FR"/>
        </w:rPr>
        <w:t>d’utiliser les</w:t>
      </w:r>
      <w:r w:rsidR="00A10D3F" w:rsidRPr="006B53A5">
        <w:rPr>
          <w:rFonts w:cs="Arial"/>
          <w:b/>
          <w:lang w:val="fr-FR"/>
        </w:rPr>
        <w:t xml:space="preserve"> transferts monétaires </w:t>
      </w:r>
      <w:r w:rsidR="0019190A" w:rsidRPr="006B53A5">
        <w:rPr>
          <w:rFonts w:cs="Arial"/>
          <w:b/>
          <w:lang w:val="fr-FR"/>
        </w:rPr>
        <w:t>dans le cadre d’une</w:t>
      </w:r>
      <w:r w:rsidR="00ED420E" w:rsidRPr="006B53A5">
        <w:rPr>
          <w:rFonts w:cs="Arial"/>
          <w:b/>
          <w:lang w:val="fr-FR"/>
        </w:rPr>
        <w:t xml:space="preserve"> intervention d’urgence ou de relèvement ?</w:t>
      </w:r>
    </w:p>
    <w:p w:rsidR="00ED420E" w:rsidRPr="006B53A5" w:rsidRDefault="00ED420E" w:rsidP="0020679F">
      <w:pPr>
        <w:spacing w:after="0"/>
        <w:ind w:left="284"/>
        <w:rPr>
          <w:lang w:val="fr-FR"/>
        </w:rPr>
      </w:pPr>
      <w:r w:rsidRPr="006B53A5">
        <w:rPr>
          <w:lang w:val="fr-FR"/>
        </w:rPr>
        <w:t xml:space="preserve">Les </w:t>
      </w:r>
      <w:r w:rsidR="0019190A" w:rsidRPr="006B53A5">
        <w:rPr>
          <w:lang w:val="fr-FR"/>
        </w:rPr>
        <w:t>PTM</w:t>
      </w:r>
      <w:r w:rsidRPr="006B53A5">
        <w:rPr>
          <w:lang w:val="fr-FR"/>
        </w:rPr>
        <w:t xml:space="preserve"> s’inscrivent dans </w:t>
      </w:r>
      <w:r w:rsidR="0019190A" w:rsidRPr="006B53A5">
        <w:rPr>
          <w:lang w:val="fr-FR"/>
        </w:rPr>
        <w:t>le</w:t>
      </w:r>
      <w:r w:rsidRPr="006B53A5">
        <w:rPr>
          <w:lang w:val="fr-FR"/>
        </w:rPr>
        <w:t xml:space="preserve"> cycle de projets. Cela signifie que la décision </w:t>
      </w:r>
      <w:r w:rsidR="0019190A" w:rsidRPr="006B53A5">
        <w:rPr>
          <w:lang w:val="fr-FR"/>
        </w:rPr>
        <w:t>d’utiliser</w:t>
      </w:r>
      <w:r w:rsidRPr="006B53A5">
        <w:rPr>
          <w:lang w:val="fr-FR"/>
        </w:rPr>
        <w:t xml:space="preserve"> ou non </w:t>
      </w:r>
      <w:r w:rsidR="0019190A" w:rsidRPr="006B53A5">
        <w:rPr>
          <w:lang w:val="fr-FR"/>
        </w:rPr>
        <w:t>les transferts monétaires</w:t>
      </w:r>
      <w:r w:rsidRPr="006B53A5">
        <w:rPr>
          <w:lang w:val="fr-FR"/>
        </w:rPr>
        <w:t xml:space="preserve"> dans le cadre d’une intervention dépendra des processus de préparation, d’évaluation et d’analyse des solutions d’intervention. La décision de recourir à des </w:t>
      </w:r>
      <w:r w:rsidR="004042A6" w:rsidRPr="006B53A5">
        <w:rPr>
          <w:lang w:val="fr-FR"/>
        </w:rPr>
        <w:t>PTM</w:t>
      </w:r>
      <w:r w:rsidRPr="006B53A5">
        <w:rPr>
          <w:lang w:val="fr-FR"/>
        </w:rPr>
        <w:t xml:space="preserve"> </w:t>
      </w:r>
      <w:r w:rsidR="0020679F" w:rsidRPr="006B53A5">
        <w:rPr>
          <w:lang w:val="fr-FR"/>
        </w:rPr>
        <w:t xml:space="preserve">dépend de </w:t>
      </w:r>
      <w:r w:rsidRPr="006B53A5">
        <w:rPr>
          <w:lang w:val="fr-FR"/>
        </w:rPr>
        <w:t xml:space="preserve">leur </w:t>
      </w:r>
      <w:r w:rsidR="0020679F" w:rsidRPr="006B53A5">
        <w:rPr>
          <w:b/>
          <w:lang w:val="fr-FR"/>
        </w:rPr>
        <w:t>pertinence</w:t>
      </w:r>
      <w:r w:rsidRPr="006B53A5">
        <w:rPr>
          <w:lang w:val="fr-FR"/>
        </w:rPr>
        <w:t xml:space="preserve"> et </w:t>
      </w:r>
      <w:r w:rsidR="0020679F" w:rsidRPr="006B53A5">
        <w:rPr>
          <w:lang w:val="fr-FR"/>
        </w:rPr>
        <w:t>de</w:t>
      </w:r>
      <w:r w:rsidRPr="006B53A5">
        <w:rPr>
          <w:lang w:val="fr-FR"/>
        </w:rPr>
        <w:t xml:space="preserve"> leur </w:t>
      </w:r>
      <w:r w:rsidRPr="006B53A5">
        <w:rPr>
          <w:b/>
          <w:lang w:val="fr-FR"/>
        </w:rPr>
        <w:t>faisabilité</w:t>
      </w:r>
      <w:r w:rsidRPr="006B53A5">
        <w:rPr>
          <w:lang w:val="fr-FR"/>
        </w:rPr>
        <w:t xml:space="preserve">. </w:t>
      </w:r>
      <w:r w:rsidR="0020679F" w:rsidRPr="006B53A5">
        <w:rPr>
          <w:b/>
          <w:lang w:val="fr-FR"/>
        </w:rPr>
        <w:t>La pertinence</w:t>
      </w:r>
      <w:r w:rsidRPr="006B53A5">
        <w:rPr>
          <w:b/>
          <w:lang w:val="fr-FR"/>
        </w:rPr>
        <w:t xml:space="preserve"> </w:t>
      </w:r>
      <w:r w:rsidR="0020679F" w:rsidRPr="006B53A5">
        <w:rPr>
          <w:lang w:val="fr-FR"/>
        </w:rPr>
        <w:t>renvoie</w:t>
      </w:r>
      <w:r w:rsidRPr="006B53A5">
        <w:rPr>
          <w:lang w:val="fr-FR"/>
        </w:rPr>
        <w:t xml:space="preserve"> à la </w:t>
      </w:r>
      <w:r w:rsidR="00A435D5" w:rsidRPr="006B53A5">
        <w:rPr>
          <w:lang w:val="fr-FR"/>
        </w:rPr>
        <w:t>mesure dans laquelle</w:t>
      </w:r>
      <w:r w:rsidRPr="006B53A5">
        <w:rPr>
          <w:lang w:val="fr-FR"/>
        </w:rPr>
        <w:t xml:space="preserve"> les </w:t>
      </w:r>
      <w:r w:rsidR="0020679F" w:rsidRPr="006B53A5">
        <w:rPr>
          <w:lang w:val="fr-FR"/>
        </w:rPr>
        <w:t>PTM</w:t>
      </w:r>
      <w:r w:rsidRPr="006B53A5">
        <w:rPr>
          <w:lang w:val="fr-FR"/>
        </w:rPr>
        <w:t xml:space="preserve"> </w:t>
      </w:r>
      <w:r w:rsidR="0020679F" w:rsidRPr="006B53A5">
        <w:rPr>
          <w:lang w:val="fr-FR"/>
        </w:rPr>
        <w:t>contribuent à satisfaire les</w:t>
      </w:r>
      <w:r w:rsidRPr="006B53A5">
        <w:rPr>
          <w:lang w:val="fr-FR"/>
        </w:rPr>
        <w:t xml:space="preserve"> besoins d’un groupe cible</w:t>
      </w:r>
      <w:r w:rsidR="00A435D5" w:rsidRPr="006B53A5">
        <w:rPr>
          <w:lang w:val="fr-FR"/>
        </w:rPr>
        <w:t xml:space="preserve"> donné</w:t>
      </w:r>
      <w:r w:rsidR="0020679F" w:rsidRPr="006B53A5">
        <w:rPr>
          <w:lang w:val="fr-FR"/>
        </w:rPr>
        <w:t>, conformément aux</w:t>
      </w:r>
      <w:r w:rsidR="002725F5" w:rsidRPr="006B53A5">
        <w:rPr>
          <w:lang w:val="fr-FR"/>
        </w:rPr>
        <w:t xml:space="preserve"> objectifs et </w:t>
      </w:r>
      <w:r w:rsidR="0020679F" w:rsidRPr="006B53A5">
        <w:rPr>
          <w:lang w:val="fr-FR"/>
        </w:rPr>
        <w:t>au calendrier de l’intervention</w:t>
      </w:r>
      <w:r w:rsidRPr="006B53A5">
        <w:rPr>
          <w:lang w:val="fr-FR"/>
        </w:rPr>
        <w:t xml:space="preserve">. </w:t>
      </w:r>
      <w:r w:rsidRPr="006B53A5">
        <w:rPr>
          <w:b/>
          <w:lang w:val="fr-FR"/>
        </w:rPr>
        <w:t>La faisabilité</w:t>
      </w:r>
      <w:r w:rsidRPr="006B53A5">
        <w:rPr>
          <w:lang w:val="fr-FR"/>
        </w:rPr>
        <w:t xml:space="preserve"> </w:t>
      </w:r>
      <w:r w:rsidR="0020679F" w:rsidRPr="006B53A5">
        <w:rPr>
          <w:lang w:val="fr-FR"/>
        </w:rPr>
        <w:t>renvoie</w:t>
      </w:r>
      <w:r w:rsidRPr="006B53A5">
        <w:rPr>
          <w:lang w:val="fr-FR"/>
        </w:rPr>
        <w:t xml:space="preserve"> aux capacités opérationnelles</w:t>
      </w:r>
      <w:r w:rsidR="00CE4D4B" w:rsidRPr="006B53A5">
        <w:rPr>
          <w:lang w:val="fr-FR"/>
        </w:rPr>
        <w:t xml:space="preserve"> </w:t>
      </w:r>
      <w:r w:rsidR="0046454D" w:rsidRPr="006B53A5">
        <w:rPr>
          <w:lang w:val="fr-FR"/>
        </w:rPr>
        <w:t>dans un contexte donné</w:t>
      </w:r>
      <w:r w:rsidR="00CE4D4B" w:rsidRPr="006B53A5">
        <w:rPr>
          <w:lang w:val="fr-FR"/>
        </w:rPr>
        <w:t xml:space="preserve"> </w:t>
      </w:r>
      <w:r w:rsidR="0046454D" w:rsidRPr="006B53A5">
        <w:rPr>
          <w:lang w:val="fr-FR"/>
        </w:rPr>
        <w:t xml:space="preserve">et à la capacité </w:t>
      </w:r>
      <w:r w:rsidR="0020679F" w:rsidRPr="006B53A5">
        <w:rPr>
          <w:lang w:val="fr-FR"/>
        </w:rPr>
        <w:t>du Mouvement</w:t>
      </w:r>
      <w:r w:rsidRPr="006B53A5">
        <w:rPr>
          <w:lang w:val="fr-FR"/>
        </w:rPr>
        <w:t xml:space="preserve"> </w:t>
      </w:r>
      <w:r w:rsidR="0020679F" w:rsidRPr="006B53A5">
        <w:rPr>
          <w:lang w:val="fr-FR"/>
        </w:rPr>
        <w:t xml:space="preserve">d’utiliser les PTM </w:t>
      </w:r>
      <w:r w:rsidR="00CE4D4B" w:rsidRPr="006B53A5">
        <w:rPr>
          <w:lang w:val="fr-FR"/>
        </w:rPr>
        <w:t>pour atte</w:t>
      </w:r>
      <w:r w:rsidR="0046454D" w:rsidRPr="006B53A5">
        <w:rPr>
          <w:lang w:val="fr-FR"/>
        </w:rPr>
        <w:t xml:space="preserve">indre les objectifs visés. Les </w:t>
      </w:r>
      <w:r w:rsidR="0059191C" w:rsidRPr="006B53A5">
        <w:rPr>
          <w:lang w:val="fr-FR"/>
        </w:rPr>
        <w:t>questions liées</w:t>
      </w:r>
      <w:r w:rsidR="00CE4D4B" w:rsidRPr="006B53A5">
        <w:rPr>
          <w:lang w:val="fr-FR"/>
        </w:rPr>
        <w:t xml:space="preserve"> à l</w:t>
      </w:r>
      <w:r w:rsidR="0020679F" w:rsidRPr="006B53A5">
        <w:rPr>
          <w:lang w:val="fr-FR"/>
        </w:rPr>
        <w:t>a pertinence</w:t>
      </w:r>
      <w:r w:rsidR="00CE4D4B" w:rsidRPr="006B53A5">
        <w:rPr>
          <w:lang w:val="fr-FR"/>
        </w:rPr>
        <w:t xml:space="preserve"> et à la faisabilité</w:t>
      </w:r>
      <w:r w:rsidR="0059191C" w:rsidRPr="006B53A5">
        <w:rPr>
          <w:lang w:val="fr-FR"/>
        </w:rPr>
        <w:t xml:space="preserve"> des </w:t>
      </w:r>
      <w:r w:rsidR="0020679F" w:rsidRPr="006B53A5">
        <w:rPr>
          <w:lang w:val="fr-FR"/>
        </w:rPr>
        <w:t>PTM</w:t>
      </w:r>
      <w:r w:rsidR="00CE4D4B" w:rsidRPr="006B53A5">
        <w:rPr>
          <w:lang w:val="fr-FR"/>
        </w:rPr>
        <w:t xml:space="preserve"> exigent une bonne connaissance de la dynamique des marchés et des préféren</w:t>
      </w:r>
      <w:r w:rsidR="0059191C" w:rsidRPr="006B53A5">
        <w:rPr>
          <w:lang w:val="fr-FR"/>
        </w:rPr>
        <w:t>ces des groupes cibles.</w:t>
      </w:r>
    </w:p>
    <w:p w:rsidR="000F5883" w:rsidRPr="006B53A5" w:rsidRDefault="00CE4D4B" w:rsidP="00CE4D4B">
      <w:pPr>
        <w:pStyle w:val="ListParagraph"/>
        <w:numPr>
          <w:ilvl w:val="0"/>
          <w:numId w:val="2"/>
        </w:numPr>
        <w:spacing w:before="240"/>
        <w:ind w:left="284" w:hanging="284"/>
        <w:rPr>
          <w:rFonts w:cs="Arial"/>
          <w:b/>
          <w:bCs/>
          <w:lang w:val="fr-FR"/>
        </w:rPr>
      </w:pPr>
      <w:r w:rsidRPr="006B53A5">
        <w:rPr>
          <w:rFonts w:cs="Arial"/>
          <w:b/>
          <w:bCs/>
          <w:lang w:val="fr-FR"/>
        </w:rPr>
        <w:t>Quelles sont les conditions nécessaires à la prise en</w:t>
      </w:r>
      <w:r w:rsidR="0046454D" w:rsidRPr="006B53A5">
        <w:rPr>
          <w:rFonts w:cs="Arial"/>
          <w:b/>
          <w:bCs/>
          <w:lang w:val="fr-FR"/>
        </w:rPr>
        <w:t xml:space="preserve"> considération des PTM comme</w:t>
      </w:r>
      <w:r w:rsidRPr="006B53A5">
        <w:rPr>
          <w:rFonts w:cs="Arial"/>
          <w:b/>
          <w:bCs/>
          <w:lang w:val="fr-FR"/>
        </w:rPr>
        <w:t xml:space="preserve"> solution d’intervention ?</w:t>
      </w:r>
    </w:p>
    <w:p w:rsidR="00CE4D4B" w:rsidRPr="006B53A5" w:rsidRDefault="00CE4D4B" w:rsidP="002D3DC0">
      <w:pPr>
        <w:pStyle w:val="Bullet1"/>
        <w:rPr>
          <w:lang w:val="fr-FR"/>
        </w:rPr>
      </w:pPr>
      <w:r w:rsidRPr="006B53A5">
        <w:rPr>
          <w:lang w:val="fr-FR"/>
        </w:rPr>
        <w:t>Un marché qui fonctionne et qui soit accessible aux commerçants et aux bénéfici</w:t>
      </w:r>
      <w:r w:rsidR="0046454D" w:rsidRPr="006B53A5">
        <w:rPr>
          <w:lang w:val="fr-FR"/>
        </w:rPr>
        <w:t>aires visés.</w:t>
      </w:r>
    </w:p>
    <w:p w:rsidR="000F5883" w:rsidRPr="006B53A5" w:rsidRDefault="00DF093E" w:rsidP="00DF093E">
      <w:pPr>
        <w:pStyle w:val="Bullet1"/>
        <w:rPr>
          <w:lang w:val="fr-FR"/>
        </w:rPr>
      </w:pPr>
      <w:r w:rsidRPr="006B53A5">
        <w:rPr>
          <w:lang w:val="fr-FR"/>
        </w:rPr>
        <w:t>Au niveau du gouvernement et de la Société nationale, d</w:t>
      </w:r>
      <w:r w:rsidR="00CE4D4B" w:rsidRPr="006B53A5">
        <w:rPr>
          <w:lang w:val="fr-FR"/>
        </w:rPr>
        <w:t xml:space="preserve">es responsables favorables </w:t>
      </w:r>
      <w:r w:rsidRPr="006B53A5">
        <w:rPr>
          <w:lang w:val="fr-FR"/>
        </w:rPr>
        <w:t>aux</w:t>
      </w:r>
      <w:r w:rsidR="00FB6C09" w:rsidRPr="006B53A5">
        <w:rPr>
          <w:lang w:val="fr-FR"/>
        </w:rPr>
        <w:t xml:space="preserve"> transferts monétaires</w:t>
      </w:r>
      <w:r w:rsidR="0046454D" w:rsidRPr="006B53A5">
        <w:rPr>
          <w:lang w:val="fr-FR"/>
        </w:rPr>
        <w:t>.</w:t>
      </w:r>
    </w:p>
    <w:p w:rsidR="00FB6C09" w:rsidRPr="006B53A5" w:rsidRDefault="00FB6C09" w:rsidP="00F01C94">
      <w:pPr>
        <w:pStyle w:val="Bullet1"/>
        <w:rPr>
          <w:lang w:val="fr-FR"/>
        </w:rPr>
      </w:pPr>
      <w:r w:rsidRPr="006B53A5">
        <w:rPr>
          <w:lang w:val="fr-FR"/>
        </w:rPr>
        <w:t xml:space="preserve">Pas de taxation excessive des marchandises (qui pourrait conduire à une hausse des prix ou entraver la capacité du marché </w:t>
      </w:r>
      <w:r w:rsidR="00F01C94" w:rsidRPr="006B53A5">
        <w:rPr>
          <w:lang w:val="fr-FR"/>
        </w:rPr>
        <w:t>de</w:t>
      </w:r>
      <w:r w:rsidRPr="006B53A5">
        <w:rPr>
          <w:lang w:val="fr-FR"/>
        </w:rPr>
        <w:t xml:space="preserve"> fournir les articles requis)</w:t>
      </w:r>
      <w:r w:rsidR="0046454D" w:rsidRPr="006B53A5">
        <w:rPr>
          <w:lang w:val="fr-FR"/>
        </w:rPr>
        <w:t>.</w:t>
      </w:r>
    </w:p>
    <w:p w:rsidR="00A54CC2" w:rsidRPr="006B53A5" w:rsidRDefault="00A54CC2" w:rsidP="00F01C94">
      <w:pPr>
        <w:pStyle w:val="Bullet1"/>
        <w:rPr>
          <w:lang w:val="fr-FR"/>
        </w:rPr>
      </w:pPr>
      <w:r w:rsidRPr="006B53A5">
        <w:rPr>
          <w:lang w:val="fr-FR"/>
        </w:rPr>
        <w:lastRenderedPageBreak/>
        <w:t xml:space="preserve">Un mécanisme de distribution opérationnel et fiable (banques, organismes de transfert de fonds, réseau de téléphonie mobile, etc.) </w:t>
      </w:r>
      <w:r w:rsidR="00F01C94" w:rsidRPr="006B53A5">
        <w:rPr>
          <w:lang w:val="fr-FR"/>
        </w:rPr>
        <w:t xml:space="preserve">par le biais duquel </w:t>
      </w:r>
      <w:r w:rsidRPr="006B53A5">
        <w:rPr>
          <w:lang w:val="fr-FR"/>
        </w:rPr>
        <w:t xml:space="preserve">effectuer les paiements </w:t>
      </w:r>
      <w:r w:rsidR="00F01C94" w:rsidRPr="006B53A5">
        <w:rPr>
          <w:lang w:val="fr-FR"/>
        </w:rPr>
        <w:t>aux</w:t>
      </w:r>
      <w:r w:rsidRPr="006B53A5">
        <w:rPr>
          <w:lang w:val="fr-FR"/>
        </w:rPr>
        <w:t xml:space="preserve"> bénéficiaires</w:t>
      </w:r>
      <w:r w:rsidR="0046454D" w:rsidRPr="006B53A5">
        <w:rPr>
          <w:lang w:val="fr-FR"/>
        </w:rPr>
        <w:t>.</w:t>
      </w:r>
    </w:p>
    <w:p w:rsidR="00A54CC2" w:rsidRPr="006B53A5" w:rsidRDefault="00A54CC2" w:rsidP="002D3DC0">
      <w:pPr>
        <w:pStyle w:val="Bullet1"/>
        <w:rPr>
          <w:lang w:val="fr-FR"/>
        </w:rPr>
      </w:pPr>
      <w:r w:rsidRPr="006B53A5">
        <w:rPr>
          <w:lang w:val="fr-FR"/>
        </w:rPr>
        <w:t>Un système fiable d’identification des bénéficiaires</w:t>
      </w:r>
      <w:r w:rsidR="0046454D" w:rsidRPr="006B53A5">
        <w:rPr>
          <w:lang w:val="fr-FR"/>
        </w:rPr>
        <w:t>.</w:t>
      </w:r>
    </w:p>
    <w:p w:rsidR="000F5883" w:rsidRPr="006B53A5" w:rsidRDefault="00A54CC2" w:rsidP="002D3DC0">
      <w:pPr>
        <w:pStyle w:val="Bullet1"/>
        <w:rPr>
          <w:lang w:val="fr-FR"/>
        </w:rPr>
      </w:pPr>
      <w:r w:rsidRPr="006B53A5">
        <w:rPr>
          <w:lang w:val="fr-FR"/>
        </w:rPr>
        <w:t>Des voies efficaces de communication avec la communauté</w:t>
      </w:r>
      <w:r w:rsidR="0046454D" w:rsidRPr="006B53A5">
        <w:rPr>
          <w:lang w:val="fr-FR"/>
        </w:rPr>
        <w:t>.</w:t>
      </w:r>
    </w:p>
    <w:p w:rsidR="00A54CC2" w:rsidRPr="006B53A5" w:rsidRDefault="00A54CC2" w:rsidP="002D3DC0">
      <w:pPr>
        <w:pStyle w:val="Bullet1"/>
        <w:rPr>
          <w:lang w:val="fr-FR"/>
        </w:rPr>
      </w:pPr>
      <w:r w:rsidRPr="006B53A5">
        <w:rPr>
          <w:lang w:val="fr-FR"/>
        </w:rPr>
        <w:t>Une stratégie de retrait clairement définie</w:t>
      </w:r>
      <w:r w:rsidR="0046454D" w:rsidRPr="006B53A5">
        <w:rPr>
          <w:lang w:val="fr-FR"/>
        </w:rPr>
        <w:t>.</w:t>
      </w:r>
    </w:p>
    <w:p w:rsidR="000F5883" w:rsidRPr="006B53A5" w:rsidRDefault="00A54CC2" w:rsidP="00F01C94">
      <w:pPr>
        <w:pStyle w:val="Bullet1"/>
        <w:rPr>
          <w:lang w:val="fr-FR"/>
        </w:rPr>
      </w:pPr>
      <w:r w:rsidRPr="006B53A5">
        <w:rPr>
          <w:lang w:val="fr-FR"/>
        </w:rPr>
        <w:t>Des conditions de sécurité acceptables et une éval</w:t>
      </w:r>
      <w:r w:rsidR="0046454D" w:rsidRPr="006B53A5">
        <w:rPr>
          <w:lang w:val="fr-FR"/>
        </w:rPr>
        <w:t xml:space="preserve">uation des risques </w:t>
      </w:r>
      <w:r w:rsidR="00F01C94" w:rsidRPr="006B53A5">
        <w:rPr>
          <w:lang w:val="fr-FR"/>
        </w:rPr>
        <w:t>liés à</w:t>
      </w:r>
      <w:r w:rsidR="0046454D" w:rsidRPr="006B53A5">
        <w:rPr>
          <w:lang w:val="fr-FR"/>
        </w:rPr>
        <w:t xml:space="preserve"> toutes les</w:t>
      </w:r>
      <w:r w:rsidRPr="006B53A5">
        <w:rPr>
          <w:lang w:val="fr-FR"/>
        </w:rPr>
        <w:t xml:space="preserve"> menaces auxquelles </w:t>
      </w:r>
      <w:r w:rsidR="00F01C94" w:rsidRPr="006B53A5">
        <w:rPr>
          <w:lang w:val="fr-FR"/>
        </w:rPr>
        <w:t xml:space="preserve">le personnel et les bénéficiaires </w:t>
      </w:r>
      <w:r w:rsidRPr="006B53A5">
        <w:rPr>
          <w:lang w:val="fr-FR"/>
        </w:rPr>
        <w:t>pourraient être exposés</w:t>
      </w:r>
      <w:r w:rsidR="0046454D" w:rsidRPr="006B53A5">
        <w:rPr>
          <w:lang w:val="fr-FR"/>
        </w:rPr>
        <w:t>.</w:t>
      </w:r>
    </w:p>
    <w:p w:rsidR="00A54CC2" w:rsidRPr="006B53A5" w:rsidRDefault="0046454D" w:rsidP="0013517C">
      <w:pPr>
        <w:pStyle w:val="ListParagraph"/>
        <w:numPr>
          <w:ilvl w:val="0"/>
          <w:numId w:val="1"/>
        </w:numPr>
        <w:spacing w:before="240"/>
        <w:ind w:left="284" w:hanging="284"/>
        <w:rPr>
          <w:rFonts w:cs="Arial"/>
          <w:b/>
          <w:lang w:val="fr-FR"/>
        </w:rPr>
      </w:pPr>
      <w:r w:rsidRPr="006B53A5">
        <w:rPr>
          <w:rFonts w:cs="Arial"/>
          <w:b/>
          <w:lang w:val="fr-FR"/>
        </w:rPr>
        <w:t>Pourquoi</w:t>
      </w:r>
      <w:r w:rsidR="00A54CC2" w:rsidRPr="006B53A5">
        <w:rPr>
          <w:rFonts w:cs="Arial"/>
          <w:b/>
          <w:lang w:val="fr-FR"/>
        </w:rPr>
        <w:t xml:space="preserve"> l’analyse des marchés est-elle si importante </w:t>
      </w:r>
      <w:r w:rsidRPr="006B53A5">
        <w:rPr>
          <w:rFonts w:cs="Arial"/>
          <w:b/>
          <w:lang w:val="fr-FR"/>
        </w:rPr>
        <w:t>dans le cadre des</w:t>
      </w:r>
      <w:r w:rsidR="00A54CC2" w:rsidRPr="006B53A5">
        <w:rPr>
          <w:rFonts w:cs="Arial"/>
          <w:b/>
          <w:lang w:val="fr-FR"/>
        </w:rPr>
        <w:t xml:space="preserve"> PTM ?</w:t>
      </w:r>
    </w:p>
    <w:p w:rsidR="004A7C9B" w:rsidRPr="006B53A5" w:rsidRDefault="00A54CC2" w:rsidP="00502F54">
      <w:pPr>
        <w:spacing w:after="0"/>
        <w:ind w:left="284"/>
        <w:rPr>
          <w:rFonts w:eastAsia="Calibri"/>
          <w:lang w:val="fr-FR"/>
        </w:rPr>
      </w:pPr>
      <w:r w:rsidRPr="006B53A5">
        <w:rPr>
          <w:rFonts w:eastAsia="Calibri"/>
          <w:lang w:val="fr-FR"/>
        </w:rPr>
        <w:t xml:space="preserve">L’analyse des marchés </w:t>
      </w:r>
      <w:r w:rsidR="001D107F" w:rsidRPr="006B53A5">
        <w:rPr>
          <w:rFonts w:eastAsia="Calibri"/>
          <w:lang w:val="fr-FR"/>
        </w:rPr>
        <w:t>est un moyen d’évaluer</w:t>
      </w:r>
      <w:r w:rsidRPr="006B53A5">
        <w:rPr>
          <w:rFonts w:eastAsia="Calibri"/>
          <w:lang w:val="fr-FR"/>
        </w:rPr>
        <w:t xml:space="preserve"> la faisabilité des </w:t>
      </w:r>
      <w:r w:rsidR="001D107F" w:rsidRPr="006B53A5">
        <w:rPr>
          <w:rFonts w:eastAsia="Calibri"/>
          <w:lang w:val="fr-FR"/>
        </w:rPr>
        <w:t>PTM</w:t>
      </w:r>
      <w:r w:rsidRPr="006B53A5">
        <w:rPr>
          <w:rFonts w:eastAsia="Calibri"/>
          <w:lang w:val="fr-FR"/>
        </w:rPr>
        <w:t xml:space="preserve"> et fait partie des processus d’</w:t>
      </w:r>
      <w:r w:rsidR="001D107F" w:rsidRPr="006B53A5">
        <w:rPr>
          <w:rFonts w:eastAsia="Calibri"/>
          <w:lang w:val="fr-FR"/>
        </w:rPr>
        <w:t>apprécia</w:t>
      </w:r>
      <w:r w:rsidRPr="006B53A5">
        <w:rPr>
          <w:rFonts w:eastAsia="Calibri"/>
          <w:lang w:val="fr-FR"/>
        </w:rPr>
        <w:t xml:space="preserve">tion initiale et de suivi de l’intervention. Les </w:t>
      </w:r>
      <w:r w:rsidR="001D107F" w:rsidRPr="006B53A5">
        <w:rPr>
          <w:rFonts w:eastAsia="Calibri"/>
          <w:lang w:val="fr-FR"/>
        </w:rPr>
        <w:t>PTM</w:t>
      </w:r>
      <w:r w:rsidRPr="006B53A5">
        <w:rPr>
          <w:rFonts w:eastAsia="Calibri"/>
          <w:lang w:val="fr-FR"/>
        </w:rPr>
        <w:t xml:space="preserve"> ne constituent une solution appropriée que </w:t>
      </w:r>
      <w:r w:rsidR="001D107F" w:rsidRPr="006B53A5">
        <w:rPr>
          <w:rFonts w:eastAsia="Calibri"/>
          <w:lang w:val="fr-FR"/>
        </w:rPr>
        <w:t>si</w:t>
      </w:r>
      <w:r w:rsidRPr="006B53A5">
        <w:rPr>
          <w:rFonts w:eastAsia="Calibri"/>
          <w:lang w:val="fr-FR"/>
        </w:rPr>
        <w:t xml:space="preserve"> les marchés sont </w:t>
      </w:r>
      <w:r w:rsidR="004A7C9B" w:rsidRPr="006B53A5">
        <w:rPr>
          <w:rFonts w:eastAsia="Calibri"/>
          <w:lang w:val="fr-FR"/>
        </w:rPr>
        <w:t>en mesure</w:t>
      </w:r>
      <w:r w:rsidRPr="006B53A5">
        <w:rPr>
          <w:rFonts w:eastAsia="Calibri"/>
          <w:lang w:val="fr-FR"/>
        </w:rPr>
        <w:t xml:space="preserve"> de répondre à </w:t>
      </w:r>
      <w:r w:rsidR="004A7C9B" w:rsidRPr="006B53A5">
        <w:rPr>
          <w:rFonts w:eastAsia="Calibri"/>
          <w:lang w:val="fr-FR"/>
        </w:rPr>
        <w:t>un</w:t>
      </w:r>
      <w:r w:rsidR="001D107F" w:rsidRPr="006B53A5">
        <w:rPr>
          <w:rFonts w:eastAsia="Calibri"/>
          <w:lang w:val="fr-FR"/>
        </w:rPr>
        <w:t>e augmentation</w:t>
      </w:r>
      <w:r w:rsidR="004A7C9B" w:rsidRPr="006B53A5">
        <w:rPr>
          <w:rFonts w:eastAsia="Calibri"/>
          <w:lang w:val="fr-FR"/>
        </w:rPr>
        <w:t xml:space="preserve"> de la demande </w:t>
      </w:r>
      <w:r w:rsidR="001D107F" w:rsidRPr="006B53A5">
        <w:rPr>
          <w:rFonts w:eastAsia="Calibri"/>
          <w:lang w:val="fr-FR"/>
        </w:rPr>
        <w:t>en</w:t>
      </w:r>
      <w:r w:rsidR="004A7C9B" w:rsidRPr="006B53A5">
        <w:rPr>
          <w:rFonts w:eastAsia="Calibri"/>
          <w:lang w:val="fr-FR"/>
        </w:rPr>
        <w:t xml:space="preserve"> produits de base</w:t>
      </w:r>
      <w:r w:rsidR="00716C48" w:rsidRPr="006B53A5">
        <w:rPr>
          <w:rFonts w:eastAsia="Calibri"/>
          <w:lang w:val="fr-FR"/>
        </w:rPr>
        <w:t xml:space="preserve"> (équilibre entre l’offre et</w:t>
      </w:r>
      <w:r w:rsidR="004A7C9B" w:rsidRPr="006B53A5">
        <w:rPr>
          <w:rFonts w:eastAsia="Calibri"/>
          <w:lang w:val="fr-FR"/>
        </w:rPr>
        <w:t xml:space="preserve"> la demande</w:t>
      </w:r>
      <w:r w:rsidR="00716C48" w:rsidRPr="006B53A5">
        <w:rPr>
          <w:rFonts w:eastAsia="Calibri"/>
          <w:lang w:val="fr-FR"/>
        </w:rPr>
        <w:t>)</w:t>
      </w:r>
      <w:r w:rsidR="004A7C9B" w:rsidRPr="006B53A5">
        <w:rPr>
          <w:rFonts w:eastAsia="Calibri"/>
          <w:lang w:val="fr-FR"/>
        </w:rPr>
        <w:t xml:space="preserve">. </w:t>
      </w:r>
      <w:r w:rsidR="00502F54" w:rsidRPr="006B53A5">
        <w:rPr>
          <w:rFonts w:eastAsia="Calibri"/>
          <w:lang w:val="fr-FR"/>
        </w:rPr>
        <w:t>Lorsqu’il y a pénurie sur</w:t>
      </w:r>
      <w:r w:rsidR="004A7C9B" w:rsidRPr="006B53A5">
        <w:rPr>
          <w:rFonts w:eastAsia="Calibri"/>
          <w:lang w:val="fr-FR"/>
        </w:rPr>
        <w:t xml:space="preserve"> les marchés, la demande</w:t>
      </w:r>
      <w:r w:rsidR="002725F5" w:rsidRPr="006B53A5">
        <w:rPr>
          <w:rFonts w:eastAsia="Calibri"/>
          <w:lang w:val="fr-FR"/>
        </w:rPr>
        <w:t xml:space="preserve"> provoque </w:t>
      </w:r>
      <w:r w:rsidR="004A7C9B" w:rsidRPr="006B53A5">
        <w:rPr>
          <w:rFonts w:eastAsia="Calibri"/>
          <w:lang w:val="fr-FR"/>
        </w:rPr>
        <w:t xml:space="preserve">une hausse des prix. Le Mouvement a élaboré un outil </w:t>
      </w:r>
      <w:r w:rsidR="00502F54" w:rsidRPr="006B53A5">
        <w:rPr>
          <w:rFonts w:eastAsia="Calibri"/>
          <w:lang w:val="fr-FR"/>
        </w:rPr>
        <w:t xml:space="preserve">intitulé </w:t>
      </w:r>
      <w:r w:rsidR="004A7C9B" w:rsidRPr="006B53A5">
        <w:rPr>
          <w:rFonts w:eastAsia="Calibri"/>
          <w:i/>
          <w:iCs/>
          <w:lang w:val="fr-FR"/>
        </w:rPr>
        <w:t>Évaluation rapide des marchés</w:t>
      </w:r>
      <w:r w:rsidR="004A7C9B" w:rsidRPr="006B53A5">
        <w:rPr>
          <w:rFonts w:eastAsia="Calibri"/>
          <w:lang w:val="fr-FR"/>
        </w:rPr>
        <w:t xml:space="preserve"> </w:t>
      </w:r>
      <w:r w:rsidR="00502F54" w:rsidRPr="006B53A5">
        <w:rPr>
          <w:rFonts w:eastAsia="Calibri"/>
          <w:lang w:val="fr-FR"/>
        </w:rPr>
        <w:t>qui sert de base à la conduite d’une analyse des marchés. Cet outil est inclus dans la Boîte à outils pour les transferts monétaires dans les situations d’urgence</w:t>
      </w:r>
      <w:r w:rsidR="0099329A" w:rsidRPr="006B53A5">
        <w:rPr>
          <w:rFonts w:eastAsia="Calibri"/>
          <w:lang w:val="fr-FR"/>
        </w:rPr>
        <w:t xml:space="preserve">. </w:t>
      </w:r>
      <w:r w:rsidR="00502F54" w:rsidRPr="006B53A5">
        <w:rPr>
          <w:rFonts w:eastAsia="Calibri"/>
          <w:lang w:val="fr-FR"/>
        </w:rPr>
        <w:t>Une</w:t>
      </w:r>
      <w:r w:rsidR="0099329A" w:rsidRPr="006B53A5">
        <w:rPr>
          <w:rFonts w:eastAsia="Calibri"/>
          <w:lang w:val="fr-FR"/>
        </w:rPr>
        <w:t xml:space="preserve"> évaluation des marchés ou de la faisabilité des transferts monétaires doit être menée par </w:t>
      </w:r>
      <w:r w:rsidR="000C7909" w:rsidRPr="006B53A5">
        <w:rPr>
          <w:rFonts w:eastAsia="Calibri"/>
          <w:lang w:val="fr-FR"/>
        </w:rPr>
        <w:t xml:space="preserve">une équipe multidisciplinaire, </w:t>
      </w:r>
      <w:r w:rsidR="00502F54" w:rsidRPr="006B53A5">
        <w:rPr>
          <w:rFonts w:eastAsia="Calibri"/>
          <w:lang w:val="fr-FR"/>
        </w:rPr>
        <w:t>comprenant</w:t>
      </w:r>
      <w:r w:rsidR="0099329A" w:rsidRPr="006B53A5">
        <w:rPr>
          <w:rFonts w:eastAsia="Calibri"/>
          <w:lang w:val="fr-FR"/>
        </w:rPr>
        <w:t xml:space="preserve"> de</w:t>
      </w:r>
      <w:r w:rsidR="000C7909" w:rsidRPr="006B53A5">
        <w:rPr>
          <w:rFonts w:eastAsia="Calibri"/>
          <w:lang w:val="fr-FR"/>
        </w:rPr>
        <w:t>s</w:t>
      </w:r>
      <w:r w:rsidR="0099329A" w:rsidRPr="006B53A5">
        <w:rPr>
          <w:rFonts w:eastAsia="Calibri"/>
          <w:lang w:val="fr-FR"/>
        </w:rPr>
        <w:t xml:space="preserve"> spécialistes techniques issus des différents </w:t>
      </w:r>
      <w:r w:rsidR="00502F54" w:rsidRPr="006B53A5">
        <w:rPr>
          <w:rFonts w:eastAsia="Calibri"/>
          <w:lang w:val="fr-FR"/>
        </w:rPr>
        <w:t>secteurs de</w:t>
      </w:r>
      <w:r w:rsidR="0099329A" w:rsidRPr="006B53A5">
        <w:rPr>
          <w:rFonts w:eastAsia="Calibri"/>
          <w:lang w:val="fr-FR"/>
        </w:rPr>
        <w:t xml:space="preserve"> programmes, de la logisti</w:t>
      </w:r>
      <w:r w:rsidR="00502F54" w:rsidRPr="006B53A5">
        <w:rPr>
          <w:rFonts w:eastAsia="Calibri"/>
          <w:lang w:val="fr-FR"/>
        </w:rPr>
        <w:t xml:space="preserve">que, </w:t>
      </w:r>
      <w:r w:rsidR="000C7909" w:rsidRPr="006B53A5">
        <w:rPr>
          <w:rFonts w:eastAsia="Calibri"/>
          <w:lang w:val="fr-FR"/>
        </w:rPr>
        <w:t xml:space="preserve">de la sécurité et </w:t>
      </w:r>
      <w:r w:rsidR="00502F54" w:rsidRPr="006B53A5">
        <w:rPr>
          <w:rFonts w:eastAsia="Calibri"/>
          <w:lang w:val="fr-FR"/>
        </w:rPr>
        <w:t>de tout autre département concerné</w:t>
      </w:r>
      <w:r w:rsidR="000C7909" w:rsidRPr="006B53A5">
        <w:rPr>
          <w:rFonts w:eastAsia="Calibri"/>
          <w:lang w:val="fr-FR"/>
        </w:rPr>
        <w:t xml:space="preserve">. L’accès physique aux marchés </w:t>
      </w:r>
      <w:r w:rsidR="00502F54" w:rsidRPr="006B53A5">
        <w:rPr>
          <w:rFonts w:eastAsia="Calibri"/>
          <w:lang w:val="fr-FR"/>
        </w:rPr>
        <w:t>après une</w:t>
      </w:r>
      <w:r w:rsidR="00F568A4" w:rsidRPr="006B53A5">
        <w:rPr>
          <w:rFonts w:eastAsia="Calibri"/>
          <w:lang w:val="fr-FR"/>
        </w:rPr>
        <w:t xml:space="preserve"> catastrophe naturelle ou</w:t>
      </w:r>
      <w:r w:rsidR="000C7909" w:rsidRPr="006B53A5">
        <w:rPr>
          <w:rFonts w:eastAsia="Calibri"/>
          <w:lang w:val="fr-FR"/>
        </w:rPr>
        <w:t xml:space="preserve"> durant un conflit doit être pris en compte, de même que </w:t>
      </w:r>
      <w:r w:rsidR="00F568A4" w:rsidRPr="006B53A5">
        <w:rPr>
          <w:rFonts w:eastAsia="Calibri"/>
          <w:lang w:val="fr-FR"/>
        </w:rPr>
        <w:t>la fréquence d’</w:t>
      </w:r>
      <w:r w:rsidR="009D36D2" w:rsidRPr="006B53A5">
        <w:rPr>
          <w:rFonts w:eastAsia="Calibri"/>
          <w:lang w:val="fr-FR"/>
        </w:rPr>
        <w:t xml:space="preserve">ouverture des marchés. </w:t>
      </w:r>
    </w:p>
    <w:p w:rsidR="00617DED" w:rsidRPr="006B53A5" w:rsidRDefault="002725F5" w:rsidP="006019C2">
      <w:pPr>
        <w:pStyle w:val="ListParagraph"/>
        <w:keepNext/>
        <w:numPr>
          <w:ilvl w:val="0"/>
          <w:numId w:val="1"/>
        </w:numPr>
        <w:spacing w:before="240"/>
        <w:ind w:left="284" w:hanging="284"/>
        <w:rPr>
          <w:rFonts w:cs="Arial"/>
          <w:b/>
          <w:lang w:val="fr-FR"/>
        </w:rPr>
      </w:pPr>
      <w:r w:rsidRPr="006B53A5">
        <w:rPr>
          <w:rFonts w:cs="Arial"/>
          <w:b/>
          <w:lang w:val="fr-FR"/>
        </w:rPr>
        <w:t>De q</w:t>
      </w:r>
      <w:r w:rsidR="009D36D2" w:rsidRPr="006B53A5">
        <w:rPr>
          <w:rFonts w:cs="Arial"/>
          <w:b/>
          <w:lang w:val="fr-FR"/>
        </w:rPr>
        <w:t>uelle expérience le Mouvement</w:t>
      </w:r>
      <w:r w:rsidRPr="006B53A5">
        <w:rPr>
          <w:rFonts w:cs="Arial"/>
          <w:b/>
          <w:lang w:val="fr-FR"/>
        </w:rPr>
        <w:t xml:space="preserve"> dispose</w:t>
      </w:r>
      <w:r w:rsidR="009D36D2" w:rsidRPr="006B53A5">
        <w:rPr>
          <w:rFonts w:cs="Arial"/>
          <w:b/>
          <w:lang w:val="fr-FR"/>
        </w:rPr>
        <w:t xml:space="preserve">-t-il </w:t>
      </w:r>
      <w:r w:rsidRPr="006B53A5">
        <w:rPr>
          <w:rFonts w:cs="Arial"/>
          <w:b/>
          <w:lang w:val="fr-FR"/>
        </w:rPr>
        <w:t xml:space="preserve">en </w:t>
      </w:r>
      <w:r w:rsidR="006019C2" w:rsidRPr="006B53A5">
        <w:rPr>
          <w:rFonts w:cs="Arial"/>
          <w:b/>
          <w:lang w:val="fr-FR"/>
        </w:rPr>
        <w:t>matière de</w:t>
      </w:r>
      <w:r w:rsidR="009D36D2" w:rsidRPr="006B53A5">
        <w:rPr>
          <w:rFonts w:cs="Arial"/>
          <w:b/>
          <w:lang w:val="fr-FR"/>
        </w:rPr>
        <w:t xml:space="preserve"> PTM ?</w:t>
      </w:r>
    </w:p>
    <w:p w:rsidR="009D36D2" w:rsidRPr="006B53A5" w:rsidRDefault="009D36D2" w:rsidP="009D36D2">
      <w:pPr>
        <w:pStyle w:val="ListParagraph"/>
        <w:keepNext/>
        <w:spacing w:before="240"/>
        <w:ind w:left="284"/>
        <w:rPr>
          <w:rFonts w:cs="Arial"/>
          <w:b/>
          <w:lang w:val="fr-FR"/>
        </w:rPr>
      </w:pPr>
    </w:p>
    <w:p w:rsidR="009D36D2" w:rsidRPr="006B53A5" w:rsidRDefault="009D36D2" w:rsidP="005F7D70">
      <w:pPr>
        <w:pStyle w:val="ListParagraph"/>
        <w:spacing w:after="0"/>
        <w:ind w:left="284"/>
        <w:rPr>
          <w:rFonts w:cs="Arial"/>
          <w:lang w:val="fr-FR"/>
        </w:rPr>
      </w:pPr>
      <w:r w:rsidRPr="006B53A5">
        <w:rPr>
          <w:rFonts w:cs="Arial"/>
          <w:lang w:val="fr-FR"/>
        </w:rPr>
        <w:t xml:space="preserve">Pour le Mouvement, la question </w:t>
      </w:r>
      <w:r w:rsidR="002A7ABE" w:rsidRPr="006B53A5">
        <w:rPr>
          <w:rFonts w:cs="Arial"/>
          <w:lang w:val="fr-FR"/>
        </w:rPr>
        <w:t>n’est plus de savoir</w:t>
      </w:r>
      <w:r w:rsidRPr="006B53A5">
        <w:rPr>
          <w:rFonts w:cs="Arial"/>
          <w:lang w:val="fr-FR"/>
        </w:rPr>
        <w:t xml:space="preserve"> si les transferts monétaires constituent une solution </w:t>
      </w:r>
      <w:r w:rsidR="00E72618" w:rsidRPr="006B53A5">
        <w:rPr>
          <w:rFonts w:cs="Arial"/>
          <w:lang w:val="fr-FR"/>
        </w:rPr>
        <w:t>appropriée</w:t>
      </w:r>
      <w:r w:rsidRPr="006B53A5">
        <w:rPr>
          <w:rFonts w:cs="Arial"/>
          <w:lang w:val="fr-FR"/>
        </w:rPr>
        <w:t xml:space="preserve"> pour répondre aux besoins des populations en situation de crise, mais </w:t>
      </w:r>
      <w:r w:rsidR="002A7ABE" w:rsidRPr="006B53A5">
        <w:rPr>
          <w:rFonts w:cs="Arial"/>
          <w:lang w:val="fr-FR"/>
        </w:rPr>
        <w:t>de</w:t>
      </w:r>
      <w:r w:rsidRPr="006B53A5">
        <w:rPr>
          <w:rFonts w:cs="Arial"/>
          <w:lang w:val="fr-FR"/>
        </w:rPr>
        <w:t xml:space="preserve"> déterminer </w:t>
      </w:r>
      <w:r w:rsidR="002A7ABE" w:rsidRPr="006B53A5">
        <w:rPr>
          <w:rFonts w:cs="Arial"/>
          <w:lang w:val="fr-FR"/>
        </w:rPr>
        <w:t>comment ils peuvent être utilisés pour en optimiser l’impact</w:t>
      </w:r>
      <w:r w:rsidRPr="006B53A5">
        <w:rPr>
          <w:rFonts w:cs="Arial"/>
          <w:lang w:val="fr-FR"/>
        </w:rPr>
        <w:t xml:space="preserve">. Les Sociétés nationales membres de la Fédération internationale disposent d’une </w:t>
      </w:r>
      <w:r w:rsidR="002A7ABE" w:rsidRPr="006B53A5">
        <w:rPr>
          <w:rFonts w:cs="Arial"/>
          <w:lang w:val="fr-FR"/>
        </w:rPr>
        <w:t>vaste</w:t>
      </w:r>
      <w:r w:rsidRPr="006B53A5">
        <w:rPr>
          <w:rFonts w:cs="Arial"/>
          <w:lang w:val="fr-FR"/>
        </w:rPr>
        <w:t xml:space="preserve"> expérience </w:t>
      </w:r>
      <w:r w:rsidR="002A7ABE" w:rsidRPr="006B53A5">
        <w:rPr>
          <w:rFonts w:cs="Arial"/>
          <w:lang w:val="fr-FR"/>
        </w:rPr>
        <w:t>de</w:t>
      </w:r>
      <w:r w:rsidRPr="006B53A5">
        <w:rPr>
          <w:rFonts w:cs="Arial"/>
          <w:lang w:val="fr-FR"/>
        </w:rPr>
        <w:t xml:space="preserve"> la mise en place de </w:t>
      </w:r>
      <w:r w:rsidR="002A7ABE" w:rsidRPr="006B53A5">
        <w:rPr>
          <w:rFonts w:cs="Arial"/>
          <w:lang w:val="fr-FR"/>
        </w:rPr>
        <w:t>PTM</w:t>
      </w:r>
      <w:r w:rsidRPr="006B53A5">
        <w:rPr>
          <w:rFonts w:cs="Arial"/>
          <w:lang w:val="fr-FR"/>
        </w:rPr>
        <w:t xml:space="preserve"> dans le cadre d’intervention</w:t>
      </w:r>
      <w:r w:rsidR="00E72618" w:rsidRPr="006B53A5">
        <w:rPr>
          <w:rFonts w:cs="Arial"/>
          <w:lang w:val="fr-FR"/>
        </w:rPr>
        <w:t xml:space="preserve">s </w:t>
      </w:r>
      <w:r w:rsidR="002A7ABE" w:rsidRPr="006B53A5">
        <w:rPr>
          <w:rFonts w:cs="Arial"/>
          <w:lang w:val="fr-FR"/>
        </w:rPr>
        <w:t>consécutives à une</w:t>
      </w:r>
      <w:r w:rsidRPr="006B53A5">
        <w:rPr>
          <w:rFonts w:cs="Arial"/>
          <w:lang w:val="fr-FR"/>
        </w:rPr>
        <w:t xml:space="preserve"> catastrophe.</w:t>
      </w:r>
      <w:r w:rsidR="00E72618" w:rsidRPr="006B53A5">
        <w:rPr>
          <w:rFonts w:cs="Arial"/>
          <w:lang w:val="fr-FR"/>
        </w:rPr>
        <w:t xml:space="preserve"> L’</w:t>
      </w:r>
      <w:r w:rsidR="002A7ABE" w:rsidRPr="006B53A5">
        <w:rPr>
          <w:rFonts w:cs="Arial"/>
          <w:lang w:val="fr-FR"/>
        </w:rPr>
        <w:t>opéra</w:t>
      </w:r>
      <w:r w:rsidR="00E72618" w:rsidRPr="006B53A5">
        <w:rPr>
          <w:rFonts w:cs="Arial"/>
          <w:lang w:val="fr-FR"/>
        </w:rPr>
        <w:t>tion</w:t>
      </w:r>
      <w:r w:rsidR="002A7ABE" w:rsidRPr="006B53A5">
        <w:rPr>
          <w:rFonts w:cs="Arial"/>
          <w:lang w:val="fr-FR"/>
        </w:rPr>
        <w:t xml:space="preserve"> engagée à la</w:t>
      </w:r>
      <w:r w:rsidRPr="006B53A5">
        <w:rPr>
          <w:rFonts w:cs="Arial"/>
          <w:lang w:val="fr-FR"/>
        </w:rPr>
        <w:t xml:space="preserve"> suite </w:t>
      </w:r>
      <w:r w:rsidR="002A7ABE" w:rsidRPr="006B53A5">
        <w:rPr>
          <w:rFonts w:cs="Arial"/>
          <w:lang w:val="fr-FR"/>
        </w:rPr>
        <w:t>d</w:t>
      </w:r>
      <w:r w:rsidRPr="006B53A5">
        <w:rPr>
          <w:rFonts w:cs="Arial"/>
          <w:lang w:val="fr-FR"/>
        </w:rPr>
        <w:t xml:space="preserve">u tsunami </w:t>
      </w:r>
      <w:r w:rsidR="002A7ABE" w:rsidRPr="006B53A5">
        <w:rPr>
          <w:rFonts w:cs="Arial"/>
          <w:lang w:val="fr-FR"/>
        </w:rPr>
        <w:t>de</w:t>
      </w:r>
      <w:r w:rsidRPr="006B53A5">
        <w:rPr>
          <w:rFonts w:cs="Arial"/>
          <w:lang w:val="fr-FR"/>
        </w:rPr>
        <w:t xml:space="preserve"> 2004 dans l’</w:t>
      </w:r>
      <w:r w:rsidR="006B595D" w:rsidRPr="006B53A5">
        <w:rPr>
          <w:rFonts w:cs="Arial"/>
          <w:lang w:val="fr-FR"/>
        </w:rPr>
        <w:t>océan I</w:t>
      </w:r>
      <w:r w:rsidRPr="006B53A5">
        <w:rPr>
          <w:rFonts w:cs="Arial"/>
          <w:lang w:val="fr-FR"/>
        </w:rPr>
        <w:t xml:space="preserve">ndien </w:t>
      </w:r>
      <w:r w:rsidR="006B595D" w:rsidRPr="006B53A5">
        <w:rPr>
          <w:rFonts w:cs="Arial"/>
          <w:lang w:val="fr-FR"/>
        </w:rPr>
        <w:t>a marqué un tournant pour le Mouvement</w:t>
      </w:r>
      <w:r w:rsidR="002A7ABE" w:rsidRPr="006B53A5">
        <w:rPr>
          <w:rFonts w:cs="Arial"/>
          <w:lang w:val="fr-FR"/>
        </w:rPr>
        <w:t>. Depuis cette date, d</w:t>
      </w:r>
      <w:r w:rsidR="006B595D" w:rsidRPr="006B53A5">
        <w:rPr>
          <w:rFonts w:cs="Arial"/>
          <w:lang w:val="fr-FR"/>
        </w:rPr>
        <w:t xml:space="preserve">es </w:t>
      </w:r>
      <w:r w:rsidR="002A7ABE" w:rsidRPr="006B53A5">
        <w:rPr>
          <w:rFonts w:cs="Arial"/>
          <w:lang w:val="fr-FR"/>
        </w:rPr>
        <w:t>PTM</w:t>
      </w:r>
      <w:r w:rsidR="006B595D" w:rsidRPr="006B53A5">
        <w:rPr>
          <w:rFonts w:cs="Arial"/>
          <w:lang w:val="fr-FR"/>
        </w:rPr>
        <w:t xml:space="preserve"> ont été mis en œuvre </w:t>
      </w:r>
      <w:r w:rsidR="002A7ABE" w:rsidRPr="006B53A5">
        <w:rPr>
          <w:rFonts w:cs="Arial"/>
          <w:lang w:val="fr-FR"/>
        </w:rPr>
        <w:t>après chaque</w:t>
      </w:r>
      <w:r w:rsidR="006B595D" w:rsidRPr="006B53A5">
        <w:rPr>
          <w:rFonts w:cs="Arial"/>
          <w:lang w:val="fr-FR"/>
        </w:rPr>
        <w:t xml:space="preserve"> catastrophe majeure</w:t>
      </w:r>
      <w:r w:rsidR="002A7ABE" w:rsidRPr="006B53A5">
        <w:rPr>
          <w:rFonts w:cs="Arial"/>
          <w:lang w:val="fr-FR"/>
        </w:rPr>
        <w:t xml:space="preserve"> (</w:t>
      </w:r>
      <w:r w:rsidR="005F7D70" w:rsidRPr="006B53A5">
        <w:rPr>
          <w:rFonts w:cs="Arial"/>
          <w:lang w:val="fr-FR"/>
        </w:rPr>
        <w:t xml:space="preserve">notamment, </w:t>
      </w:r>
      <w:r w:rsidR="006B595D" w:rsidRPr="006B53A5">
        <w:rPr>
          <w:rFonts w:cs="Arial"/>
          <w:lang w:val="fr-FR"/>
        </w:rPr>
        <w:t xml:space="preserve">séisme </w:t>
      </w:r>
      <w:r w:rsidR="002A7ABE" w:rsidRPr="006B53A5">
        <w:rPr>
          <w:rFonts w:cs="Arial"/>
          <w:lang w:val="fr-FR"/>
        </w:rPr>
        <w:t>de 2006 a</w:t>
      </w:r>
      <w:r w:rsidR="006B595D" w:rsidRPr="006B53A5">
        <w:rPr>
          <w:rFonts w:cs="Arial"/>
          <w:lang w:val="fr-FR"/>
        </w:rPr>
        <w:t xml:space="preserve">u Pakistan, cyclone Sidr </w:t>
      </w:r>
      <w:r w:rsidR="005F7D70" w:rsidRPr="006B53A5">
        <w:rPr>
          <w:rFonts w:cs="Arial"/>
          <w:lang w:val="fr-FR"/>
        </w:rPr>
        <w:t>de 2007 au</w:t>
      </w:r>
      <w:r w:rsidR="006B595D" w:rsidRPr="006B53A5">
        <w:rPr>
          <w:rFonts w:cs="Arial"/>
          <w:lang w:val="fr-FR"/>
        </w:rPr>
        <w:t xml:space="preserve"> Bangladesh, séisme </w:t>
      </w:r>
      <w:r w:rsidR="005F7D70" w:rsidRPr="006B53A5">
        <w:rPr>
          <w:rFonts w:cs="Arial"/>
          <w:lang w:val="fr-FR"/>
        </w:rPr>
        <w:t xml:space="preserve">de 2010 </w:t>
      </w:r>
      <w:r w:rsidR="006B595D" w:rsidRPr="006B53A5">
        <w:rPr>
          <w:rFonts w:cs="Arial"/>
          <w:lang w:val="fr-FR"/>
        </w:rPr>
        <w:t xml:space="preserve">en Haïti, inondations </w:t>
      </w:r>
      <w:r w:rsidR="005F7D70" w:rsidRPr="006B53A5">
        <w:rPr>
          <w:rFonts w:cs="Arial"/>
          <w:lang w:val="fr-FR"/>
        </w:rPr>
        <w:t xml:space="preserve">de 2010 </w:t>
      </w:r>
      <w:r w:rsidR="006B595D" w:rsidRPr="006B53A5">
        <w:rPr>
          <w:rFonts w:cs="Arial"/>
          <w:lang w:val="fr-FR"/>
        </w:rPr>
        <w:t xml:space="preserve">au Pakistan, </w:t>
      </w:r>
      <w:r w:rsidR="00E72618" w:rsidRPr="006B53A5">
        <w:rPr>
          <w:rFonts w:cs="Arial"/>
          <w:lang w:val="fr-FR"/>
        </w:rPr>
        <w:t xml:space="preserve">crise du Sahel </w:t>
      </w:r>
      <w:r w:rsidR="005F7D70" w:rsidRPr="006B53A5">
        <w:rPr>
          <w:rFonts w:cs="Arial"/>
          <w:lang w:val="fr-FR"/>
        </w:rPr>
        <w:t>de</w:t>
      </w:r>
      <w:r w:rsidR="00E72618" w:rsidRPr="006B53A5">
        <w:rPr>
          <w:rFonts w:cs="Arial"/>
          <w:lang w:val="fr-FR"/>
        </w:rPr>
        <w:t xml:space="preserve"> 2011</w:t>
      </w:r>
      <w:r w:rsidR="006B595D" w:rsidRPr="006B53A5">
        <w:rPr>
          <w:rFonts w:cs="Arial"/>
          <w:lang w:val="fr-FR"/>
        </w:rPr>
        <w:t xml:space="preserve"> et typhons </w:t>
      </w:r>
      <w:r w:rsidR="005F7D70" w:rsidRPr="006B53A5">
        <w:rPr>
          <w:rFonts w:cs="Arial"/>
          <w:lang w:val="fr-FR"/>
        </w:rPr>
        <w:t>de 2013 et 2014 aux</w:t>
      </w:r>
      <w:r w:rsidR="006B595D" w:rsidRPr="006B53A5">
        <w:rPr>
          <w:rFonts w:cs="Arial"/>
          <w:lang w:val="fr-FR"/>
        </w:rPr>
        <w:t xml:space="preserve"> Philippines</w:t>
      </w:r>
      <w:r w:rsidR="005F7D70" w:rsidRPr="006B53A5">
        <w:rPr>
          <w:rFonts w:cs="Arial"/>
          <w:lang w:val="fr-FR"/>
        </w:rPr>
        <w:t>)</w:t>
      </w:r>
      <w:r w:rsidR="006B595D" w:rsidRPr="006B53A5">
        <w:rPr>
          <w:rFonts w:cs="Arial"/>
          <w:lang w:val="fr-FR"/>
        </w:rPr>
        <w:t>.</w:t>
      </w:r>
    </w:p>
    <w:p w:rsidR="002D3DC0" w:rsidRPr="006B53A5" w:rsidRDefault="002D3DC0" w:rsidP="00C42DE9">
      <w:pPr>
        <w:pStyle w:val="ListParagraph"/>
        <w:spacing w:after="0"/>
        <w:ind w:left="284"/>
        <w:rPr>
          <w:rFonts w:cs="Arial"/>
          <w:lang w:val="fr-FR"/>
        </w:rPr>
      </w:pPr>
    </w:p>
    <w:p w:rsidR="006B595D" w:rsidRPr="006B53A5" w:rsidRDefault="006B595D" w:rsidP="007F377A">
      <w:pPr>
        <w:pStyle w:val="ListParagraph"/>
        <w:spacing w:before="240" w:after="0"/>
        <w:ind w:left="284"/>
        <w:rPr>
          <w:rFonts w:cs="Arial"/>
          <w:lang w:val="fr-FR"/>
        </w:rPr>
      </w:pPr>
      <w:r w:rsidRPr="006B53A5">
        <w:rPr>
          <w:rFonts w:cs="Arial"/>
          <w:lang w:val="fr-FR"/>
        </w:rPr>
        <w:t>En</w:t>
      </w:r>
      <w:r w:rsidR="000F5883" w:rsidRPr="006B53A5">
        <w:rPr>
          <w:rFonts w:cs="Arial"/>
          <w:lang w:val="fr-FR"/>
        </w:rPr>
        <w:t xml:space="preserve"> 2014, </w:t>
      </w:r>
      <w:r w:rsidR="005F7D70" w:rsidRPr="006B53A5">
        <w:rPr>
          <w:rFonts w:cs="Arial"/>
          <w:lang w:val="fr-FR"/>
        </w:rPr>
        <w:t>plus de 50 </w:t>
      </w:r>
      <w:r w:rsidRPr="006B53A5">
        <w:rPr>
          <w:rFonts w:cs="Arial"/>
          <w:lang w:val="fr-FR"/>
        </w:rPr>
        <w:t xml:space="preserve">% des </w:t>
      </w:r>
      <w:r w:rsidR="005F7D70" w:rsidRPr="006B53A5">
        <w:rPr>
          <w:rFonts w:cs="Arial"/>
          <w:lang w:val="fr-FR"/>
        </w:rPr>
        <w:t>a</w:t>
      </w:r>
      <w:r w:rsidRPr="006B53A5">
        <w:rPr>
          <w:rFonts w:cs="Arial"/>
          <w:lang w:val="fr-FR"/>
        </w:rPr>
        <w:t xml:space="preserve">ppels d’urgence de la Fédération internationale </w:t>
      </w:r>
      <w:r w:rsidR="005F7D70" w:rsidRPr="006B53A5">
        <w:rPr>
          <w:rFonts w:cs="Arial"/>
          <w:lang w:val="fr-FR"/>
        </w:rPr>
        <w:t>prévoyaient</w:t>
      </w:r>
      <w:r w:rsidRPr="006B53A5">
        <w:rPr>
          <w:rFonts w:cs="Arial"/>
          <w:lang w:val="fr-FR"/>
        </w:rPr>
        <w:t xml:space="preserve"> </w:t>
      </w:r>
      <w:r w:rsidR="005F7D70" w:rsidRPr="006B53A5">
        <w:rPr>
          <w:rFonts w:cs="Arial"/>
          <w:lang w:val="fr-FR"/>
        </w:rPr>
        <w:t>la mise en œuvre de</w:t>
      </w:r>
      <w:r w:rsidRPr="006B53A5">
        <w:rPr>
          <w:rFonts w:cs="Arial"/>
          <w:lang w:val="fr-FR"/>
        </w:rPr>
        <w:t xml:space="preserve"> </w:t>
      </w:r>
      <w:r w:rsidR="005F7D70" w:rsidRPr="006B53A5">
        <w:rPr>
          <w:rFonts w:cs="Arial"/>
          <w:lang w:val="fr-FR"/>
        </w:rPr>
        <w:t>PTM</w:t>
      </w:r>
      <w:r w:rsidRPr="006B53A5">
        <w:rPr>
          <w:rFonts w:cs="Arial"/>
          <w:lang w:val="fr-FR"/>
        </w:rPr>
        <w:t xml:space="preserve"> </w:t>
      </w:r>
      <w:r w:rsidR="005F7D70" w:rsidRPr="006B53A5">
        <w:rPr>
          <w:rFonts w:cs="Arial"/>
          <w:lang w:val="fr-FR"/>
        </w:rPr>
        <w:t>pour</w:t>
      </w:r>
      <w:r w:rsidRPr="006B53A5">
        <w:rPr>
          <w:rFonts w:cs="Arial"/>
          <w:lang w:val="fr-FR"/>
        </w:rPr>
        <w:t xml:space="preserve"> répondre aux besoins d’urgence dans plusieurs se</w:t>
      </w:r>
      <w:r w:rsidR="005728E4" w:rsidRPr="006B53A5">
        <w:rPr>
          <w:rFonts w:cs="Arial"/>
          <w:lang w:val="fr-FR"/>
        </w:rPr>
        <w:t>cteurs ou dans un secteur donné, le</w:t>
      </w:r>
      <w:r w:rsidR="00D07F5B" w:rsidRPr="006B53A5">
        <w:rPr>
          <w:rFonts w:cs="Arial"/>
          <w:lang w:val="fr-FR"/>
        </w:rPr>
        <w:t xml:space="preserve"> recours</w:t>
      </w:r>
      <w:r w:rsidR="00E72618" w:rsidRPr="006B53A5">
        <w:rPr>
          <w:rFonts w:cs="Arial"/>
          <w:lang w:val="fr-FR"/>
        </w:rPr>
        <w:t xml:space="preserve"> à ces programmes</w:t>
      </w:r>
      <w:r w:rsidR="00D07F5B" w:rsidRPr="006B53A5">
        <w:rPr>
          <w:rFonts w:cs="Arial"/>
          <w:lang w:val="fr-FR"/>
        </w:rPr>
        <w:t xml:space="preserve"> </w:t>
      </w:r>
      <w:r w:rsidR="005728E4" w:rsidRPr="006B53A5">
        <w:rPr>
          <w:rFonts w:cs="Arial"/>
          <w:lang w:val="fr-FR"/>
        </w:rPr>
        <w:t xml:space="preserve">étant quasi-systématique </w:t>
      </w:r>
      <w:r w:rsidR="00D07F5B" w:rsidRPr="006B53A5">
        <w:rPr>
          <w:rFonts w:cs="Arial"/>
          <w:lang w:val="fr-FR"/>
        </w:rPr>
        <w:t xml:space="preserve">dans la région Asie-Pacifique et en </w:t>
      </w:r>
      <w:r w:rsidR="005728E4" w:rsidRPr="006B53A5">
        <w:rPr>
          <w:rFonts w:cs="Arial"/>
          <w:lang w:val="fr-FR"/>
        </w:rPr>
        <w:t>augmentation</w:t>
      </w:r>
      <w:r w:rsidR="00D07F5B" w:rsidRPr="006B53A5">
        <w:rPr>
          <w:rFonts w:cs="Arial"/>
          <w:lang w:val="fr-FR"/>
        </w:rPr>
        <w:t xml:space="preserve"> dans les régions Amériques et Afrique. </w:t>
      </w:r>
      <w:r w:rsidR="005728E4" w:rsidRPr="006B53A5">
        <w:rPr>
          <w:rFonts w:cs="Arial"/>
          <w:lang w:val="fr-FR"/>
        </w:rPr>
        <w:t>De même</w:t>
      </w:r>
      <w:r w:rsidR="00D07F5B" w:rsidRPr="006B53A5">
        <w:rPr>
          <w:rFonts w:cs="Arial"/>
          <w:lang w:val="fr-FR"/>
        </w:rPr>
        <w:t>,</w:t>
      </w:r>
      <w:r w:rsidR="005728E4" w:rsidRPr="006B53A5">
        <w:rPr>
          <w:rFonts w:cs="Arial"/>
          <w:lang w:val="fr-FR"/>
        </w:rPr>
        <w:t xml:space="preserve"> depuis trois ans,</w:t>
      </w:r>
      <w:r w:rsidR="00D07F5B" w:rsidRPr="006B53A5">
        <w:rPr>
          <w:rFonts w:cs="Arial"/>
          <w:lang w:val="fr-FR"/>
        </w:rPr>
        <w:t xml:space="preserve"> le</w:t>
      </w:r>
      <w:r w:rsidR="005728E4" w:rsidRPr="006B53A5">
        <w:rPr>
          <w:rFonts w:cs="Arial"/>
          <w:lang w:val="fr-FR"/>
        </w:rPr>
        <w:t>s allocations du</w:t>
      </w:r>
      <w:r w:rsidR="00D07F5B" w:rsidRPr="006B53A5">
        <w:rPr>
          <w:rFonts w:cs="Arial"/>
          <w:lang w:val="fr-FR"/>
        </w:rPr>
        <w:t xml:space="preserve"> DREF</w:t>
      </w:r>
      <w:r w:rsidR="005728E4" w:rsidRPr="006B53A5">
        <w:rPr>
          <w:rFonts w:cs="Arial"/>
          <w:lang w:val="fr-FR"/>
        </w:rPr>
        <w:t xml:space="preserve"> sont plus en plus utilisées pour mettre en place des PTM</w:t>
      </w:r>
      <w:r w:rsidR="00D07F5B" w:rsidRPr="006B53A5">
        <w:rPr>
          <w:rFonts w:cs="Arial"/>
          <w:lang w:val="fr-FR"/>
        </w:rPr>
        <w:t>.</w:t>
      </w:r>
    </w:p>
    <w:p w:rsidR="000F5883" w:rsidRPr="006B53A5" w:rsidRDefault="000F5883" w:rsidP="00C42DE9">
      <w:pPr>
        <w:pStyle w:val="ListParagraph"/>
        <w:ind w:left="284" w:hanging="284"/>
        <w:rPr>
          <w:rFonts w:cs="Arial"/>
          <w:lang w:val="fr-FR"/>
        </w:rPr>
      </w:pPr>
    </w:p>
    <w:p w:rsidR="00D07F5B" w:rsidRPr="006B53A5" w:rsidRDefault="00D07F5B" w:rsidP="007F377A">
      <w:pPr>
        <w:pStyle w:val="ListParagraph"/>
        <w:ind w:left="284" w:hanging="284"/>
        <w:rPr>
          <w:rFonts w:cs="Arial"/>
          <w:lang w:val="fr-FR"/>
        </w:rPr>
      </w:pPr>
      <w:r w:rsidRPr="006B53A5">
        <w:rPr>
          <w:rFonts w:cs="Arial"/>
          <w:lang w:val="fr-FR"/>
        </w:rPr>
        <w:t>Le</w:t>
      </w:r>
      <w:r w:rsidR="007F377A" w:rsidRPr="006B53A5">
        <w:rPr>
          <w:rFonts w:cs="Arial"/>
          <w:lang w:val="fr-FR"/>
        </w:rPr>
        <w:t xml:space="preserve"> Mouvement utilise les</w:t>
      </w:r>
      <w:r w:rsidRPr="006B53A5">
        <w:rPr>
          <w:rFonts w:cs="Arial"/>
          <w:lang w:val="fr-FR"/>
        </w:rPr>
        <w:t xml:space="preserve"> </w:t>
      </w:r>
      <w:r w:rsidR="007F377A" w:rsidRPr="006B53A5">
        <w:rPr>
          <w:rFonts w:cs="Arial"/>
          <w:lang w:val="fr-FR"/>
        </w:rPr>
        <w:t xml:space="preserve">PTM </w:t>
      </w:r>
      <w:r w:rsidRPr="006B53A5">
        <w:rPr>
          <w:rFonts w:cs="Arial"/>
          <w:lang w:val="fr-FR"/>
        </w:rPr>
        <w:t xml:space="preserve">pour atteindre </w:t>
      </w:r>
      <w:r w:rsidR="007F377A" w:rsidRPr="006B53A5">
        <w:rPr>
          <w:rFonts w:cs="Arial"/>
          <w:lang w:val="fr-FR"/>
        </w:rPr>
        <w:t>des</w:t>
      </w:r>
      <w:r w:rsidRPr="006B53A5">
        <w:rPr>
          <w:rFonts w:cs="Arial"/>
          <w:lang w:val="fr-FR"/>
        </w:rPr>
        <w:t xml:space="preserve"> objectifs </w:t>
      </w:r>
      <w:r w:rsidR="007F377A" w:rsidRPr="006B53A5">
        <w:rPr>
          <w:rFonts w:cs="Arial"/>
          <w:lang w:val="fr-FR"/>
        </w:rPr>
        <w:t>variés</w:t>
      </w:r>
      <w:r w:rsidRPr="006B53A5">
        <w:rPr>
          <w:rFonts w:cs="Arial"/>
          <w:lang w:val="fr-FR"/>
        </w:rPr>
        <w:t>, tels que :</w:t>
      </w:r>
    </w:p>
    <w:p w:rsidR="00D07F5B" w:rsidRPr="006B53A5" w:rsidRDefault="00D07F5B" w:rsidP="002D3DC0">
      <w:pPr>
        <w:pStyle w:val="Bullet2"/>
        <w:spacing w:before="0"/>
        <w:rPr>
          <w:lang w:val="fr-FR"/>
        </w:rPr>
      </w:pPr>
      <w:r w:rsidRPr="006B53A5">
        <w:rPr>
          <w:lang w:val="fr-FR"/>
        </w:rPr>
        <w:t>la satisfaction des besoins de base (alimentaires et non alimentaires) immédiatement après une catastrophe ;</w:t>
      </w:r>
    </w:p>
    <w:p w:rsidR="000F5883" w:rsidRPr="006B53A5" w:rsidRDefault="00D07F5B" w:rsidP="002D3DC0">
      <w:pPr>
        <w:pStyle w:val="Bullet2"/>
        <w:spacing w:before="0"/>
        <w:rPr>
          <w:lang w:val="fr-FR"/>
        </w:rPr>
      </w:pPr>
      <w:r w:rsidRPr="006B53A5">
        <w:rPr>
          <w:lang w:val="fr-FR"/>
        </w:rPr>
        <w:t>le renforcement de la sécurité économique des ménages ;</w:t>
      </w:r>
    </w:p>
    <w:p w:rsidR="000F5883" w:rsidRPr="006B53A5" w:rsidRDefault="001D158E" w:rsidP="002D3DC0">
      <w:pPr>
        <w:pStyle w:val="Bullet2"/>
        <w:rPr>
          <w:lang w:val="fr-FR"/>
        </w:rPr>
      </w:pPr>
      <w:r w:rsidRPr="006B53A5">
        <w:rPr>
          <w:lang w:val="fr-FR"/>
        </w:rPr>
        <w:t>la</w:t>
      </w:r>
      <w:r w:rsidR="00D07F5B" w:rsidRPr="006B53A5">
        <w:rPr>
          <w:lang w:val="fr-FR"/>
        </w:rPr>
        <w:t xml:space="preserve"> </w:t>
      </w:r>
      <w:r w:rsidRPr="006B53A5">
        <w:rPr>
          <w:lang w:val="fr-FR"/>
        </w:rPr>
        <w:t>reconstitution des stocks et des actifs productifs ;</w:t>
      </w:r>
    </w:p>
    <w:p w:rsidR="001D158E" w:rsidRPr="006B53A5" w:rsidRDefault="001D158E" w:rsidP="002D3DC0">
      <w:pPr>
        <w:pStyle w:val="Bullet2"/>
        <w:rPr>
          <w:lang w:val="fr-FR"/>
        </w:rPr>
      </w:pPr>
      <w:r w:rsidRPr="006B53A5">
        <w:rPr>
          <w:lang w:val="fr-FR"/>
        </w:rPr>
        <w:t>la diversification du régime alimentaire ;</w:t>
      </w:r>
    </w:p>
    <w:p w:rsidR="001D158E" w:rsidRPr="006B53A5" w:rsidRDefault="001D158E" w:rsidP="002D3DC0">
      <w:pPr>
        <w:pStyle w:val="Bullet2"/>
        <w:rPr>
          <w:lang w:val="fr-FR"/>
        </w:rPr>
      </w:pPr>
      <w:r w:rsidRPr="006B53A5">
        <w:rPr>
          <w:lang w:val="fr-FR"/>
        </w:rPr>
        <w:t>la mise en commun des fonds en vue de projets de développement communautaire ;</w:t>
      </w:r>
    </w:p>
    <w:p w:rsidR="000F5883" w:rsidRPr="006B53A5" w:rsidRDefault="001D158E" w:rsidP="001D158E">
      <w:pPr>
        <w:pStyle w:val="Bullet2"/>
        <w:rPr>
          <w:lang w:val="fr-FR"/>
        </w:rPr>
      </w:pPr>
      <w:r w:rsidRPr="006B53A5">
        <w:rPr>
          <w:lang w:val="fr-FR"/>
        </w:rPr>
        <w:t>l’amélioration de l’accès aux marchés et aux soins de santé (grâce à l’achat de moyens de transport) ;</w:t>
      </w:r>
    </w:p>
    <w:p w:rsidR="000F5883" w:rsidRPr="006B53A5" w:rsidRDefault="001D158E" w:rsidP="002D3DC0">
      <w:pPr>
        <w:pStyle w:val="Bullet2"/>
        <w:rPr>
          <w:lang w:val="fr-FR"/>
        </w:rPr>
      </w:pPr>
      <w:r w:rsidRPr="006B53A5">
        <w:rPr>
          <w:lang w:val="fr-FR"/>
        </w:rPr>
        <w:t>la prévention de la vente des actifs productifs ;</w:t>
      </w:r>
    </w:p>
    <w:p w:rsidR="001D158E" w:rsidRPr="006B53A5" w:rsidRDefault="001D158E" w:rsidP="002D3DC0">
      <w:pPr>
        <w:pStyle w:val="Bullet2"/>
        <w:rPr>
          <w:lang w:val="fr-FR"/>
        </w:rPr>
      </w:pPr>
      <w:r w:rsidRPr="006B53A5">
        <w:rPr>
          <w:lang w:val="fr-FR"/>
        </w:rPr>
        <w:t>la relance des économies locales ;</w:t>
      </w:r>
    </w:p>
    <w:p w:rsidR="001D158E" w:rsidRPr="006B53A5" w:rsidRDefault="001D158E" w:rsidP="002D3DC0">
      <w:pPr>
        <w:pStyle w:val="Bullet2"/>
        <w:rPr>
          <w:lang w:val="fr-FR"/>
        </w:rPr>
      </w:pPr>
      <w:r w:rsidRPr="006B53A5">
        <w:rPr>
          <w:lang w:val="fr-FR"/>
        </w:rPr>
        <w:t>la réduction du fardeau économique qui pèse sur les communautés bénéficiaires ;</w:t>
      </w:r>
    </w:p>
    <w:p w:rsidR="001D158E" w:rsidRPr="006B53A5" w:rsidRDefault="001D158E" w:rsidP="00635CE5">
      <w:pPr>
        <w:pStyle w:val="Bullet2"/>
        <w:rPr>
          <w:lang w:val="fr-FR"/>
        </w:rPr>
      </w:pPr>
      <w:r w:rsidRPr="006B53A5">
        <w:rPr>
          <w:lang w:val="fr-FR"/>
        </w:rPr>
        <w:t xml:space="preserve">le soutien </w:t>
      </w:r>
      <w:r w:rsidR="00635CE5">
        <w:rPr>
          <w:lang w:val="fr-FR"/>
        </w:rPr>
        <w:t>à</w:t>
      </w:r>
      <w:r w:rsidRPr="006B53A5">
        <w:rPr>
          <w:lang w:val="fr-FR"/>
        </w:rPr>
        <w:t xml:space="preserve"> l’éducation ;</w:t>
      </w:r>
    </w:p>
    <w:p w:rsidR="001D158E" w:rsidRPr="006B53A5" w:rsidRDefault="001D158E" w:rsidP="002D3DC0">
      <w:pPr>
        <w:pStyle w:val="Bullet2"/>
        <w:rPr>
          <w:lang w:val="fr-FR"/>
        </w:rPr>
      </w:pPr>
      <w:r w:rsidRPr="006B53A5">
        <w:rPr>
          <w:lang w:val="fr-FR"/>
        </w:rPr>
        <w:t>la construction d’abris (temporaires et transitoires, notamment).</w:t>
      </w:r>
    </w:p>
    <w:p w:rsidR="000F5883" w:rsidRPr="006B53A5" w:rsidRDefault="001D158E" w:rsidP="007F377A">
      <w:pPr>
        <w:pStyle w:val="ListParagraph"/>
        <w:numPr>
          <w:ilvl w:val="0"/>
          <w:numId w:val="1"/>
        </w:numPr>
        <w:spacing w:before="240"/>
        <w:ind w:left="284" w:hanging="284"/>
        <w:rPr>
          <w:rFonts w:cs="Arial"/>
          <w:b/>
          <w:lang w:val="fr-FR"/>
        </w:rPr>
      </w:pPr>
      <w:r w:rsidRPr="006B53A5">
        <w:rPr>
          <w:rFonts w:cs="Arial"/>
          <w:b/>
          <w:lang w:val="fr-FR"/>
        </w:rPr>
        <w:t>Quelles sont les préoccupations</w:t>
      </w:r>
      <w:r w:rsidR="00E72618" w:rsidRPr="006B53A5">
        <w:rPr>
          <w:rFonts w:cs="Arial"/>
          <w:b/>
          <w:lang w:val="fr-FR"/>
        </w:rPr>
        <w:t xml:space="preserve"> les plus courantes</w:t>
      </w:r>
      <w:r w:rsidRPr="006B53A5">
        <w:rPr>
          <w:rFonts w:cs="Arial"/>
          <w:b/>
          <w:lang w:val="fr-FR"/>
        </w:rPr>
        <w:t xml:space="preserve"> </w:t>
      </w:r>
      <w:r w:rsidR="00E72618" w:rsidRPr="006B53A5">
        <w:rPr>
          <w:rFonts w:cs="Arial"/>
          <w:b/>
          <w:lang w:val="fr-FR"/>
        </w:rPr>
        <w:t>en ce qui concerne</w:t>
      </w:r>
      <w:r w:rsidR="004678DE" w:rsidRPr="006B53A5">
        <w:rPr>
          <w:rFonts w:cs="Arial"/>
          <w:b/>
          <w:lang w:val="fr-FR"/>
        </w:rPr>
        <w:t xml:space="preserve"> </w:t>
      </w:r>
      <w:r w:rsidR="007F377A" w:rsidRPr="006B53A5">
        <w:rPr>
          <w:rFonts w:cs="Arial"/>
          <w:b/>
          <w:lang w:val="fr-FR"/>
        </w:rPr>
        <w:t>les</w:t>
      </w:r>
      <w:r w:rsidRPr="006B53A5">
        <w:rPr>
          <w:rFonts w:cs="Arial"/>
          <w:b/>
          <w:lang w:val="fr-FR"/>
        </w:rPr>
        <w:t xml:space="preserve"> PTM ?</w:t>
      </w:r>
    </w:p>
    <w:p w:rsidR="00AB0B08" w:rsidRPr="006B53A5" w:rsidRDefault="00AB0B08" w:rsidP="00AB0B08">
      <w:pPr>
        <w:pStyle w:val="ListParagraph"/>
        <w:spacing w:before="240"/>
        <w:ind w:left="284"/>
        <w:rPr>
          <w:rFonts w:cs="Arial"/>
          <w:b/>
          <w:lang w:val="fr-FR"/>
        </w:rPr>
      </w:pPr>
    </w:p>
    <w:p w:rsidR="001D158E" w:rsidRPr="006B53A5" w:rsidRDefault="007F377A" w:rsidP="007F377A">
      <w:pPr>
        <w:pStyle w:val="ListParagraph"/>
        <w:numPr>
          <w:ilvl w:val="0"/>
          <w:numId w:val="3"/>
        </w:numPr>
        <w:tabs>
          <w:tab w:val="left" w:pos="567"/>
        </w:tabs>
        <w:autoSpaceDE w:val="0"/>
        <w:autoSpaceDN w:val="0"/>
        <w:adjustRightInd w:val="0"/>
        <w:spacing w:before="240" w:after="120"/>
        <w:ind w:left="714" w:hanging="357"/>
        <w:rPr>
          <w:rFonts w:cs="Arial"/>
          <w:b/>
          <w:i/>
          <w:color w:val="000000"/>
          <w:lang w:val="fr-FR"/>
        </w:rPr>
      </w:pPr>
      <w:r w:rsidRPr="006B53A5">
        <w:rPr>
          <w:rFonts w:cs="Arial"/>
          <w:b/>
          <w:i/>
          <w:color w:val="000000"/>
          <w:lang w:val="fr-FR"/>
        </w:rPr>
        <w:t xml:space="preserve">Tout le monde veut recevoir </w:t>
      </w:r>
      <w:r w:rsidR="001D158E" w:rsidRPr="006B53A5">
        <w:rPr>
          <w:rFonts w:cs="Arial"/>
          <w:b/>
          <w:i/>
          <w:color w:val="000000"/>
          <w:lang w:val="fr-FR"/>
        </w:rPr>
        <w:t>de l’argent</w:t>
      </w:r>
      <w:r w:rsidRPr="006B53A5">
        <w:rPr>
          <w:rFonts w:cs="Arial"/>
          <w:b/>
          <w:i/>
          <w:color w:val="000000"/>
          <w:lang w:val="fr-FR"/>
        </w:rPr>
        <w:t>, ce qui peut rendre l</w:t>
      </w:r>
      <w:r w:rsidR="001342F9" w:rsidRPr="006B53A5">
        <w:rPr>
          <w:rFonts w:cs="Arial"/>
          <w:b/>
          <w:i/>
          <w:color w:val="000000"/>
          <w:lang w:val="fr-FR"/>
        </w:rPr>
        <w:t>e</w:t>
      </w:r>
      <w:r w:rsidR="001D158E" w:rsidRPr="006B53A5">
        <w:rPr>
          <w:rFonts w:cs="Arial"/>
          <w:b/>
          <w:i/>
          <w:color w:val="000000"/>
          <w:lang w:val="fr-FR"/>
        </w:rPr>
        <w:t xml:space="preserve"> ciblage</w:t>
      </w:r>
      <w:r w:rsidRPr="006B53A5">
        <w:rPr>
          <w:rFonts w:cs="Arial"/>
          <w:b/>
          <w:i/>
          <w:color w:val="000000"/>
          <w:lang w:val="fr-FR"/>
        </w:rPr>
        <w:t xml:space="preserve"> difficile</w:t>
      </w:r>
      <w:r w:rsidR="001D158E" w:rsidRPr="006B53A5">
        <w:rPr>
          <w:rFonts w:cs="Arial"/>
          <w:b/>
          <w:i/>
          <w:color w:val="000000"/>
          <w:lang w:val="fr-FR"/>
        </w:rPr>
        <w:t>.</w:t>
      </w:r>
    </w:p>
    <w:p w:rsidR="00A26332" w:rsidRPr="006B53A5" w:rsidRDefault="001D158E" w:rsidP="00635CE5">
      <w:pPr>
        <w:tabs>
          <w:tab w:val="left" w:pos="567"/>
        </w:tabs>
        <w:autoSpaceDE w:val="0"/>
        <w:autoSpaceDN w:val="0"/>
        <w:adjustRightInd w:val="0"/>
        <w:spacing w:after="0"/>
        <w:ind w:left="567"/>
        <w:rPr>
          <w:lang w:val="fr-FR"/>
        </w:rPr>
      </w:pPr>
      <w:r w:rsidRPr="006B53A5">
        <w:rPr>
          <w:lang w:val="fr-FR"/>
        </w:rPr>
        <w:t xml:space="preserve">C’est précisément parce que </w:t>
      </w:r>
      <w:r w:rsidR="00A26332" w:rsidRPr="006B53A5">
        <w:rPr>
          <w:lang w:val="fr-FR"/>
        </w:rPr>
        <w:t>tous les individus</w:t>
      </w:r>
      <w:r w:rsidRPr="006B53A5">
        <w:rPr>
          <w:lang w:val="fr-FR"/>
        </w:rPr>
        <w:t xml:space="preserve"> touché</w:t>
      </w:r>
      <w:r w:rsidR="00A26332" w:rsidRPr="006B53A5">
        <w:rPr>
          <w:lang w:val="fr-FR"/>
        </w:rPr>
        <w:t>s</w:t>
      </w:r>
      <w:r w:rsidRPr="006B53A5">
        <w:rPr>
          <w:lang w:val="fr-FR"/>
        </w:rPr>
        <w:t xml:space="preserve"> par une catastrophe ou</w:t>
      </w:r>
      <w:r w:rsidR="00A26332" w:rsidRPr="006B53A5">
        <w:rPr>
          <w:lang w:val="fr-FR"/>
        </w:rPr>
        <w:t xml:space="preserve"> par</w:t>
      </w:r>
      <w:r w:rsidRPr="006B53A5">
        <w:rPr>
          <w:lang w:val="fr-FR"/>
        </w:rPr>
        <w:t xml:space="preserve"> un conflit </w:t>
      </w:r>
      <w:r w:rsidR="00635CE5">
        <w:rPr>
          <w:lang w:val="fr-FR"/>
        </w:rPr>
        <w:t>savent que des subventions en espèces</w:t>
      </w:r>
      <w:r w:rsidRPr="006B53A5">
        <w:rPr>
          <w:lang w:val="fr-FR"/>
        </w:rPr>
        <w:t xml:space="preserve"> </w:t>
      </w:r>
      <w:r w:rsidR="00A26332" w:rsidRPr="006B53A5">
        <w:rPr>
          <w:lang w:val="fr-FR"/>
        </w:rPr>
        <w:t>peu</w:t>
      </w:r>
      <w:r w:rsidR="00635CE5">
        <w:rPr>
          <w:lang w:val="fr-FR"/>
        </w:rPr>
        <w:t>ven</w:t>
      </w:r>
      <w:r w:rsidR="00A26332" w:rsidRPr="006B53A5">
        <w:rPr>
          <w:lang w:val="fr-FR"/>
        </w:rPr>
        <w:t xml:space="preserve">t les aider à se relever que le Mouvement doit </w:t>
      </w:r>
      <w:r w:rsidR="00635CE5">
        <w:rPr>
          <w:lang w:val="fr-FR"/>
        </w:rPr>
        <w:t xml:space="preserve">bien </w:t>
      </w:r>
      <w:r w:rsidR="00A26332" w:rsidRPr="006B53A5">
        <w:rPr>
          <w:lang w:val="fr-FR"/>
        </w:rPr>
        <w:t>cibler les interventions. La distribution d’espèces ne sera à elle seule probablement pas suffisante pour répondre aux différents besoins de</w:t>
      </w:r>
      <w:r w:rsidR="001342F9" w:rsidRPr="006B53A5">
        <w:rPr>
          <w:lang w:val="fr-FR"/>
        </w:rPr>
        <w:t xml:space="preserve"> tou</w:t>
      </w:r>
      <w:r w:rsidR="00A26332" w:rsidRPr="006B53A5">
        <w:rPr>
          <w:lang w:val="fr-FR"/>
        </w:rPr>
        <w:t>s</w:t>
      </w:r>
      <w:r w:rsidR="001342F9" w:rsidRPr="006B53A5">
        <w:rPr>
          <w:lang w:val="fr-FR"/>
        </w:rPr>
        <w:t xml:space="preserve"> les</w:t>
      </w:r>
      <w:r w:rsidR="00A26332" w:rsidRPr="006B53A5">
        <w:rPr>
          <w:lang w:val="fr-FR"/>
        </w:rPr>
        <w:t xml:space="preserve"> individus. Les transferts monétaires sont souvent </w:t>
      </w:r>
      <w:r w:rsidR="001342F9" w:rsidRPr="006B53A5">
        <w:rPr>
          <w:lang w:val="fr-FR"/>
        </w:rPr>
        <w:t>combinés avec l’apport</w:t>
      </w:r>
      <w:r w:rsidR="00A26332" w:rsidRPr="006B53A5">
        <w:rPr>
          <w:lang w:val="fr-FR"/>
        </w:rPr>
        <w:t xml:space="preserve"> d’une aide en nature et </w:t>
      </w:r>
      <w:r w:rsidR="001342F9" w:rsidRPr="006B53A5">
        <w:rPr>
          <w:lang w:val="fr-FR"/>
        </w:rPr>
        <w:t xml:space="preserve">la fourniture </w:t>
      </w:r>
      <w:r w:rsidR="00A26332" w:rsidRPr="006B53A5">
        <w:rPr>
          <w:lang w:val="fr-FR"/>
        </w:rPr>
        <w:t xml:space="preserve">de services. Le Mouvement doit répondre </w:t>
      </w:r>
      <w:r w:rsidR="007F377A" w:rsidRPr="006B53A5">
        <w:rPr>
          <w:lang w:val="fr-FR"/>
        </w:rPr>
        <w:t>aux</w:t>
      </w:r>
      <w:r w:rsidR="00D52DBD" w:rsidRPr="006B53A5">
        <w:rPr>
          <w:lang w:val="fr-FR"/>
        </w:rPr>
        <w:t xml:space="preserve"> besoins</w:t>
      </w:r>
      <w:r w:rsidR="007F377A" w:rsidRPr="006B53A5">
        <w:rPr>
          <w:lang w:val="fr-FR"/>
        </w:rPr>
        <w:t xml:space="preserve"> recensés</w:t>
      </w:r>
      <w:r w:rsidR="00A26332" w:rsidRPr="006B53A5">
        <w:rPr>
          <w:lang w:val="fr-FR"/>
        </w:rPr>
        <w:t xml:space="preserve"> en mettant en place les modalités de transfert et l</w:t>
      </w:r>
      <w:r w:rsidR="00D52DBD" w:rsidRPr="006B53A5">
        <w:rPr>
          <w:lang w:val="fr-FR"/>
        </w:rPr>
        <w:t>es mécanismes de distribution adaptés</w:t>
      </w:r>
      <w:r w:rsidR="00A26332" w:rsidRPr="006B53A5">
        <w:rPr>
          <w:lang w:val="fr-FR"/>
        </w:rPr>
        <w:t xml:space="preserve"> à chaque groupe cible.</w:t>
      </w:r>
      <w:r w:rsidR="00D05FC5" w:rsidRPr="006B53A5">
        <w:rPr>
          <w:lang w:val="fr-FR"/>
        </w:rPr>
        <w:t xml:space="preserve"> Comprendre la façon dont les transferts monétaires contribuent à la satisfaction de</w:t>
      </w:r>
      <w:r w:rsidR="00D52DBD" w:rsidRPr="006B53A5">
        <w:rPr>
          <w:lang w:val="fr-FR"/>
        </w:rPr>
        <w:t xml:space="preserve">s besoins des ménages permet d’élaborer </w:t>
      </w:r>
      <w:r w:rsidR="00D05FC5" w:rsidRPr="006B53A5">
        <w:rPr>
          <w:lang w:val="fr-FR"/>
        </w:rPr>
        <w:t xml:space="preserve">des </w:t>
      </w:r>
      <w:r w:rsidR="007F377A" w:rsidRPr="006B53A5">
        <w:rPr>
          <w:lang w:val="fr-FR"/>
        </w:rPr>
        <w:t>PTM</w:t>
      </w:r>
      <w:r w:rsidR="00D05FC5" w:rsidRPr="006B53A5">
        <w:rPr>
          <w:lang w:val="fr-FR"/>
        </w:rPr>
        <w:t xml:space="preserve"> facilitant l’identification des groupes cibles </w:t>
      </w:r>
      <w:r w:rsidR="00054584" w:rsidRPr="006B53A5">
        <w:rPr>
          <w:lang w:val="fr-FR"/>
        </w:rPr>
        <w:t xml:space="preserve">(zones, </w:t>
      </w:r>
      <w:r w:rsidR="00D05FC5" w:rsidRPr="006B53A5">
        <w:rPr>
          <w:lang w:val="fr-FR"/>
        </w:rPr>
        <w:t>ménages ou moyens de subsistance</w:t>
      </w:r>
      <w:r w:rsidR="00054584" w:rsidRPr="006B53A5">
        <w:rPr>
          <w:lang w:val="fr-FR"/>
        </w:rPr>
        <w:t xml:space="preserve"> concernés)</w:t>
      </w:r>
      <w:r w:rsidR="00D05FC5" w:rsidRPr="006B53A5">
        <w:rPr>
          <w:lang w:val="fr-FR"/>
        </w:rPr>
        <w:t xml:space="preserve">. Les </w:t>
      </w:r>
      <w:r w:rsidR="00054584" w:rsidRPr="006B53A5">
        <w:rPr>
          <w:lang w:val="fr-FR"/>
        </w:rPr>
        <w:t>méthodes de</w:t>
      </w:r>
      <w:r w:rsidR="00D05FC5" w:rsidRPr="006B53A5">
        <w:rPr>
          <w:lang w:val="fr-FR"/>
        </w:rPr>
        <w:t xml:space="preserve"> ciblage et les critères de sélection devront être définis </w:t>
      </w:r>
      <w:r w:rsidR="002725F5" w:rsidRPr="006B53A5">
        <w:rPr>
          <w:lang w:val="fr-FR"/>
        </w:rPr>
        <w:t>en fonction</w:t>
      </w:r>
      <w:r w:rsidR="00054584" w:rsidRPr="006B53A5">
        <w:rPr>
          <w:lang w:val="fr-FR"/>
        </w:rPr>
        <w:t xml:space="preserve"> de la communauté et permettre la mise en place de systèmes de vérification, </w:t>
      </w:r>
      <w:r w:rsidR="00D05FC5" w:rsidRPr="006B53A5">
        <w:rPr>
          <w:lang w:val="fr-FR"/>
        </w:rPr>
        <w:t xml:space="preserve">de suivi </w:t>
      </w:r>
      <w:r w:rsidR="00054584" w:rsidRPr="006B53A5">
        <w:rPr>
          <w:lang w:val="fr-FR"/>
        </w:rPr>
        <w:t xml:space="preserve">et de communication </w:t>
      </w:r>
      <w:r w:rsidR="00D05FC5" w:rsidRPr="006B53A5">
        <w:rPr>
          <w:lang w:val="fr-FR"/>
        </w:rPr>
        <w:t xml:space="preserve">solides. Les erreurs d’inclusion et d’exclusion peuvent être surveillées </w:t>
      </w:r>
      <w:r w:rsidR="00054584" w:rsidRPr="006B53A5">
        <w:rPr>
          <w:lang w:val="fr-FR"/>
        </w:rPr>
        <w:t>à l’aide d’</w:t>
      </w:r>
      <w:r w:rsidR="00D05FC5" w:rsidRPr="006B53A5">
        <w:rPr>
          <w:lang w:val="fr-FR"/>
        </w:rPr>
        <w:t xml:space="preserve">un mécanisme </w:t>
      </w:r>
      <w:r w:rsidR="00635CE5">
        <w:rPr>
          <w:lang w:val="fr-FR"/>
        </w:rPr>
        <w:t>efficace</w:t>
      </w:r>
      <w:r w:rsidR="00054584" w:rsidRPr="006B53A5">
        <w:rPr>
          <w:lang w:val="fr-FR"/>
        </w:rPr>
        <w:t xml:space="preserve"> </w:t>
      </w:r>
      <w:r w:rsidR="00D05FC5" w:rsidRPr="006B53A5">
        <w:rPr>
          <w:lang w:val="fr-FR"/>
        </w:rPr>
        <w:t>de plainte et de retour</w:t>
      </w:r>
      <w:r w:rsidR="00054584" w:rsidRPr="006B53A5">
        <w:rPr>
          <w:lang w:val="fr-FR"/>
        </w:rPr>
        <w:t>s</w:t>
      </w:r>
      <w:r w:rsidR="00D05FC5" w:rsidRPr="006B53A5">
        <w:rPr>
          <w:lang w:val="fr-FR"/>
        </w:rPr>
        <w:t xml:space="preserve"> d’information.</w:t>
      </w:r>
    </w:p>
    <w:p w:rsidR="00174968" w:rsidRPr="006B53A5" w:rsidRDefault="00174968" w:rsidP="0060244C">
      <w:pPr>
        <w:pStyle w:val="ListParagraph"/>
        <w:tabs>
          <w:tab w:val="left" w:pos="567"/>
        </w:tabs>
        <w:autoSpaceDE w:val="0"/>
        <w:autoSpaceDN w:val="0"/>
        <w:adjustRightInd w:val="0"/>
        <w:spacing w:after="0"/>
        <w:rPr>
          <w:rFonts w:cs="Arial"/>
          <w:lang w:val="fr-FR"/>
        </w:rPr>
      </w:pPr>
    </w:p>
    <w:p w:rsidR="00D05FC5" w:rsidRPr="006B53A5" w:rsidRDefault="00573951" w:rsidP="00C44CCB">
      <w:pPr>
        <w:pStyle w:val="ListParagraph"/>
        <w:numPr>
          <w:ilvl w:val="0"/>
          <w:numId w:val="3"/>
        </w:numPr>
        <w:tabs>
          <w:tab w:val="left" w:pos="567"/>
        </w:tabs>
        <w:autoSpaceDE w:val="0"/>
        <w:autoSpaceDN w:val="0"/>
        <w:adjustRightInd w:val="0"/>
        <w:spacing w:before="240" w:after="120"/>
        <w:ind w:left="714" w:hanging="357"/>
        <w:rPr>
          <w:rFonts w:cs="Arial"/>
          <w:b/>
          <w:i/>
          <w:lang w:val="fr-FR"/>
        </w:rPr>
      </w:pPr>
      <w:r w:rsidRPr="006B53A5">
        <w:rPr>
          <w:rFonts w:cs="Arial"/>
          <w:b/>
          <w:i/>
          <w:lang w:val="fr-FR"/>
        </w:rPr>
        <w:t xml:space="preserve">La distribution d’espèces peut pousser les commerçants locaux à augmenter leurs prix et provoquer </w:t>
      </w:r>
      <w:r w:rsidR="00C44CCB" w:rsidRPr="006B53A5">
        <w:rPr>
          <w:rFonts w:cs="Arial"/>
          <w:b/>
          <w:i/>
          <w:lang w:val="fr-FR"/>
        </w:rPr>
        <w:t xml:space="preserve">une </w:t>
      </w:r>
      <w:r w:rsidRPr="006B53A5">
        <w:rPr>
          <w:rFonts w:cs="Arial"/>
          <w:b/>
          <w:i/>
          <w:lang w:val="fr-FR"/>
        </w:rPr>
        <w:t>inflation.</w:t>
      </w:r>
    </w:p>
    <w:p w:rsidR="00573951" w:rsidRPr="006B53A5" w:rsidRDefault="00573951" w:rsidP="00EC1B6A">
      <w:pPr>
        <w:ind w:left="567"/>
        <w:rPr>
          <w:lang w:val="fr-FR"/>
        </w:rPr>
      </w:pPr>
      <w:r w:rsidRPr="006B53A5">
        <w:rPr>
          <w:lang w:val="fr-FR"/>
        </w:rPr>
        <w:t xml:space="preserve">Les </w:t>
      </w:r>
      <w:r w:rsidR="002B398E" w:rsidRPr="006B53A5">
        <w:rPr>
          <w:lang w:val="fr-FR"/>
        </w:rPr>
        <w:t>transferts monétaires ne représentent généralement qu’une faible part de l’économie locale et les données mont</w:t>
      </w:r>
      <w:r w:rsidR="004D5CEA" w:rsidRPr="006B53A5">
        <w:rPr>
          <w:lang w:val="fr-FR"/>
        </w:rPr>
        <w:t xml:space="preserve">rent qu’ils n’engendrent aucune </w:t>
      </w:r>
      <w:r w:rsidR="002B398E" w:rsidRPr="006B53A5">
        <w:rPr>
          <w:lang w:val="fr-FR"/>
        </w:rPr>
        <w:t>inflatio</w:t>
      </w:r>
      <w:r w:rsidR="001E6B33" w:rsidRPr="006B53A5">
        <w:rPr>
          <w:lang w:val="fr-FR"/>
        </w:rPr>
        <w:t>n à long terme. Toutefois, des variations</w:t>
      </w:r>
      <w:r w:rsidR="002B398E" w:rsidRPr="006B53A5">
        <w:rPr>
          <w:lang w:val="fr-FR"/>
        </w:rPr>
        <w:t xml:space="preserve"> à court terme des prix ont été relevées lorsque les acteurs du marché doivent répondre à la hausse de la demande de certains</w:t>
      </w:r>
      <w:r w:rsidR="001E6B33" w:rsidRPr="006B53A5">
        <w:rPr>
          <w:lang w:val="fr-FR"/>
        </w:rPr>
        <w:t xml:space="preserve"> biens</w:t>
      </w:r>
      <w:r w:rsidR="002B398E" w:rsidRPr="006B53A5">
        <w:rPr>
          <w:lang w:val="fr-FR"/>
        </w:rPr>
        <w:t xml:space="preserve">. Le Mouvement a mis au point différents outils permettant d’évaluer la capacité de réaction des marchés et d’analyser les prix </w:t>
      </w:r>
      <w:r w:rsidR="00EC1B6A" w:rsidRPr="006B53A5">
        <w:rPr>
          <w:lang w:val="fr-FR"/>
        </w:rPr>
        <w:t xml:space="preserve">qui y sont </w:t>
      </w:r>
      <w:r w:rsidR="002B398E" w:rsidRPr="006B53A5">
        <w:rPr>
          <w:lang w:val="fr-FR"/>
        </w:rPr>
        <w:t xml:space="preserve">appliqués. Ces outils ont été conçus </w:t>
      </w:r>
      <w:r w:rsidR="00EC1B6A" w:rsidRPr="006B53A5">
        <w:rPr>
          <w:lang w:val="fr-FR"/>
        </w:rPr>
        <w:t>pour</w:t>
      </w:r>
      <w:r w:rsidR="002B398E" w:rsidRPr="006B53A5">
        <w:rPr>
          <w:lang w:val="fr-FR"/>
        </w:rPr>
        <w:t xml:space="preserve"> vous aider à garantir que les montants des transferts monétaires et les mécanismes de distribution choisis </w:t>
      </w:r>
      <w:r w:rsidR="00EC1B6A" w:rsidRPr="006B53A5">
        <w:rPr>
          <w:lang w:val="fr-FR"/>
        </w:rPr>
        <w:t>réduisent</w:t>
      </w:r>
      <w:r w:rsidR="002B398E" w:rsidRPr="006B53A5">
        <w:rPr>
          <w:lang w:val="fr-FR"/>
        </w:rPr>
        <w:t xml:space="preserve"> le risque d’inflation lié à la distribution d’espèces aux bénéficiaires. Un suivi régulier</w:t>
      </w:r>
      <w:r w:rsidR="00582434" w:rsidRPr="006B53A5">
        <w:rPr>
          <w:lang w:val="fr-FR"/>
        </w:rPr>
        <w:t xml:space="preserve"> de l’inflation provoquée par des facteurs extérieurs aux </w:t>
      </w:r>
      <w:r w:rsidR="00EC1B6A" w:rsidRPr="006B53A5">
        <w:rPr>
          <w:lang w:val="fr-FR"/>
        </w:rPr>
        <w:t>PTM</w:t>
      </w:r>
      <w:r w:rsidR="00582434" w:rsidRPr="006B53A5">
        <w:rPr>
          <w:lang w:val="fr-FR"/>
        </w:rPr>
        <w:t xml:space="preserve"> vous aidera à déterminer si les montants des transferts monétaires doivent</w:t>
      </w:r>
      <w:r w:rsidR="00DA1E67" w:rsidRPr="006B53A5">
        <w:rPr>
          <w:lang w:val="fr-FR"/>
        </w:rPr>
        <w:t xml:space="preserve"> </w:t>
      </w:r>
      <w:r w:rsidR="00582434" w:rsidRPr="006B53A5">
        <w:rPr>
          <w:lang w:val="fr-FR"/>
        </w:rPr>
        <w:t xml:space="preserve">être adaptés aux nouveaux prix </w:t>
      </w:r>
      <w:r w:rsidR="001E6B33" w:rsidRPr="006B53A5">
        <w:rPr>
          <w:lang w:val="fr-FR"/>
        </w:rPr>
        <w:t xml:space="preserve">appliqués </w:t>
      </w:r>
      <w:r w:rsidR="00EC1B6A" w:rsidRPr="006B53A5">
        <w:rPr>
          <w:lang w:val="fr-FR"/>
        </w:rPr>
        <w:t>sur</w:t>
      </w:r>
      <w:r w:rsidR="001E6B33" w:rsidRPr="006B53A5">
        <w:rPr>
          <w:lang w:val="fr-FR"/>
        </w:rPr>
        <w:t xml:space="preserve"> l</w:t>
      </w:r>
      <w:r w:rsidR="006D20F2" w:rsidRPr="006B53A5">
        <w:rPr>
          <w:lang w:val="fr-FR"/>
        </w:rPr>
        <w:t>es</w:t>
      </w:r>
      <w:r w:rsidR="00582434" w:rsidRPr="006B53A5">
        <w:rPr>
          <w:lang w:val="fr-FR"/>
        </w:rPr>
        <w:t xml:space="preserve"> marchés.</w:t>
      </w:r>
    </w:p>
    <w:p w:rsidR="00582434" w:rsidRPr="006B53A5" w:rsidRDefault="006D20F2" w:rsidP="00EC1B6A">
      <w:pPr>
        <w:pStyle w:val="ListParagraph"/>
        <w:keepNext/>
        <w:numPr>
          <w:ilvl w:val="0"/>
          <w:numId w:val="3"/>
        </w:numPr>
        <w:spacing w:before="240" w:after="0"/>
        <w:ind w:left="567" w:hanging="210"/>
        <w:rPr>
          <w:rFonts w:cs="Arial"/>
          <w:b/>
          <w:bCs/>
          <w:i/>
          <w:lang w:val="fr-FR"/>
        </w:rPr>
      </w:pPr>
      <w:r w:rsidRPr="006B53A5">
        <w:rPr>
          <w:rFonts w:cs="Arial"/>
          <w:b/>
          <w:bCs/>
          <w:i/>
          <w:lang w:val="fr-FR"/>
        </w:rPr>
        <w:t xml:space="preserve">Les bénéficiaires </w:t>
      </w:r>
      <w:r w:rsidR="00EC1B6A" w:rsidRPr="006B53A5">
        <w:rPr>
          <w:rFonts w:cs="Arial"/>
          <w:b/>
          <w:bCs/>
          <w:i/>
          <w:lang w:val="fr-FR"/>
        </w:rPr>
        <w:t>n’utiliseront pas l’argent</w:t>
      </w:r>
      <w:r w:rsidRPr="006B53A5">
        <w:rPr>
          <w:rFonts w:cs="Arial"/>
          <w:b/>
          <w:bCs/>
          <w:i/>
          <w:lang w:val="fr-FR"/>
        </w:rPr>
        <w:t xml:space="preserve"> pour acheter les « bons » produits (ils </w:t>
      </w:r>
      <w:r w:rsidR="00D6457C" w:rsidRPr="006B53A5">
        <w:rPr>
          <w:rFonts w:cs="Arial"/>
          <w:b/>
          <w:bCs/>
          <w:i/>
          <w:lang w:val="fr-FR"/>
        </w:rPr>
        <w:t xml:space="preserve">les </w:t>
      </w:r>
      <w:r w:rsidRPr="006B53A5">
        <w:rPr>
          <w:rFonts w:cs="Arial"/>
          <w:b/>
          <w:bCs/>
          <w:i/>
          <w:lang w:val="fr-FR"/>
        </w:rPr>
        <w:t>utiliseront par exemple pour acheter de l’alcool).</w:t>
      </w:r>
    </w:p>
    <w:p w:rsidR="00AB0B08" w:rsidRPr="006B53A5" w:rsidRDefault="00AB0B08" w:rsidP="00617DED">
      <w:pPr>
        <w:pStyle w:val="ListParagraph"/>
        <w:keepNext/>
        <w:spacing w:after="0"/>
        <w:ind w:left="567"/>
        <w:rPr>
          <w:rFonts w:cs="Arial"/>
          <w:b/>
          <w:bCs/>
          <w:i/>
          <w:lang w:val="fr-FR"/>
        </w:rPr>
      </w:pPr>
    </w:p>
    <w:p w:rsidR="006D20F2" w:rsidRPr="006B53A5" w:rsidRDefault="006D20F2" w:rsidP="00B069B8">
      <w:pPr>
        <w:pStyle w:val="ListParagraph"/>
        <w:spacing w:before="120"/>
        <w:ind w:left="567"/>
        <w:rPr>
          <w:rFonts w:cs="Arial"/>
          <w:lang w:val="fr-FR"/>
        </w:rPr>
      </w:pPr>
      <w:r w:rsidRPr="006B53A5">
        <w:rPr>
          <w:rFonts w:cs="Arial"/>
          <w:lang w:val="fr-FR"/>
        </w:rPr>
        <w:t xml:space="preserve">Les </w:t>
      </w:r>
      <w:r w:rsidR="00EC1B6A" w:rsidRPr="006B53A5">
        <w:rPr>
          <w:rFonts w:cs="Arial"/>
          <w:lang w:val="fr-FR"/>
        </w:rPr>
        <w:t>PTM</w:t>
      </w:r>
      <w:r w:rsidRPr="006B53A5">
        <w:rPr>
          <w:rFonts w:cs="Arial"/>
          <w:lang w:val="fr-FR"/>
        </w:rPr>
        <w:t xml:space="preserve"> s’inscrivent dans un cycle de projets, </w:t>
      </w:r>
      <w:r w:rsidR="003B07B0" w:rsidRPr="006B53A5">
        <w:rPr>
          <w:rFonts w:cs="Arial"/>
          <w:lang w:val="fr-FR"/>
        </w:rPr>
        <w:t xml:space="preserve">allant de l’appréciation initiale </w:t>
      </w:r>
      <w:r w:rsidRPr="006B53A5">
        <w:rPr>
          <w:rFonts w:cs="Arial"/>
          <w:lang w:val="fr-FR"/>
        </w:rPr>
        <w:t xml:space="preserve">au suivi et à l’évaluation. Les résultats des recherches et </w:t>
      </w:r>
      <w:r w:rsidR="003B07B0" w:rsidRPr="006B53A5">
        <w:rPr>
          <w:rFonts w:cs="Arial"/>
          <w:lang w:val="fr-FR"/>
        </w:rPr>
        <w:t>du</w:t>
      </w:r>
      <w:r w:rsidRPr="006B53A5">
        <w:rPr>
          <w:rFonts w:cs="Arial"/>
          <w:lang w:val="fr-FR"/>
        </w:rPr>
        <w:t xml:space="preserve"> suivi </w:t>
      </w:r>
      <w:r w:rsidR="003B07B0" w:rsidRPr="006B53A5">
        <w:rPr>
          <w:rFonts w:cs="Arial"/>
          <w:lang w:val="fr-FR"/>
        </w:rPr>
        <w:t>post-</w:t>
      </w:r>
      <w:r w:rsidRPr="006B53A5">
        <w:rPr>
          <w:rFonts w:cs="Arial"/>
          <w:lang w:val="fr-FR"/>
        </w:rPr>
        <w:t xml:space="preserve">distribution montrent que </w:t>
      </w:r>
      <w:r w:rsidR="003B07B0" w:rsidRPr="006B53A5">
        <w:rPr>
          <w:rFonts w:cs="Arial"/>
          <w:lang w:val="fr-FR"/>
        </w:rPr>
        <w:t xml:space="preserve">les bénéficiaires utilisent les espèces pour répondre aux besoins recensés </w:t>
      </w:r>
      <w:r w:rsidRPr="006B53A5">
        <w:rPr>
          <w:rFonts w:cs="Arial"/>
          <w:lang w:val="fr-FR"/>
        </w:rPr>
        <w:t>lorsque l’évaluation des besoins</w:t>
      </w:r>
      <w:r w:rsidR="003B07B0" w:rsidRPr="006B53A5">
        <w:rPr>
          <w:rFonts w:cs="Arial"/>
          <w:lang w:val="fr-FR"/>
        </w:rPr>
        <w:t xml:space="preserve"> et le</w:t>
      </w:r>
      <w:r w:rsidR="00470C67" w:rsidRPr="006B53A5">
        <w:rPr>
          <w:rFonts w:cs="Arial"/>
          <w:lang w:val="fr-FR"/>
        </w:rPr>
        <w:t xml:space="preserve"> ciblage ont été réalisés </w:t>
      </w:r>
      <w:r w:rsidR="00B069B8" w:rsidRPr="006B53A5">
        <w:rPr>
          <w:rFonts w:cs="Arial"/>
          <w:lang w:val="fr-FR"/>
        </w:rPr>
        <w:t>avec précision</w:t>
      </w:r>
      <w:r w:rsidRPr="006B53A5">
        <w:rPr>
          <w:rFonts w:cs="Arial"/>
          <w:lang w:val="fr-FR"/>
        </w:rPr>
        <w:t xml:space="preserve">. </w:t>
      </w:r>
    </w:p>
    <w:p w:rsidR="00757E96" w:rsidRPr="006B53A5" w:rsidRDefault="00757E96" w:rsidP="00757E96">
      <w:pPr>
        <w:pStyle w:val="ListParagraph"/>
        <w:spacing w:before="240"/>
        <w:ind w:left="567"/>
        <w:rPr>
          <w:rFonts w:cs="Arial"/>
          <w:lang w:val="fr-FR"/>
        </w:rPr>
      </w:pPr>
    </w:p>
    <w:p w:rsidR="00174968" w:rsidRPr="006B53A5" w:rsidRDefault="006D20F2" w:rsidP="00585446">
      <w:pPr>
        <w:pStyle w:val="ListParagraph"/>
        <w:spacing w:before="240"/>
        <w:ind w:left="567"/>
        <w:rPr>
          <w:rFonts w:cs="Arial"/>
          <w:lang w:val="fr-FR"/>
        </w:rPr>
      </w:pPr>
      <w:r w:rsidRPr="006B53A5">
        <w:rPr>
          <w:rFonts w:cs="Arial"/>
          <w:lang w:val="fr-FR"/>
        </w:rPr>
        <w:t xml:space="preserve">Par ailleurs, les Sociétés nationales peuvent sensibiliser les communautés </w:t>
      </w:r>
      <w:r w:rsidR="0069777C" w:rsidRPr="006B53A5">
        <w:rPr>
          <w:rFonts w:cs="Arial"/>
          <w:lang w:val="fr-FR"/>
        </w:rPr>
        <w:t xml:space="preserve">à </w:t>
      </w:r>
      <w:r w:rsidR="00585446">
        <w:rPr>
          <w:rFonts w:cs="Arial"/>
          <w:lang w:val="fr-FR"/>
        </w:rPr>
        <w:t>l’utilisation responsable des</w:t>
      </w:r>
      <w:r w:rsidR="0069777C" w:rsidRPr="006B53A5">
        <w:rPr>
          <w:rFonts w:cs="Arial"/>
          <w:lang w:val="fr-FR"/>
        </w:rPr>
        <w:t xml:space="preserve"> subventions en espèces</w:t>
      </w:r>
      <w:r w:rsidR="00B069B8" w:rsidRPr="006B53A5">
        <w:rPr>
          <w:rFonts w:cs="Arial"/>
          <w:lang w:val="fr-FR"/>
        </w:rPr>
        <w:t>, notamment</w:t>
      </w:r>
      <w:r w:rsidR="0069777C" w:rsidRPr="006B53A5">
        <w:rPr>
          <w:rFonts w:cs="Arial"/>
          <w:lang w:val="fr-FR"/>
        </w:rPr>
        <w:t xml:space="preserve"> en m</w:t>
      </w:r>
      <w:r w:rsidR="00D6457C" w:rsidRPr="006B53A5">
        <w:rPr>
          <w:rFonts w:cs="Arial"/>
          <w:lang w:val="fr-FR"/>
        </w:rPr>
        <w:t xml:space="preserve">ettant en place des systèmes </w:t>
      </w:r>
      <w:r w:rsidR="00904DCB" w:rsidRPr="006B53A5">
        <w:rPr>
          <w:rFonts w:cs="Arial"/>
          <w:lang w:val="fr-FR"/>
        </w:rPr>
        <w:t>de</w:t>
      </w:r>
      <w:r w:rsidR="0069777C" w:rsidRPr="006B53A5">
        <w:rPr>
          <w:rFonts w:cs="Arial"/>
          <w:lang w:val="fr-FR"/>
        </w:rPr>
        <w:t xml:space="preserve"> suivi régulier afin de déceler des</w:t>
      </w:r>
      <w:r w:rsidR="00D6457C" w:rsidRPr="006B53A5">
        <w:rPr>
          <w:rFonts w:cs="Arial"/>
          <w:lang w:val="fr-FR"/>
        </w:rPr>
        <w:t xml:space="preserve"> changements dans le contexte ou</w:t>
      </w:r>
      <w:r w:rsidR="0069777C" w:rsidRPr="006B53A5">
        <w:rPr>
          <w:rFonts w:cs="Arial"/>
          <w:lang w:val="fr-FR"/>
        </w:rPr>
        <w:t xml:space="preserve"> l’utilisation </w:t>
      </w:r>
      <w:r w:rsidR="00904DCB" w:rsidRPr="006B53A5">
        <w:rPr>
          <w:rFonts w:cs="Arial"/>
          <w:lang w:val="fr-FR"/>
        </w:rPr>
        <w:t>éventuelle</w:t>
      </w:r>
      <w:r w:rsidR="0069777C" w:rsidRPr="006B53A5">
        <w:rPr>
          <w:rFonts w:cs="Arial"/>
          <w:lang w:val="fr-FR"/>
        </w:rPr>
        <w:t xml:space="preserve"> des espèces pour des achats imprévus. Un système </w:t>
      </w:r>
      <w:r w:rsidR="00D6457C" w:rsidRPr="006B53A5">
        <w:rPr>
          <w:rFonts w:cs="Arial"/>
          <w:lang w:val="fr-FR"/>
        </w:rPr>
        <w:t>efficace</w:t>
      </w:r>
      <w:r w:rsidR="0069777C" w:rsidRPr="006B53A5">
        <w:rPr>
          <w:rFonts w:cs="Arial"/>
          <w:lang w:val="fr-FR"/>
        </w:rPr>
        <w:t xml:space="preserve"> de communication avec les bénéficiaires et les commerçants lo</w:t>
      </w:r>
      <w:r w:rsidR="00D6457C" w:rsidRPr="006B53A5">
        <w:rPr>
          <w:rFonts w:cs="Arial"/>
          <w:lang w:val="fr-FR"/>
        </w:rPr>
        <w:t>caux permettra au Mouvement de réduire au maximum</w:t>
      </w:r>
      <w:r w:rsidR="0069777C" w:rsidRPr="006B53A5">
        <w:rPr>
          <w:rFonts w:cs="Arial"/>
          <w:lang w:val="fr-FR"/>
        </w:rPr>
        <w:t xml:space="preserve"> le</w:t>
      </w:r>
      <w:r w:rsidR="00D6457C" w:rsidRPr="006B53A5">
        <w:rPr>
          <w:rFonts w:cs="Arial"/>
          <w:lang w:val="fr-FR"/>
        </w:rPr>
        <w:t>s cas de</w:t>
      </w:r>
      <w:r w:rsidR="0069777C" w:rsidRPr="006B53A5">
        <w:rPr>
          <w:rFonts w:cs="Arial"/>
          <w:lang w:val="fr-FR"/>
        </w:rPr>
        <w:t xml:space="preserve"> mauvais usage des espèces </w:t>
      </w:r>
      <w:r w:rsidR="00D6457C" w:rsidRPr="006B53A5">
        <w:rPr>
          <w:rFonts w:cs="Arial"/>
          <w:lang w:val="fr-FR"/>
        </w:rPr>
        <w:t>distribuées</w:t>
      </w:r>
      <w:r w:rsidR="0069777C" w:rsidRPr="006B53A5">
        <w:rPr>
          <w:rFonts w:cs="Arial"/>
          <w:lang w:val="fr-FR"/>
        </w:rPr>
        <w:t xml:space="preserve">. Les aides en nature sont sujettes aux mêmes risques, car les bénéficiaires peuvent vendre les biens sur le marché </w:t>
      </w:r>
      <w:r w:rsidR="00904DCB" w:rsidRPr="006B53A5">
        <w:rPr>
          <w:rFonts w:cs="Arial"/>
          <w:lang w:val="fr-FR"/>
        </w:rPr>
        <w:t xml:space="preserve">pour </w:t>
      </w:r>
      <w:r w:rsidR="0069777C" w:rsidRPr="006B53A5">
        <w:rPr>
          <w:rFonts w:cs="Arial"/>
          <w:lang w:val="fr-FR"/>
        </w:rPr>
        <w:t>acheter d’autres articles</w:t>
      </w:r>
      <w:r w:rsidR="00752281" w:rsidRPr="006B53A5">
        <w:rPr>
          <w:rFonts w:cs="Arial"/>
          <w:lang w:val="fr-FR"/>
        </w:rPr>
        <w:t>.</w:t>
      </w:r>
      <w:r w:rsidR="00F8210B" w:rsidRPr="006B53A5">
        <w:rPr>
          <w:rFonts w:cs="Arial"/>
          <w:lang w:val="fr-FR"/>
        </w:rPr>
        <w:t xml:space="preserve"> </w:t>
      </w:r>
    </w:p>
    <w:p w:rsidR="00174968" w:rsidRPr="006B53A5" w:rsidRDefault="00174968" w:rsidP="00C5007B">
      <w:pPr>
        <w:pStyle w:val="ListParagraph"/>
        <w:spacing w:before="240"/>
        <w:ind w:left="567" w:hanging="207"/>
        <w:rPr>
          <w:rFonts w:cs="Arial"/>
          <w:lang w:val="fr-FR"/>
        </w:rPr>
      </w:pPr>
    </w:p>
    <w:p w:rsidR="00752281" w:rsidRPr="006B53A5" w:rsidRDefault="00752281" w:rsidP="00904DCB">
      <w:pPr>
        <w:pStyle w:val="ListParagraph"/>
        <w:numPr>
          <w:ilvl w:val="0"/>
          <w:numId w:val="4"/>
        </w:numPr>
        <w:autoSpaceDE w:val="0"/>
        <w:autoSpaceDN w:val="0"/>
        <w:adjustRightInd w:val="0"/>
        <w:spacing w:after="120"/>
        <w:ind w:left="567" w:hanging="210"/>
        <w:rPr>
          <w:rFonts w:cs="Arial"/>
          <w:b/>
          <w:bCs/>
          <w:i/>
          <w:lang w:val="fr-FR"/>
        </w:rPr>
      </w:pPr>
      <w:r w:rsidRPr="006B53A5">
        <w:rPr>
          <w:rFonts w:cs="Arial"/>
          <w:b/>
          <w:bCs/>
          <w:i/>
          <w:lang w:val="fr-FR"/>
        </w:rPr>
        <w:t xml:space="preserve">La distribution d’espèces peut avoir des conséquences négatives </w:t>
      </w:r>
      <w:r w:rsidR="00904DCB" w:rsidRPr="006B53A5">
        <w:rPr>
          <w:rFonts w:cs="Arial"/>
          <w:b/>
          <w:bCs/>
          <w:i/>
          <w:lang w:val="fr-FR"/>
        </w:rPr>
        <w:t>pour les</w:t>
      </w:r>
      <w:r w:rsidRPr="006B53A5">
        <w:rPr>
          <w:rFonts w:cs="Arial"/>
          <w:b/>
          <w:bCs/>
          <w:i/>
          <w:lang w:val="fr-FR"/>
        </w:rPr>
        <w:t xml:space="preserve"> ménages, telles qu’une augmentation de la violence familiale.</w:t>
      </w:r>
    </w:p>
    <w:p w:rsidR="00AB0B08" w:rsidRPr="006B53A5" w:rsidRDefault="00AB0B08" w:rsidP="00752281">
      <w:pPr>
        <w:autoSpaceDE w:val="0"/>
        <w:autoSpaceDN w:val="0"/>
        <w:adjustRightInd w:val="0"/>
        <w:ind w:left="357"/>
        <w:rPr>
          <w:b/>
          <w:bCs/>
          <w:i/>
          <w:lang w:val="fr-FR"/>
        </w:rPr>
      </w:pPr>
    </w:p>
    <w:p w:rsidR="00752281" w:rsidRPr="006B53A5" w:rsidRDefault="00752281" w:rsidP="00904DCB">
      <w:pPr>
        <w:pStyle w:val="ListParagraph"/>
        <w:ind w:left="567"/>
        <w:rPr>
          <w:rFonts w:cs="Arial"/>
          <w:lang w:val="fr-FR"/>
        </w:rPr>
      </w:pPr>
      <w:r w:rsidRPr="006B53A5">
        <w:rPr>
          <w:rFonts w:cs="Arial"/>
          <w:lang w:val="fr-FR"/>
        </w:rPr>
        <w:t xml:space="preserve">Les </w:t>
      </w:r>
      <w:r w:rsidR="00904DCB" w:rsidRPr="006B53A5">
        <w:rPr>
          <w:rFonts w:cs="Arial"/>
          <w:lang w:val="fr-FR"/>
        </w:rPr>
        <w:t>résultats</w:t>
      </w:r>
      <w:r w:rsidRPr="006B53A5">
        <w:rPr>
          <w:rFonts w:cs="Arial"/>
          <w:lang w:val="fr-FR"/>
        </w:rPr>
        <w:t xml:space="preserve"> des recherches montrent que </w:t>
      </w:r>
      <w:r w:rsidR="00904DCB" w:rsidRPr="006B53A5">
        <w:rPr>
          <w:rFonts w:cs="Arial"/>
          <w:lang w:val="fr-FR"/>
        </w:rPr>
        <w:t>l’argent</w:t>
      </w:r>
      <w:r w:rsidR="001A2C99" w:rsidRPr="006B53A5">
        <w:rPr>
          <w:rFonts w:cs="Arial"/>
          <w:lang w:val="fr-FR"/>
        </w:rPr>
        <w:t xml:space="preserve"> est en réalité davantage susceptible de</w:t>
      </w:r>
      <w:r w:rsidR="00D6457C" w:rsidRPr="006B53A5">
        <w:rPr>
          <w:rFonts w:cs="Arial"/>
          <w:lang w:val="fr-FR"/>
        </w:rPr>
        <w:t xml:space="preserve"> réduire les tensions </w:t>
      </w:r>
      <w:r w:rsidR="00904DCB" w:rsidRPr="006B53A5">
        <w:rPr>
          <w:rFonts w:cs="Arial"/>
          <w:lang w:val="fr-FR"/>
        </w:rPr>
        <w:t xml:space="preserve">au sein des ménages, </w:t>
      </w:r>
      <w:r w:rsidR="00D6457C" w:rsidRPr="006B53A5">
        <w:rPr>
          <w:rFonts w:cs="Arial"/>
          <w:lang w:val="fr-FR"/>
        </w:rPr>
        <w:t xml:space="preserve">car </w:t>
      </w:r>
      <w:r w:rsidR="00904DCB" w:rsidRPr="006B53A5">
        <w:rPr>
          <w:rFonts w:cs="Arial"/>
          <w:lang w:val="fr-FR"/>
        </w:rPr>
        <w:t>il leur</w:t>
      </w:r>
      <w:r w:rsidR="00D6457C" w:rsidRPr="006B53A5">
        <w:rPr>
          <w:rFonts w:cs="Arial"/>
          <w:lang w:val="fr-FR"/>
        </w:rPr>
        <w:t xml:space="preserve"> </w:t>
      </w:r>
      <w:r w:rsidR="001A2C99" w:rsidRPr="006B53A5">
        <w:rPr>
          <w:rFonts w:cs="Arial"/>
          <w:lang w:val="fr-FR"/>
        </w:rPr>
        <w:t xml:space="preserve">permet de satisfaire leurs besoins. Cet aspect doit être pris en compte </w:t>
      </w:r>
      <w:r w:rsidR="00904DCB" w:rsidRPr="006B53A5">
        <w:rPr>
          <w:rFonts w:cs="Arial"/>
          <w:lang w:val="fr-FR"/>
        </w:rPr>
        <w:t>durant la phase d’appréciation initiale afin d’analyser</w:t>
      </w:r>
      <w:r w:rsidR="001A2C99" w:rsidRPr="006B53A5">
        <w:rPr>
          <w:rFonts w:cs="Arial"/>
          <w:lang w:val="fr-FR"/>
        </w:rPr>
        <w:t xml:space="preserve"> la façon dont les ménage</w:t>
      </w:r>
      <w:r w:rsidR="00904DCB" w:rsidRPr="006B53A5">
        <w:rPr>
          <w:rFonts w:cs="Arial"/>
          <w:lang w:val="fr-FR"/>
        </w:rPr>
        <w:t>s</w:t>
      </w:r>
      <w:r w:rsidR="001A2C99" w:rsidRPr="006B53A5">
        <w:rPr>
          <w:rFonts w:cs="Arial"/>
          <w:lang w:val="fr-FR"/>
        </w:rPr>
        <w:t xml:space="preserve"> gèrent habituellement les dépenses en espèces </w:t>
      </w:r>
      <w:r w:rsidR="00904DCB" w:rsidRPr="006B53A5">
        <w:rPr>
          <w:rFonts w:cs="Arial"/>
          <w:lang w:val="fr-FR"/>
        </w:rPr>
        <w:t xml:space="preserve">(par </w:t>
      </w:r>
      <w:r w:rsidR="00D6457C" w:rsidRPr="006B53A5">
        <w:rPr>
          <w:rFonts w:cs="Arial"/>
          <w:lang w:val="fr-FR"/>
        </w:rPr>
        <w:t>ex. qui achète</w:t>
      </w:r>
      <w:r w:rsidR="001A2C99" w:rsidRPr="006B53A5">
        <w:rPr>
          <w:rFonts w:cs="Arial"/>
          <w:lang w:val="fr-FR"/>
        </w:rPr>
        <w:t xml:space="preserve"> habituellement les</w:t>
      </w:r>
      <w:r w:rsidR="0082493F" w:rsidRPr="006B53A5">
        <w:rPr>
          <w:rFonts w:cs="Arial"/>
          <w:lang w:val="fr-FR"/>
        </w:rPr>
        <w:t xml:space="preserve"> articles alimentaires ou qui gère </w:t>
      </w:r>
      <w:r w:rsidR="001A2C99" w:rsidRPr="006B53A5">
        <w:rPr>
          <w:rFonts w:cs="Arial"/>
          <w:lang w:val="fr-FR"/>
        </w:rPr>
        <w:t xml:space="preserve">habituellement </w:t>
      </w:r>
      <w:r w:rsidR="0082493F" w:rsidRPr="006B53A5">
        <w:rPr>
          <w:rFonts w:cs="Arial"/>
          <w:lang w:val="fr-FR"/>
        </w:rPr>
        <w:t>le</w:t>
      </w:r>
      <w:r w:rsidR="001A2C99" w:rsidRPr="006B53A5">
        <w:rPr>
          <w:rFonts w:cs="Arial"/>
          <w:lang w:val="fr-FR"/>
        </w:rPr>
        <w:t>s coûts liés aux soins de santé)</w:t>
      </w:r>
      <w:r w:rsidR="0082493F" w:rsidRPr="006B53A5">
        <w:rPr>
          <w:rFonts w:cs="Arial"/>
          <w:lang w:val="fr-FR"/>
        </w:rPr>
        <w:t xml:space="preserve">. En outre, les équipes de la Croix-Rouge et du Croissant-Rouge doivent s’entretenir avec les communautés afin de déterminer dans quelle mesure </w:t>
      </w:r>
      <w:r w:rsidR="00D6457C" w:rsidRPr="006B53A5">
        <w:rPr>
          <w:rFonts w:cs="Arial"/>
          <w:lang w:val="fr-FR"/>
        </w:rPr>
        <w:t>cet aspect peut devenir</w:t>
      </w:r>
      <w:r w:rsidR="0082493F" w:rsidRPr="006B53A5">
        <w:rPr>
          <w:rFonts w:cs="Arial"/>
          <w:lang w:val="fr-FR"/>
        </w:rPr>
        <w:t xml:space="preserve"> </w:t>
      </w:r>
      <w:r w:rsidR="00D6457C" w:rsidRPr="006B53A5">
        <w:rPr>
          <w:rFonts w:cs="Arial"/>
          <w:lang w:val="fr-FR"/>
        </w:rPr>
        <w:t>problématique</w:t>
      </w:r>
      <w:r w:rsidR="0082493F" w:rsidRPr="006B53A5">
        <w:rPr>
          <w:rFonts w:cs="Arial"/>
          <w:lang w:val="fr-FR"/>
        </w:rPr>
        <w:t xml:space="preserve"> et comment les risques pour les bénéficiaires cibles peuvent être réduits.</w:t>
      </w:r>
    </w:p>
    <w:p w:rsidR="00F8210B" w:rsidRPr="006B53A5" w:rsidRDefault="00F8210B" w:rsidP="00A20F49">
      <w:pPr>
        <w:pStyle w:val="ListParagraph"/>
        <w:spacing w:before="240"/>
        <w:ind w:left="567"/>
        <w:rPr>
          <w:rFonts w:cs="Arial"/>
          <w:lang w:val="fr-FR"/>
        </w:rPr>
      </w:pPr>
    </w:p>
    <w:p w:rsidR="0082493F" w:rsidRPr="006B53A5" w:rsidRDefault="006E3786" w:rsidP="009C5FD1">
      <w:pPr>
        <w:pStyle w:val="ListParagraph"/>
        <w:numPr>
          <w:ilvl w:val="0"/>
          <w:numId w:val="3"/>
        </w:numPr>
        <w:tabs>
          <w:tab w:val="left" w:pos="567"/>
        </w:tabs>
        <w:autoSpaceDE w:val="0"/>
        <w:autoSpaceDN w:val="0"/>
        <w:adjustRightInd w:val="0"/>
        <w:spacing w:after="0"/>
        <w:ind w:left="567" w:hanging="207"/>
        <w:rPr>
          <w:rFonts w:cs="Arial"/>
          <w:b/>
          <w:i/>
          <w:lang w:val="fr-FR"/>
        </w:rPr>
      </w:pPr>
      <w:r w:rsidRPr="006B53A5">
        <w:rPr>
          <w:rFonts w:cs="Arial"/>
          <w:b/>
          <w:i/>
          <w:lang w:val="fr-FR"/>
        </w:rPr>
        <w:t xml:space="preserve">Existe-t-il des risques </w:t>
      </w:r>
      <w:r w:rsidR="00904DCB" w:rsidRPr="006B53A5">
        <w:rPr>
          <w:rFonts w:cs="Arial"/>
          <w:b/>
          <w:i/>
          <w:lang w:val="fr-FR"/>
        </w:rPr>
        <w:t xml:space="preserve">en matière de sécurité </w:t>
      </w:r>
      <w:r w:rsidRPr="006B53A5">
        <w:rPr>
          <w:rFonts w:cs="Arial"/>
          <w:b/>
          <w:i/>
          <w:lang w:val="fr-FR"/>
        </w:rPr>
        <w:t>liés au transport de sommes d’argent en liquide, pour l’organisme d’exécution chargé de distribuer les fonds aux bénéficiaires et pour les bénéficiaires qui ramènent l’argent</w:t>
      </w:r>
      <w:r w:rsidR="00DA1E67" w:rsidRPr="006B53A5">
        <w:rPr>
          <w:rFonts w:cs="Arial"/>
          <w:b/>
          <w:i/>
          <w:lang w:val="fr-FR"/>
        </w:rPr>
        <w:t xml:space="preserve"> </w:t>
      </w:r>
      <w:r w:rsidRPr="006B53A5">
        <w:rPr>
          <w:rFonts w:cs="Arial"/>
          <w:b/>
          <w:i/>
          <w:lang w:val="fr-FR"/>
        </w:rPr>
        <w:t>chez eux ou vont s’approvisionner sur les marchés ?</w:t>
      </w:r>
    </w:p>
    <w:p w:rsidR="00AB0B08" w:rsidRPr="006B53A5" w:rsidRDefault="00AB0B08" w:rsidP="00C5007B">
      <w:pPr>
        <w:tabs>
          <w:tab w:val="left" w:pos="567"/>
        </w:tabs>
        <w:autoSpaceDE w:val="0"/>
        <w:autoSpaceDN w:val="0"/>
        <w:adjustRightInd w:val="0"/>
        <w:spacing w:after="0"/>
        <w:ind w:left="567"/>
        <w:rPr>
          <w:lang w:val="fr-FR"/>
        </w:rPr>
      </w:pPr>
    </w:p>
    <w:p w:rsidR="006E3786" w:rsidRPr="006B53A5" w:rsidRDefault="006E3786" w:rsidP="00E406C3">
      <w:pPr>
        <w:tabs>
          <w:tab w:val="left" w:pos="567"/>
        </w:tabs>
        <w:autoSpaceDE w:val="0"/>
        <w:autoSpaceDN w:val="0"/>
        <w:adjustRightInd w:val="0"/>
        <w:spacing w:after="0"/>
        <w:ind w:left="567"/>
        <w:rPr>
          <w:lang w:val="fr-FR"/>
        </w:rPr>
      </w:pPr>
      <w:r w:rsidRPr="006B53A5">
        <w:rPr>
          <w:lang w:val="fr-FR"/>
        </w:rPr>
        <w:t>Les</w:t>
      </w:r>
      <w:r w:rsidR="00904DCB" w:rsidRPr="006B53A5">
        <w:rPr>
          <w:lang w:val="fr-FR"/>
        </w:rPr>
        <w:t xml:space="preserve"> transferts monétaires peuvent se faire </w:t>
      </w:r>
      <w:r w:rsidR="007D202F" w:rsidRPr="006B53A5">
        <w:rPr>
          <w:lang w:val="fr-FR"/>
        </w:rPr>
        <w:t>par l’intermédiaire de</w:t>
      </w:r>
      <w:r w:rsidR="00904DCB" w:rsidRPr="006B53A5">
        <w:rPr>
          <w:lang w:val="fr-FR"/>
        </w:rPr>
        <w:t xml:space="preserve"> différents organismes tiers</w:t>
      </w:r>
      <w:r w:rsidR="007D202F" w:rsidRPr="006B53A5">
        <w:rPr>
          <w:lang w:val="fr-FR"/>
        </w:rPr>
        <w:t xml:space="preserve">, </w:t>
      </w:r>
      <w:r w:rsidR="00904DCB" w:rsidRPr="006B53A5">
        <w:rPr>
          <w:lang w:val="fr-FR"/>
        </w:rPr>
        <w:t>tels que</w:t>
      </w:r>
      <w:r w:rsidR="007D202F" w:rsidRPr="006B53A5">
        <w:rPr>
          <w:lang w:val="fr-FR"/>
        </w:rPr>
        <w:t xml:space="preserve"> les banques, les bureaux de poste, les org</w:t>
      </w:r>
      <w:r w:rsidR="002F6E6B" w:rsidRPr="006B53A5">
        <w:rPr>
          <w:lang w:val="fr-FR"/>
        </w:rPr>
        <w:t>anismes de transfert de fonds, l</w:t>
      </w:r>
      <w:r w:rsidR="007D202F" w:rsidRPr="006B53A5">
        <w:rPr>
          <w:lang w:val="fr-FR"/>
        </w:rPr>
        <w:t>es</w:t>
      </w:r>
      <w:r w:rsidR="00904DCB" w:rsidRPr="006B53A5">
        <w:rPr>
          <w:lang w:val="fr-FR"/>
        </w:rPr>
        <w:t xml:space="preserve"> fournisseurs de</w:t>
      </w:r>
      <w:r w:rsidR="007D202F" w:rsidRPr="006B53A5">
        <w:rPr>
          <w:lang w:val="fr-FR"/>
        </w:rPr>
        <w:t xml:space="preserve"> cartes prépayées et les opérat</w:t>
      </w:r>
      <w:r w:rsidR="00183DF8" w:rsidRPr="006B53A5">
        <w:rPr>
          <w:lang w:val="fr-FR"/>
        </w:rPr>
        <w:t xml:space="preserve">eurs de téléphonie mobile. Ces </w:t>
      </w:r>
      <w:r w:rsidR="00904DCB" w:rsidRPr="006B53A5">
        <w:rPr>
          <w:lang w:val="fr-FR"/>
        </w:rPr>
        <w:t>intermédiaires</w:t>
      </w:r>
      <w:r w:rsidR="00183DF8" w:rsidRPr="006B53A5">
        <w:rPr>
          <w:lang w:val="fr-FR"/>
        </w:rPr>
        <w:t xml:space="preserve"> permettent de réduire le montant des espèces que les équipes de la Croix-Rouge et du Croissant-Rouge doivent </w:t>
      </w:r>
      <w:r w:rsidR="00904DCB" w:rsidRPr="006B53A5">
        <w:rPr>
          <w:lang w:val="fr-FR"/>
        </w:rPr>
        <w:t>transporter</w:t>
      </w:r>
      <w:r w:rsidR="002F6E6B" w:rsidRPr="006B53A5">
        <w:rPr>
          <w:lang w:val="fr-FR"/>
        </w:rPr>
        <w:t>. Lorsque les espèces sont versées directement par le</w:t>
      </w:r>
      <w:r w:rsidR="00183DF8" w:rsidRPr="006B53A5">
        <w:rPr>
          <w:lang w:val="fr-FR"/>
        </w:rPr>
        <w:t xml:space="preserve"> Mouvement/la Société nationale, des mesures de réduction des risques peuvent être </w:t>
      </w:r>
      <w:r w:rsidR="00E406C3" w:rsidRPr="006B53A5">
        <w:rPr>
          <w:lang w:val="fr-FR"/>
        </w:rPr>
        <w:t>prises pour que les informations concernant le moment où les</w:t>
      </w:r>
      <w:r w:rsidR="00183DF8" w:rsidRPr="006B53A5">
        <w:rPr>
          <w:lang w:val="fr-FR"/>
        </w:rPr>
        <w:t xml:space="preserve"> </w:t>
      </w:r>
      <w:r w:rsidR="00E406C3" w:rsidRPr="006B53A5">
        <w:rPr>
          <w:lang w:val="fr-FR"/>
        </w:rPr>
        <w:t xml:space="preserve">espèces </w:t>
      </w:r>
      <w:r w:rsidR="00585446">
        <w:rPr>
          <w:lang w:val="fr-FR"/>
        </w:rPr>
        <w:t xml:space="preserve">sont transportées </w:t>
      </w:r>
      <w:r w:rsidR="00E406C3" w:rsidRPr="006B53A5">
        <w:rPr>
          <w:lang w:val="fr-FR"/>
        </w:rPr>
        <w:t>ne soient pas divulguées</w:t>
      </w:r>
      <w:r w:rsidR="00183DF8" w:rsidRPr="006B53A5">
        <w:rPr>
          <w:lang w:val="fr-FR"/>
        </w:rPr>
        <w:t xml:space="preserve">. </w:t>
      </w:r>
    </w:p>
    <w:p w:rsidR="00AB0B08" w:rsidRPr="006B53A5" w:rsidRDefault="00AB0B08" w:rsidP="00C5007B">
      <w:pPr>
        <w:tabs>
          <w:tab w:val="left" w:pos="567"/>
        </w:tabs>
        <w:autoSpaceDE w:val="0"/>
        <w:autoSpaceDN w:val="0"/>
        <w:adjustRightInd w:val="0"/>
        <w:spacing w:after="0"/>
        <w:ind w:left="567"/>
        <w:rPr>
          <w:lang w:val="fr-FR"/>
        </w:rPr>
      </w:pPr>
      <w:bookmarkStart w:id="0" w:name="_GoBack"/>
      <w:bookmarkEnd w:id="0"/>
    </w:p>
    <w:p w:rsidR="00922189" w:rsidRPr="006B53A5" w:rsidRDefault="00922189" w:rsidP="00E406C3">
      <w:pPr>
        <w:tabs>
          <w:tab w:val="left" w:pos="567"/>
        </w:tabs>
        <w:autoSpaceDE w:val="0"/>
        <w:autoSpaceDN w:val="0"/>
        <w:adjustRightInd w:val="0"/>
        <w:spacing w:after="0"/>
        <w:ind w:left="567"/>
        <w:rPr>
          <w:lang w:val="fr-FR"/>
        </w:rPr>
      </w:pPr>
      <w:r w:rsidRPr="006B53A5">
        <w:rPr>
          <w:lang w:val="fr-FR"/>
        </w:rPr>
        <w:t xml:space="preserve">Les risques pour la sécurité des bénéficiaires sont également moindres lorsque les transferts sont </w:t>
      </w:r>
      <w:r w:rsidR="002F6E6B" w:rsidRPr="006B53A5">
        <w:rPr>
          <w:lang w:val="fr-FR"/>
        </w:rPr>
        <w:t>effectués</w:t>
      </w:r>
      <w:r w:rsidRPr="006B53A5">
        <w:rPr>
          <w:lang w:val="fr-FR"/>
        </w:rPr>
        <w:t xml:space="preserve"> par l’intermédiaire </w:t>
      </w:r>
      <w:r w:rsidR="00E406C3" w:rsidRPr="006B53A5">
        <w:rPr>
          <w:lang w:val="fr-FR"/>
        </w:rPr>
        <w:t>d’organismes tiers</w:t>
      </w:r>
      <w:r w:rsidRPr="006B53A5">
        <w:rPr>
          <w:lang w:val="fr-FR"/>
        </w:rPr>
        <w:t xml:space="preserve">, car les bénéficiaires </w:t>
      </w:r>
      <w:r w:rsidR="00E406C3" w:rsidRPr="006B53A5">
        <w:rPr>
          <w:lang w:val="fr-FR"/>
        </w:rPr>
        <w:t>peuvent choisir</w:t>
      </w:r>
      <w:r w:rsidRPr="006B53A5">
        <w:rPr>
          <w:lang w:val="fr-FR"/>
        </w:rPr>
        <w:t xml:space="preserve"> quand ils se rendront à la banque ou à un bureau de poste pour </w:t>
      </w:r>
      <w:r w:rsidR="00E406C3" w:rsidRPr="006B53A5">
        <w:rPr>
          <w:lang w:val="fr-FR"/>
        </w:rPr>
        <w:t>retirer</w:t>
      </w:r>
      <w:r w:rsidRPr="006B53A5">
        <w:rPr>
          <w:lang w:val="fr-FR"/>
        </w:rPr>
        <w:t xml:space="preserve"> leur argent plutôt que d’être vu</w:t>
      </w:r>
      <w:r w:rsidR="002725F5" w:rsidRPr="006B53A5">
        <w:rPr>
          <w:lang w:val="fr-FR"/>
        </w:rPr>
        <w:t>s</w:t>
      </w:r>
      <w:r w:rsidRPr="006B53A5">
        <w:rPr>
          <w:lang w:val="fr-FR"/>
        </w:rPr>
        <w:t xml:space="preserve"> dans une file </w:t>
      </w:r>
      <w:r w:rsidR="00E406C3" w:rsidRPr="006B53A5">
        <w:rPr>
          <w:lang w:val="fr-FR"/>
        </w:rPr>
        <w:t>à attendre une distribution</w:t>
      </w:r>
      <w:r w:rsidRPr="006B53A5">
        <w:rPr>
          <w:lang w:val="fr-FR"/>
        </w:rPr>
        <w:t>. Lorsque les</w:t>
      </w:r>
      <w:r w:rsidR="00E85D71" w:rsidRPr="006B53A5">
        <w:rPr>
          <w:lang w:val="fr-FR"/>
        </w:rPr>
        <w:t xml:space="preserve"> espèces sont versées directement par le Mouvement, les équipes de la Croix-Rouge et du Croissant-Rouge peuvent opter pour des </w:t>
      </w:r>
      <w:r w:rsidR="00E406C3" w:rsidRPr="006B53A5">
        <w:rPr>
          <w:lang w:val="fr-FR"/>
        </w:rPr>
        <w:t>versements</w:t>
      </w:r>
      <w:r w:rsidR="00E85D71" w:rsidRPr="006B53A5">
        <w:rPr>
          <w:lang w:val="fr-FR"/>
        </w:rPr>
        <w:t xml:space="preserve"> plus réguliers et plus petits ou pour la mise en place de systèmes de soutien au niveau de la communauté pour les </w:t>
      </w:r>
      <w:r w:rsidR="00E406C3" w:rsidRPr="006B53A5">
        <w:rPr>
          <w:lang w:val="fr-FR"/>
        </w:rPr>
        <w:t>personnes</w:t>
      </w:r>
      <w:r w:rsidR="00E85D71" w:rsidRPr="006B53A5">
        <w:rPr>
          <w:lang w:val="fr-FR"/>
        </w:rPr>
        <w:t xml:space="preserve"> plus vulnérables. Un suivi </w:t>
      </w:r>
      <w:r w:rsidR="00E406C3" w:rsidRPr="006B53A5">
        <w:rPr>
          <w:lang w:val="fr-FR"/>
        </w:rPr>
        <w:t>renforcé des activités</w:t>
      </w:r>
      <w:r w:rsidR="00E85D71" w:rsidRPr="006B53A5">
        <w:rPr>
          <w:lang w:val="fr-FR"/>
        </w:rPr>
        <w:t xml:space="preserve"> et une communication efficace avec la communauté </w:t>
      </w:r>
      <w:r w:rsidR="00E406C3" w:rsidRPr="006B53A5">
        <w:rPr>
          <w:lang w:val="fr-FR"/>
        </w:rPr>
        <w:t>sur le but des</w:t>
      </w:r>
      <w:r w:rsidR="00E85D71" w:rsidRPr="006B53A5">
        <w:rPr>
          <w:lang w:val="fr-FR"/>
        </w:rPr>
        <w:t xml:space="preserve"> subventions en espèces permettront également de réduire les risques. </w:t>
      </w:r>
    </w:p>
    <w:p w:rsidR="00E85D71" w:rsidRPr="006B53A5" w:rsidRDefault="00E85D71" w:rsidP="0013517C">
      <w:pPr>
        <w:pStyle w:val="ListParagraph"/>
        <w:numPr>
          <w:ilvl w:val="0"/>
          <w:numId w:val="1"/>
        </w:numPr>
        <w:spacing w:before="240"/>
        <w:ind w:left="284" w:hanging="284"/>
        <w:rPr>
          <w:rFonts w:cs="Arial"/>
          <w:b/>
          <w:lang w:val="fr-FR"/>
        </w:rPr>
      </w:pPr>
      <w:r w:rsidRPr="006B53A5">
        <w:rPr>
          <w:rFonts w:cs="Arial"/>
          <w:b/>
          <w:lang w:val="fr-FR"/>
        </w:rPr>
        <w:t xml:space="preserve">Qui participe aux opérations de transferts monétaires ? </w:t>
      </w:r>
    </w:p>
    <w:p w:rsidR="00E85D71" w:rsidRPr="006B53A5" w:rsidRDefault="00E85D71" w:rsidP="00381D59">
      <w:pPr>
        <w:ind w:left="284"/>
        <w:rPr>
          <w:lang w:val="fr-FR"/>
        </w:rPr>
      </w:pPr>
      <w:r w:rsidRPr="006B53A5">
        <w:rPr>
          <w:lang w:val="fr-FR"/>
        </w:rPr>
        <w:t xml:space="preserve">Les </w:t>
      </w:r>
      <w:r w:rsidR="00381D59" w:rsidRPr="006B53A5">
        <w:rPr>
          <w:lang w:val="fr-FR"/>
        </w:rPr>
        <w:t>PTM</w:t>
      </w:r>
      <w:r w:rsidRPr="006B53A5">
        <w:rPr>
          <w:lang w:val="fr-FR"/>
        </w:rPr>
        <w:t xml:space="preserve"> requièrent une collaboration et une coordination intersectorielles afin de garantir </w:t>
      </w:r>
      <w:r w:rsidR="00381D59" w:rsidRPr="006B53A5">
        <w:rPr>
          <w:lang w:val="fr-FR"/>
        </w:rPr>
        <w:t>une</w:t>
      </w:r>
      <w:r w:rsidRPr="006B53A5">
        <w:rPr>
          <w:lang w:val="fr-FR"/>
        </w:rPr>
        <w:t xml:space="preserve"> mise en œuvre</w:t>
      </w:r>
      <w:r w:rsidR="00381D59" w:rsidRPr="006B53A5">
        <w:rPr>
          <w:lang w:val="fr-FR"/>
        </w:rPr>
        <w:t xml:space="preserve"> efficace</w:t>
      </w:r>
      <w:r w:rsidRPr="006B53A5">
        <w:rPr>
          <w:lang w:val="fr-FR"/>
        </w:rPr>
        <w:t xml:space="preserve"> et le respect des </w:t>
      </w:r>
      <w:r w:rsidR="00381D59" w:rsidRPr="006B53A5">
        <w:rPr>
          <w:lang w:val="fr-FR"/>
        </w:rPr>
        <w:t>exigences des</w:t>
      </w:r>
      <w:r w:rsidRPr="006B53A5">
        <w:rPr>
          <w:lang w:val="fr-FR"/>
        </w:rPr>
        <w:t xml:space="preserve"> donateurs. Une réunion</w:t>
      </w:r>
      <w:r w:rsidR="00816E51" w:rsidRPr="006B53A5">
        <w:rPr>
          <w:lang w:val="fr-FR"/>
        </w:rPr>
        <w:t xml:space="preserve"> initiale de planification rassemblant les </w:t>
      </w:r>
      <w:r w:rsidR="00381D59" w:rsidRPr="006B53A5">
        <w:rPr>
          <w:lang w:val="fr-FR"/>
        </w:rPr>
        <w:t>représentants</w:t>
      </w:r>
      <w:r w:rsidR="00816E51" w:rsidRPr="006B53A5">
        <w:rPr>
          <w:lang w:val="fr-FR"/>
        </w:rPr>
        <w:t xml:space="preserve"> des services liés aux programmes et des départements de la logistique, des finances et de la sécurité doit être organisée au début de l’intervention </w:t>
      </w:r>
      <w:r w:rsidR="00381D59" w:rsidRPr="006B53A5">
        <w:rPr>
          <w:lang w:val="fr-FR"/>
        </w:rPr>
        <w:t>pour</w:t>
      </w:r>
      <w:r w:rsidR="00816E51" w:rsidRPr="006B53A5">
        <w:rPr>
          <w:lang w:val="fr-FR"/>
        </w:rPr>
        <w:t xml:space="preserve"> définir de manière claire les rôles et les responsabilités de chaque département dans la mise en œuvre des </w:t>
      </w:r>
      <w:r w:rsidR="00381D59" w:rsidRPr="006B53A5">
        <w:rPr>
          <w:lang w:val="fr-FR"/>
        </w:rPr>
        <w:t>PTM</w:t>
      </w:r>
      <w:r w:rsidR="00816E51" w:rsidRPr="006B53A5">
        <w:rPr>
          <w:lang w:val="fr-FR"/>
        </w:rPr>
        <w:t xml:space="preserve">. </w:t>
      </w:r>
    </w:p>
    <w:p w:rsidR="00816E51" w:rsidRPr="006B53A5" w:rsidRDefault="00816E51" w:rsidP="00381D59">
      <w:pPr>
        <w:ind w:left="284"/>
        <w:rPr>
          <w:lang w:val="fr-FR"/>
        </w:rPr>
      </w:pPr>
      <w:r w:rsidRPr="006B53A5">
        <w:rPr>
          <w:lang w:val="fr-FR"/>
        </w:rPr>
        <w:t xml:space="preserve">Le Secrétariat de la Fédération internationale, le CICR et certaines Sociétés nationales ont déjà mis au point des procédures opérationnelles normalisées relatives aux </w:t>
      </w:r>
      <w:r w:rsidR="00381D59" w:rsidRPr="006B53A5">
        <w:rPr>
          <w:lang w:val="fr-FR"/>
        </w:rPr>
        <w:t>PTM, qui présentent clairement</w:t>
      </w:r>
      <w:r w:rsidRPr="006B53A5">
        <w:rPr>
          <w:lang w:val="fr-FR"/>
        </w:rPr>
        <w:t xml:space="preserve"> les différents rôles et responsabilités à chaque étape des programmes.</w:t>
      </w:r>
    </w:p>
    <w:p w:rsidR="004D3CE1" w:rsidRPr="006B53A5" w:rsidRDefault="00816E51" w:rsidP="002972D3">
      <w:pPr>
        <w:pStyle w:val="ListParagraph"/>
        <w:numPr>
          <w:ilvl w:val="0"/>
          <w:numId w:val="1"/>
        </w:numPr>
        <w:spacing w:before="240"/>
        <w:ind w:left="284" w:hanging="284"/>
        <w:rPr>
          <w:rFonts w:cs="Arial"/>
          <w:b/>
          <w:lang w:val="fr-FR"/>
        </w:rPr>
      </w:pPr>
      <w:r w:rsidRPr="006B53A5">
        <w:rPr>
          <w:rFonts w:cs="Arial"/>
          <w:b/>
          <w:lang w:val="fr-FR"/>
        </w:rPr>
        <w:t>Comment</w:t>
      </w:r>
      <w:r w:rsidR="001C7D0C" w:rsidRPr="006B53A5">
        <w:rPr>
          <w:rFonts w:cs="Arial"/>
          <w:b/>
          <w:lang w:val="fr-FR"/>
        </w:rPr>
        <w:t xml:space="preserve"> favoriser</w:t>
      </w:r>
      <w:r w:rsidR="004D3CE1" w:rsidRPr="006B53A5">
        <w:rPr>
          <w:rFonts w:cs="Arial"/>
          <w:b/>
          <w:lang w:val="fr-FR"/>
        </w:rPr>
        <w:t xml:space="preserve"> </w:t>
      </w:r>
      <w:r w:rsidR="00381D59" w:rsidRPr="006B53A5">
        <w:rPr>
          <w:rFonts w:cs="Arial"/>
          <w:b/>
          <w:lang w:val="fr-FR"/>
        </w:rPr>
        <w:t>l’</w:t>
      </w:r>
      <w:r w:rsidR="002972D3" w:rsidRPr="006B53A5">
        <w:rPr>
          <w:rFonts w:cs="Arial"/>
          <w:b/>
          <w:lang w:val="fr-FR"/>
        </w:rPr>
        <w:t>utilisation</w:t>
      </w:r>
      <w:r w:rsidR="00381D59" w:rsidRPr="006B53A5">
        <w:rPr>
          <w:rFonts w:cs="Arial"/>
          <w:b/>
          <w:lang w:val="fr-FR"/>
        </w:rPr>
        <w:t xml:space="preserve"> des</w:t>
      </w:r>
      <w:r w:rsidR="001C7D0C" w:rsidRPr="006B53A5">
        <w:rPr>
          <w:rFonts w:cs="Arial"/>
          <w:b/>
          <w:lang w:val="fr-FR"/>
        </w:rPr>
        <w:t xml:space="preserve"> PTM </w:t>
      </w:r>
      <w:r w:rsidR="002972D3" w:rsidRPr="006B53A5">
        <w:rPr>
          <w:rFonts w:cs="Arial"/>
          <w:b/>
          <w:lang w:val="fr-FR"/>
        </w:rPr>
        <w:t>par les</w:t>
      </w:r>
      <w:r w:rsidR="004D3CE1" w:rsidRPr="006B53A5">
        <w:rPr>
          <w:rFonts w:cs="Arial"/>
          <w:b/>
          <w:lang w:val="fr-FR"/>
        </w:rPr>
        <w:t xml:space="preserve"> Société</w:t>
      </w:r>
      <w:r w:rsidR="001C7D0C" w:rsidRPr="006B53A5">
        <w:rPr>
          <w:rFonts w:cs="Arial"/>
          <w:b/>
          <w:lang w:val="fr-FR"/>
        </w:rPr>
        <w:t>s</w:t>
      </w:r>
      <w:r w:rsidR="004D3CE1" w:rsidRPr="006B53A5">
        <w:rPr>
          <w:rFonts w:cs="Arial"/>
          <w:b/>
          <w:lang w:val="fr-FR"/>
        </w:rPr>
        <w:t xml:space="preserve"> nationale</w:t>
      </w:r>
      <w:r w:rsidR="001C7D0C" w:rsidRPr="006B53A5">
        <w:rPr>
          <w:rFonts w:cs="Arial"/>
          <w:b/>
          <w:lang w:val="fr-FR"/>
        </w:rPr>
        <w:t>s</w:t>
      </w:r>
      <w:r w:rsidR="004D3CE1" w:rsidRPr="006B53A5">
        <w:rPr>
          <w:rFonts w:cs="Arial"/>
          <w:b/>
          <w:lang w:val="fr-FR"/>
        </w:rPr>
        <w:t> ?</w:t>
      </w:r>
    </w:p>
    <w:p w:rsidR="002F6C93" w:rsidRPr="006B53A5" w:rsidRDefault="002972D3" w:rsidP="002972D3">
      <w:pPr>
        <w:ind w:left="284"/>
        <w:rPr>
          <w:lang w:val="fr-FR"/>
        </w:rPr>
      </w:pPr>
      <w:r w:rsidRPr="006B53A5">
        <w:rPr>
          <w:lang w:val="fr-FR"/>
        </w:rPr>
        <w:t xml:space="preserve">Pour renforcer l’utilisation des PTM au sein des Sociétés nationales, il faut favoriser l’adhésion des dirigeants à </w:t>
      </w:r>
      <w:r w:rsidR="00587336" w:rsidRPr="006B53A5">
        <w:rPr>
          <w:lang w:val="fr-FR"/>
        </w:rPr>
        <w:t>cette solution d’intervention.</w:t>
      </w:r>
    </w:p>
    <w:p w:rsidR="00587336" w:rsidRPr="006B53A5" w:rsidRDefault="00587336" w:rsidP="002972D3">
      <w:pPr>
        <w:ind w:left="284"/>
        <w:rPr>
          <w:lang w:val="fr-FR"/>
        </w:rPr>
      </w:pPr>
      <w:r w:rsidRPr="006B53A5">
        <w:rPr>
          <w:lang w:val="fr-FR"/>
        </w:rPr>
        <w:t>Le Mouvement a mis au point un certain nombre d’outils</w:t>
      </w:r>
      <w:r w:rsidR="005B2DAE" w:rsidRPr="006B53A5">
        <w:rPr>
          <w:lang w:val="fr-FR"/>
        </w:rPr>
        <w:t xml:space="preserve"> qui vous permettro</w:t>
      </w:r>
      <w:r w:rsidRPr="006B53A5">
        <w:rPr>
          <w:lang w:val="fr-FR"/>
        </w:rPr>
        <w:t xml:space="preserve">nt </w:t>
      </w:r>
      <w:r w:rsidR="005B2DAE" w:rsidRPr="006B53A5">
        <w:rPr>
          <w:lang w:val="fr-FR"/>
        </w:rPr>
        <w:t>de déterminer</w:t>
      </w:r>
      <w:r w:rsidRPr="006B53A5">
        <w:rPr>
          <w:lang w:val="fr-FR"/>
        </w:rPr>
        <w:t xml:space="preserve"> </w:t>
      </w:r>
      <w:r w:rsidR="005B2DAE" w:rsidRPr="006B53A5">
        <w:rPr>
          <w:lang w:val="fr-FR"/>
        </w:rPr>
        <w:t>dans quelle mesure votre Société nationale est prête à</w:t>
      </w:r>
      <w:r w:rsidR="0086471A" w:rsidRPr="006B53A5">
        <w:rPr>
          <w:lang w:val="fr-FR"/>
        </w:rPr>
        <w:t xml:space="preserve"> envisager l</w:t>
      </w:r>
      <w:r w:rsidR="002972D3" w:rsidRPr="006B53A5">
        <w:rPr>
          <w:lang w:val="fr-FR"/>
        </w:rPr>
        <w:t>’utilisation des PTM</w:t>
      </w:r>
      <w:r w:rsidR="005B2DAE" w:rsidRPr="006B53A5">
        <w:rPr>
          <w:lang w:val="fr-FR"/>
        </w:rPr>
        <w:t xml:space="preserve"> dans le cadre d’opérations d’urgence et de relèvement. </w:t>
      </w:r>
    </w:p>
    <w:p w:rsidR="005B2DAE" w:rsidRPr="006B53A5" w:rsidRDefault="005B2DAE" w:rsidP="002972D3">
      <w:pPr>
        <w:pStyle w:val="ListParagraph"/>
        <w:keepNext/>
        <w:numPr>
          <w:ilvl w:val="0"/>
          <w:numId w:val="1"/>
        </w:numPr>
        <w:spacing w:before="240"/>
        <w:ind w:left="284" w:hanging="284"/>
        <w:rPr>
          <w:rFonts w:cs="Arial"/>
          <w:b/>
          <w:lang w:val="fr-FR"/>
        </w:rPr>
      </w:pPr>
      <w:r w:rsidRPr="006B53A5">
        <w:rPr>
          <w:rFonts w:cs="Arial"/>
          <w:b/>
          <w:lang w:val="fr-FR"/>
        </w:rPr>
        <w:t>Où trouver davantage d’informations sur l</w:t>
      </w:r>
      <w:r w:rsidR="002972D3" w:rsidRPr="006B53A5">
        <w:rPr>
          <w:rFonts w:cs="Arial"/>
          <w:b/>
          <w:lang w:val="fr-FR"/>
        </w:rPr>
        <w:t>’utilisation des PTM</w:t>
      </w:r>
      <w:r w:rsidRPr="006B53A5">
        <w:rPr>
          <w:rFonts w:cs="Arial"/>
          <w:b/>
          <w:lang w:val="fr-FR"/>
        </w:rPr>
        <w:t xml:space="preserve"> au sein du Mouvement ?</w:t>
      </w:r>
    </w:p>
    <w:p w:rsidR="005B2DAE" w:rsidRPr="006B53A5" w:rsidRDefault="002972D3" w:rsidP="002972D3">
      <w:pPr>
        <w:pStyle w:val="Bullet1"/>
        <w:keepNext/>
        <w:rPr>
          <w:lang w:val="fr-FR"/>
        </w:rPr>
      </w:pPr>
      <w:r w:rsidRPr="006B53A5">
        <w:rPr>
          <w:lang w:val="fr-FR"/>
        </w:rPr>
        <w:t>U</w:t>
      </w:r>
      <w:r w:rsidR="005B2DAE" w:rsidRPr="006B53A5">
        <w:rPr>
          <w:lang w:val="fr-FR"/>
        </w:rPr>
        <w:t xml:space="preserve">ne série de ressources </w:t>
      </w:r>
      <w:r w:rsidR="0086471A" w:rsidRPr="006B53A5">
        <w:rPr>
          <w:lang w:val="fr-FR"/>
        </w:rPr>
        <w:t>sur les</w:t>
      </w:r>
      <w:r w:rsidR="005B2DAE" w:rsidRPr="006B53A5">
        <w:rPr>
          <w:lang w:val="fr-FR"/>
        </w:rPr>
        <w:t xml:space="preserve"> programmes de transferts monétaires (lignes directrices du Mouvement, études de cas, etc.)</w:t>
      </w:r>
      <w:r w:rsidRPr="006B53A5">
        <w:rPr>
          <w:lang w:val="fr-FR"/>
        </w:rPr>
        <w:t xml:space="preserve"> sont disponibles </w:t>
      </w:r>
      <w:r w:rsidR="005B2DAE" w:rsidRPr="006B53A5">
        <w:rPr>
          <w:lang w:val="fr-FR"/>
        </w:rPr>
        <w:t xml:space="preserve">sur la page FedNet de la Fédération consacrée aux </w:t>
      </w:r>
      <w:r w:rsidRPr="006B53A5">
        <w:rPr>
          <w:lang w:val="fr-FR"/>
        </w:rPr>
        <w:t>PTM</w:t>
      </w:r>
      <w:r w:rsidR="005B2DAE" w:rsidRPr="006B53A5">
        <w:rPr>
          <w:lang w:val="fr-FR"/>
        </w:rPr>
        <w:t> :</w:t>
      </w:r>
    </w:p>
    <w:p w:rsidR="00AB014A" w:rsidRPr="006B53A5" w:rsidRDefault="00585446" w:rsidP="0013517C">
      <w:pPr>
        <w:pStyle w:val="ListParagraph"/>
        <w:spacing w:after="0"/>
        <w:rPr>
          <w:rFonts w:cs="Arial"/>
          <w:lang w:val="fr-FR"/>
        </w:rPr>
      </w:pPr>
      <w:hyperlink r:id="rId9" w:history="1">
        <w:r w:rsidR="000F137E" w:rsidRPr="006B53A5">
          <w:rPr>
            <w:rStyle w:val="Hyperlink"/>
            <w:rFonts w:cs="Arial"/>
            <w:lang w:val="fr-FR"/>
          </w:rPr>
          <w:t>https://fednet.ifrc.org/en/resources/disasters/disaster-and-crisis-mangement/disaster-response/cash-based-programming/resources1</w:t>
        </w:r>
      </w:hyperlink>
    </w:p>
    <w:p w:rsidR="000F5883" w:rsidRPr="006B53A5" w:rsidRDefault="002972D3" w:rsidP="002972D3">
      <w:pPr>
        <w:pStyle w:val="Bullet1"/>
        <w:spacing w:before="240"/>
        <w:rPr>
          <w:lang w:val="fr-FR"/>
        </w:rPr>
      </w:pPr>
      <w:r w:rsidRPr="006B53A5">
        <w:rPr>
          <w:lang w:val="fr-FR"/>
        </w:rPr>
        <w:t>D</w:t>
      </w:r>
      <w:r w:rsidR="005B2DAE" w:rsidRPr="006B53A5">
        <w:rPr>
          <w:lang w:val="fr-FR"/>
        </w:rPr>
        <w:t xml:space="preserve">es vidéos </w:t>
      </w:r>
      <w:r w:rsidR="0086471A" w:rsidRPr="006B53A5">
        <w:rPr>
          <w:lang w:val="fr-FR"/>
        </w:rPr>
        <w:t>portant sur les</w:t>
      </w:r>
      <w:r w:rsidR="005B2DAE" w:rsidRPr="006B53A5">
        <w:rPr>
          <w:lang w:val="fr-FR"/>
        </w:rPr>
        <w:t xml:space="preserve"> programmes de transferts monétaires du Mouvement</w:t>
      </w:r>
      <w:r w:rsidRPr="006B53A5">
        <w:rPr>
          <w:lang w:val="fr-FR"/>
        </w:rPr>
        <w:t xml:space="preserve"> sont accessibles sur la chaîne YouTube de la Fédération, à l’adresse </w:t>
      </w:r>
      <w:r w:rsidR="005B2DAE" w:rsidRPr="006B53A5">
        <w:rPr>
          <w:lang w:val="fr-FR"/>
        </w:rPr>
        <w:t xml:space="preserve">: </w:t>
      </w:r>
      <w:hyperlink r:id="rId10" w:history="1">
        <w:r w:rsidR="004112B6" w:rsidRPr="006B53A5">
          <w:rPr>
            <w:rStyle w:val="Hyperlink"/>
            <w:lang w:val="fr-FR"/>
          </w:rPr>
          <w:t>www.youtube.com/playlist?list=PLrI6tpZ6pQmRg2nU1MEsxiKdMKPABKmlQ</w:t>
        </w:r>
      </w:hyperlink>
    </w:p>
    <w:sectPr w:rsidR="000F5883" w:rsidRPr="006B53A5" w:rsidSect="000F3B54">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EB9" w:rsidRDefault="000F2EB9" w:rsidP="000F5883">
      <w:pPr>
        <w:spacing w:after="0"/>
      </w:pPr>
      <w:r>
        <w:separator/>
      </w:r>
    </w:p>
  </w:endnote>
  <w:endnote w:type="continuationSeparator" w:id="0">
    <w:p w:rsidR="000F2EB9" w:rsidRDefault="000F2EB9" w:rsidP="000F5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7C" w:rsidRPr="00B45C74" w:rsidRDefault="00F31F09" w:rsidP="0069777C">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69777C"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85446">
      <w:rPr>
        <w:b/>
        <w:noProof/>
        <w:color w:val="808080" w:themeColor="background1" w:themeShade="80"/>
        <w:sz w:val="18"/>
        <w:szCs w:val="18"/>
      </w:rPr>
      <w:t>5</w:t>
    </w:r>
    <w:r w:rsidRPr="00B45C74">
      <w:rPr>
        <w:b/>
        <w:color w:val="808080" w:themeColor="background1" w:themeShade="80"/>
        <w:sz w:val="18"/>
        <w:szCs w:val="18"/>
      </w:rPr>
      <w:fldChar w:fldCharType="end"/>
    </w:r>
  </w:p>
  <w:p w:rsidR="0069777C" w:rsidRPr="00AD69EC" w:rsidRDefault="0069777C" w:rsidP="0069777C">
    <w:pPr>
      <w:pStyle w:val="Footer"/>
      <w:rPr>
        <w:lang w:val="fr-FR"/>
      </w:rPr>
    </w:pPr>
    <w:r w:rsidRPr="00AD69EC">
      <w:rPr>
        <w:b/>
        <w:lang w:val="fr-FR"/>
      </w:rPr>
      <w:t>Module 1.</w:t>
    </w:r>
    <w:r w:rsidRPr="00AD69EC">
      <w:rPr>
        <w:lang w:val="fr-FR"/>
      </w:rPr>
      <w:t xml:space="preserve"> Étape 2. Étape subsidiaire 12. Programmes de transferts monétaires (PTM)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EB9" w:rsidRDefault="000F2EB9" w:rsidP="000F5883">
      <w:pPr>
        <w:spacing w:after="0"/>
      </w:pPr>
      <w:r>
        <w:separator/>
      </w:r>
    </w:p>
  </w:footnote>
  <w:footnote w:type="continuationSeparator" w:id="0">
    <w:p w:rsidR="000F2EB9" w:rsidRDefault="000F2EB9" w:rsidP="000F58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7C" w:rsidRPr="00AD69EC" w:rsidRDefault="0069777C" w:rsidP="007A07ED">
    <w:pPr>
      <w:pStyle w:val="Header"/>
      <w:rPr>
        <w:sz w:val="14"/>
        <w:szCs w:val="14"/>
        <w:lang w:val="fr-FR"/>
      </w:rPr>
    </w:pPr>
    <w:r>
      <w:rPr>
        <w:rStyle w:val="Pantone485"/>
        <w:sz w:val="14"/>
        <w:szCs w:val="14"/>
        <w:lang w:val="fr-FR"/>
      </w:rPr>
      <w:t>Mouvement international de la Croix-Rouge et du Croissant-Rouge</w:t>
    </w:r>
    <w:r>
      <w:rPr>
        <w:rFonts w:cs="Caecilia-Light"/>
        <w:color w:val="FF0000"/>
        <w:sz w:val="14"/>
        <w:szCs w:val="14"/>
        <w:lang w:val="fr-FR"/>
      </w:rPr>
      <w:t xml:space="preserve"> </w:t>
    </w:r>
    <w:r w:rsidRPr="00AD69EC">
      <w:rPr>
        <w:rStyle w:val="PageNumber"/>
        <w:bCs/>
        <w:sz w:val="14"/>
        <w:szCs w:val="14"/>
        <w:lang w:val="fr-FR"/>
      </w:rPr>
      <w:t>I</w:t>
    </w:r>
    <w:r w:rsidRPr="00AD69EC">
      <w:rPr>
        <w:rStyle w:val="PageNumber"/>
        <w:color w:val="FF0000"/>
        <w:sz w:val="14"/>
        <w:szCs w:val="14"/>
        <w:lang w:val="fr-FR"/>
      </w:rPr>
      <w:t xml:space="preserve"> </w:t>
    </w:r>
    <w:r>
      <w:rPr>
        <w:b/>
        <w:sz w:val="14"/>
        <w:szCs w:val="14"/>
        <w:lang w:val="fr-FR"/>
      </w:rPr>
      <w:t xml:space="preserve">Boîte à outils pour </w:t>
    </w:r>
    <w:r w:rsidR="007A07ED">
      <w:rPr>
        <w:b/>
        <w:sz w:val="14"/>
        <w:szCs w:val="14"/>
        <w:lang w:val="fr-FR"/>
      </w:rPr>
      <w:t>les transferts monétaires</w:t>
    </w:r>
    <w:r>
      <w:rPr>
        <w:b/>
        <w:sz w:val="14"/>
        <w:szCs w:val="14"/>
        <w:lang w:val="fr-FR"/>
      </w:rPr>
      <w:t xml:space="preserve">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B1B57"/>
    <w:multiLevelType w:val="hybridMultilevel"/>
    <w:tmpl w:val="3D1242B2"/>
    <w:lvl w:ilvl="0" w:tplc="CEBC97C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1F1042"/>
    <w:multiLevelType w:val="hybridMultilevel"/>
    <w:tmpl w:val="11B6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3B28BA"/>
    <w:multiLevelType w:val="hybridMultilevel"/>
    <w:tmpl w:val="74E2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4534CD"/>
    <w:multiLevelType w:val="hybridMultilevel"/>
    <w:tmpl w:val="0BA4F612"/>
    <w:lvl w:ilvl="0" w:tplc="CEBC97C2">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linkStyles/>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5883"/>
    <w:rsid w:val="000032F6"/>
    <w:rsid w:val="00006BBF"/>
    <w:rsid w:val="00010D8B"/>
    <w:rsid w:val="00030CC0"/>
    <w:rsid w:val="0003434B"/>
    <w:rsid w:val="0004029E"/>
    <w:rsid w:val="00047855"/>
    <w:rsid w:val="0005150F"/>
    <w:rsid w:val="00053C3F"/>
    <w:rsid w:val="00054584"/>
    <w:rsid w:val="00063C74"/>
    <w:rsid w:val="000701C4"/>
    <w:rsid w:val="00080B3E"/>
    <w:rsid w:val="00084F9F"/>
    <w:rsid w:val="00085A68"/>
    <w:rsid w:val="00096A14"/>
    <w:rsid w:val="000B42FE"/>
    <w:rsid w:val="000C7909"/>
    <w:rsid w:val="000C7EE5"/>
    <w:rsid w:val="000D4365"/>
    <w:rsid w:val="000D64F9"/>
    <w:rsid w:val="000F137E"/>
    <w:rsid w:val="000F2EB9"/>
    <w:rsid w:val="000F3B54"/>
    <w:rsid w:val="000F5883"/>
    <w:rsid w:val="000F5FB3"/>
    <w:rsid w:val="00104349"/>
    <w:rsid w:val="001277D2"/>
    <w:rsid w:val="001342F9"/>
    <w:rsid w:val="00134925"/>
    <w:rsid w:val="0013517C"/>
    <w:rsid w:val="00137659"/>
    <w:rsid w:val="001418A3"/>
    <w:rsid w:val="001656B3"/>
    <w:rsid w:val="00166927"/>
    <w:rsid w:val="00170169"/>
    <w:rsid w:val="0017045F"/>
    <w:rsid w:val="00170E01"/>
    <w:rsid w:val="0017388C"/>
    <w:rsid w:val="00174968"/>
    <w:rsid w:val="0018189F"/>
    <w:rsid w:val="00183DF8"/>
    <w:rsid w:val="0019190A"/>
    <w:rsid w:val="001A2C99"/>
    <w:rsid w:val="001B2704"/>
    <w:rsid w:val="001B3331"/>
    <w:rsid w:val="001C7D0C"/>
    <w:rsid w:val="001D107F"/>
    <w:rsid w:val="001D158E"/>
    <w:rsid w:val="001E4681"/>
    <w:rsid w:val="001E6B33"/>
    <w:rsid w:val="001F56F0"/>
    <w:rsid w:val="0020679F"/>
    <w:rsid w:val="00224867"/>
    <w:rsid w:val="00225A22"/>
    <w:rsid w:val="0023007B"/>
    <w:rsid w:val="00242E9E"/>
    <w:rsid w:val="00243808"/>
    <w:rsid w:val="00243FAA"/>
    <w:rsid w:val="002443FC"/>
    <w:rsid w:val="002467E6"/>
    <w:rsid w:val="00257AB8"/>
    <w:rsid w:val="00260E7E"/>
    <w:rsid w:val="00266F5C"/>
    <w:rsid w:val="00267610"/>
    <w:rsid w:val="00271334"/>
    <w:rsid w:val="002725F5"/>
    <w:rsid w:val="00276BFB"/>
    <w:rsid w:val="002972D3"/>
    <w:rsid w:val="002A3623"/>
    <w:rsid w:val="002A76BF"/>
    <w:rsid w:val="002A7ABE"/>
    <w:rsid w:val="002B398E"/>
    <w:rsid w:val="002B5A70"/>
    <w:rsid w:val="002D0FEC"/>
    <w:rsid w:val="002D3DC0"/>
    <w:rsid w:val="002E520E"/>
    <w:rsid w:val="002E6E16"/>
    <w:rsid w:val="002E7898"/>
    <w:rsid w:val="002F33E5"/>
    <w:rsid w:val="002F38C4"/>
    <w:rsid w:val="002F4EF6"/>
    <w:rsid w:val="002F6C93"/>
    <w:rsid w:val="002F6E6B"/>
    <w:rsid w:val="00301DCA"/>
    <w:rsid w:val="0030260E"/>
    <w:rsid w:val="0030358C"/>
    <w:rsid w:val="00311319"/>
    <w:rsid w:val="00312FC7"/>
    <w:rsid w:val="00314753"/>
    <w:rsid w:val="00315FA2"/>
    <w:rsid w:val="003209A0"/>
    <w:rsid w:val="003302F8"/>
    <w:rsid w:val="00334CDA"/>
    <w:rsid w:val="00337920"/>
    <w:rsid w:val="003424A1"/>
    <w:rsid w:val="00343CFE"/>
    <w:rsid w:val="003441CC"/>
    <w:rsid w:val="003627B3"/>
    <w:rsid w:val="0036607D"/>
    <w:rsid w:val="00373B97"/>
    <w:rsid w:val="00377EB8"/>
    <w:rsid w:val="00381D59"/>
    <w:rsid w:val="003860BE"/>
    <w:rsid w:val="003959B7"/>
    <w:rsid w:val="003A4C81"/>
    <w:rsid w:val="003B0422"/>
    <w:rsid w:val="003B07B0"/>
    <w:rsid w:val="003B25BA"/>
    <w:rsid w:val="003B57A7"/>
    <w:rsid w:val="003B755A"/>
    <w:rsid w:val="003C6BF3"/>
    <w:rsid w:val="003C7E37"/>
    <w:rsid w:val="003D5A98"/>
    <w:rsid w:val="003D644D"/>
    <w:rsid w:val="003E662D"/>
    <w:rsid w:val="004042A6"/>
    <w:rsid w:val="004112B6"/>
    <w:rsid w:val="00417F64"/>
    <w:rsid w:val="00432124"/>
    <w:rsid w:val="0044743A"/>
    <w:rsid w:val="0046454D"/>
    <w:rsid w:val="004678DE"/>
    <w:rsid w:val="00467B15"/>
    <w:rsid w:val="00470C67"/>
    <w:rsid w:val="00477CED"/>
    <w:rsid w:val="004824D6"/>
    <w:rsid w:val="00483585"/>
    <w:rsid w:val="004916AA"/>
    <w:rsid w:val="00494645"/>
    <w:rsid w:val="004A7C9B"/>
    <w:rsid w:val="004B222A"/>
    <w:rsid w:val="004C13D2"/>
    <w:rsid w:val="004C3EED"/>
    <w:rsid w:val="004D3CE1"/>
    <w:rsid w:val="004D5CEA"/>
    <w:rsid w:val="004D66C9"/>
    <w:rsid w:val="004F0A18"/>
    <w:rsid w:val="004F0EB1"/>
    <w:rsid w:val="004F6C7D"/>
    <w:rsid w:val="00501173"/>
    <w:rsid w:val="00502F54"/>
    <w:rsid w:val="00510BDB"/>
    <w:rsid w:val="00517C1D"/>
    <w:rsid w:val="005242D2"/>
    <w:rsid w:val="00530A83"/>
    <w:rsid w:val="00545CFA"/>
    <w:rsid w:val="00551A97"/>
    <w:rsid w:val="0057122E"/>
    <w:rsid w:val="005728E4"/>
    <w:rsid w:val="00573951"/>
    <w:rsid w:val="00581E21"/>
    <w:rsid w:val="00582434"/>
    <w:rsid w:val="00583B60"/>
    <w:rsid w:val="00585446"/>
    <w:rsid w:val="00587336"/>
    <w:rsid w:val="0059191C"/>
    <w:rsid w:val="005A409A"/>
    <w:rsid w:val="005A50E0"/>
    <w:rsid w:val="005B2DAE"/>
    <w:rsid w:val="005B7172"/>
    <w:rsid w:val="005B788C"/>
    <w:rsid w:val="005D4E91"/>
    <w:rsid w:val="005E1A34"/>
    <w:rsid w:val="005E36A1"/>
    <w:rsid w:val="005F31DA"/>
    <w:rsid w:val="005F7D70"/>
    <w:rsid w:val="006019C2"/>
    <w:rsid w:val="00602355"/>
    <w:rsid w:val="0060244C"/>
    <w:rsid w:val="006153B3"/>
    <w:rsid w:val="0061746C"/>
    <w:rsid w:val="00617DED"/>
    <w:rsid w:val="00635CE5"/>
    <w:rsid w:val="00636820"/>
    <w:rsid w:val="006542B2"/>
    <w:rsid w:val="00657D53"/>
    <w:rsid w:val="006610CC"/>
    <w:rsid w:val="00662F1B"/>
    <w:rsid w:val="00667A44"/>
    <w:rsid w:val="00670146"/>
    <w:rsid w:val="0067681E"/>
    <w:rsid w:val="00681047"/>
    <w:rsid w:val="0069777C"/>
    <w:rsid w:val="006A0043"/>
    <w:rsid w:val="006B4442"/>
    <w:rsid w:val="006B53A5"/>
    <w:rsid w:val="006B595D"/>
    <w:rsid w:val="006C684D"/>
    <w:rsid w:val="006D20F2"/>
    <w:rsid w:val="006D3BF7"/>
    <w:rsid w:val="006E3786"/>
    <w:rsid w:val="006E75F1"/>
    <w:rsid w:val="006F2503"/>
    <w:rsid w:val="00700E09"/>
    <w:rsid w:val="00706131"/>
    <w:rsid w:val="00716C48"/>
    <w:rsid w:val="007170B4"/>
    <w:rsid w:val="007310BA"/>
    <w:rsid w:val="007378AF"/>
    <w:rsid w:val="00752281"/>
    <w:rsid w:val="00754F6A"/>
    <w:rsid w:val="00757E96"/>
    <w:rsid w:val="00784A88"/>
    <w:rsid w:val="00797AEE"/>
    <w:rsid w:val="007A07ED"/>
    <w:rsid w:val="007A32C6"/>
    <w:rsid w:val="007B6BB7"/>
    <w:rsid w:val="007C2235"/>
    <w:rsid w:val="007C655D"/>
    <w:rsid w:val="007D193E"/>
    <w:rsid w:val="007D202F"/>
    <w:rsid w:val="007D217B"/>
    <w:rsid w:val="007D35D5"/>
    <w:rsid w:val="007E211C"/>
    <w:rsid w:val="007E3A1A"/>
    <w:rsid w:val="007F377A"/>
    <w:rsid w:val="007F3E99"/>
    <w:rsid w:val="007F4E0A"/>
    <w:rsid w:val="00807338"/>
    <w:rsid w:val="00816E51"/>
    <w:rsid w:val="0082493F"/>
    <w:rsid w:val="008258A3"/>
    <w:rsid w:val="00830226"/>
    <w:rsid w:val="0085266F"/>
    <w:rsid w:val="0085798F"/>
    <w:rsid w:val="008635B0"/>
    <w:rsid w:val="0086471A"/>
    <w:rsid w:val="00865444"/>
    <w:rsid w:val="0086577F"/>
    <w:rsid w:val="00867956"/>
    <w:rsid w:val="00874ACF"/>
    <w:rsid w:val="008779AB"/>
    <w:rsid w:val="00881252"/>
    <w:rsid w:val="00882BE5"/>
    <w:rsid w:val="00893A68"/>
    <w:rsid w:val="00894B31"/>
    <w:rsid w:val="008979D7"/>
    <w:rsid w:val="008A13F1"/>
    <w:rsid w:val="008B2C7F"/>
    <w:rsid w:val="008B31D5"/>
    <w:rsid w:val="008C3212"/>
    <w:rsid w:val="008D2114"/>
    <w:rsid w:val="008E2563"/>
    <w:rsid w:val="008E3B0A"/>
    <w:rsid w:val="00904DCB"/>
    <w:rsid w:val="009153CD"/>
    <w:rsid w:val="00922189"/>
    <w:rsid w:val="00925A38"/>
    <w:rsid w:val="00934808"/>
    <w:rsid w:val="009423E1"/>
    <w:rsid w:val="00962C54"/>
    <w:rsid w:val="00970E74"/>
    <w:rsid w:val="009728DC"/>
    <w:rsid w:val="009762A8"/>
    <w:rsid w:val="009776D6"/>
    <w:rsid w:val="009912CA"/>
    <w:rsid w:val="0099329A"/>
    <w:rsid w:val="009A6E23"/>
    <w:rsid w:val="009B10DB"/>
    <w:rsid w:val="009B4DEA"/>
    <w:rsid w:val="009C1B85"/>
    <w:rsid w:val="009C3C0F"/>
    <w:rsid w:val="009C5FD1"/>
    <w:rsid w:val="009D2B4A"/>
    <w:rsid w:val="009D36D2"/>
    <w:rsid w:val="009E631E"/>
    <w:rsid w:val="009E714B"/>
    <w:rsid w:val="00A10D3F"/>
    <w:rsid w:val="00A20F49"/>
    <w:rsid w:val="00A238BA"/>
    <w:rsid w:val="00A26332"/>
    <w:rsid w:val="00A435D5"/>
    <w:rsid w:val="00A54CC2"/>
    <w:rsid w:val="00A57F42"/>
    <w:rsid w:val="00A60809"/>
    <w:rsid w:val="00A70CAF"/>
    <w:rsid w:val="00A72044"/>
    <w:rsid w:val="00A85FA8"/>
    <w:rsid w:val="00A8684B"/>
    <w:rsid w:val="00AA742D"/>
    <w:rsid w:val="00AB014A"/>
    <w:rsid w:val="00AB074F"/>
    <w:rsid w:val="00AB0B08"/>
    <w:rsid w:val="00AD003F"/>
    <w:rsid w:val="00AD69EC"/>
    <w:rsid w:val="00AE50BC"/>
    <w:rsid w:val="00AF05D8"/>
    <w:rsid w:val="00B010C7"/>
    <w:rsid w:val="00B047D0"/>
    <w:rsid w:val="00B069B8"/>
    <w:rsid w:val="00B202C6"/>
    <w:rsid w:val="00B24E68"/>
    <w:rsid w:val="00B35D2B"/>
    <w:rsid w:val="00B50ECF"/>
    <w:rsid w:val="00B532ED"/>
    <w:rsid w:val="00B57F77"/>
    <w:rsid w:val="00B650D7"/>
    <w:rsid w:val="00B70758"/>
    <w:rsid w:val="00B72A16"/>
    <w:rsid w:val="00B84EAA"/>
    <w:rsid w:val="00B960D0"/>
    <w:rsid w:val="00BB3C24"/>
    <w:rsid w:val="00BB5F6F"/>
    <w:rsid w:val="00BC02CC"/>
    <w:rsid w:val="00BC3FB8"/>
    <w:rsid w:val="00BC48B3"/>
    <w:rsid w:val="00BC646F"/>
    <w:rsid w:val="00BC77CF"/>
    <w:rsid w:val="00BD4796"/>
    <w:rsid w:val="00BF2133"/>
    <w:rsid w:val="00C0208B"/>
    <w:rsid w:val="00C02309"/>
    <w:rsid w:val="00C04522"/>
    <w:rsid w:val="00C04C88"/>
    <w:rsid w:val="00C232F7"/>
    <w:rsid w:val="00C25D5E"/>
    <w:rsid w:val="00C42DE9"/>
    <w:rsid w:val="00C43A1E"/>
    <w:rsid w:val="00C44CCB"/>
    <w:rsid w:val="00C465FE"/>
    <w:rsid w:val="00C5007B"/>
    <w:rsid w:val="00C57D35"/>
    <w:rsid w:val="00C67789"/>
    <w:rsid w:val="00C75550"/>
    <w:rsid w:val="00C7610C"/>
    <w:rsid w:val="00C771C1"/>
    <w:rsid w:val="00C91E90"/>
    <w:rsid w:val="00C960BE"/>
    <w:rsid w:val="00CA35CD"/>
    <w:rsid w:val="00CB1920"/>
    <w:rsid w:val="00CB2C4F"/>
    <w:rsid w:val="00CE4D4B"/>
    <w:rsid w:val="00CE5307"/>
    <w:rsid w:val="00CF0B79"/>
    <w:rsid w:val="00CF6687"/>
    <w:rsid w:val="00D050D3"/>
    <w:rsid w:val="00D05FC5"/>
    <w:rsid w:val="00D07F5B"/>
    <w:rsid w:val="00D11438"/>
    <w:rsid w:val="00D27CF6"/>
    <w:rsid w:val="00D4329A"/>
    <w:rsid w:val="00D44D40"/>
    <w:rsid w:val="00D5149A"/>
    <w:rsid w:val="00D52DBD"/>
    <w:rsid w:val="00D5579A"/>
    <w:rsid w:val="00D61E6C"/>
    <w:rsid w:val="00D6457C"/>
    <w:rsid w:val="00D72C5F"/>
    <w:rsid w:val="00D8700E"/>
    <w:rsid w:val="00D9189F"/>
    <w:rsid w:val="00D9291B"/>
    <w:rsid w:val="00DA1E67"/>
    <w:rsid w:val="00DA617A"/>
    <w:rsid w:val="00DB7398"/>
    <w:rsid w:val="00DD1559"/>
    <w:rsid w:val="00DD25B3"/>
    <w:rsid w:val="00DE1B2C"/>
    <w:rsid w:val="00DE303F"/>
    <w:rsid w:val="00DE5945"/>
    <w:rsid w:val="00DF093E"/>
    <w:rsid w:val="00DF3988"/>
    <w:rsid w:val="00DF3E5A"/>
    <w:rsid w:val="00DF4B28"/>
    <w:rsid w:val="00E23289"/>
    <w:rsid w:val="00E3007D"/>
    <w:rsid w:val="00E33928"/>
    <w:rsid w:val="00E33B97"/>
    <w:rsid w:val="00E345D8"/>
    <w:rsid w:val="00E3717D"/>
    <w:rsid w:val="00E406C3"/>
    <w:rsid w:val="00E50E44"/>
    <w:rsid w:val="00E522CE"/>
    <w:rsid w:val="00E55F74"/>
    <w:rsid w:val="00E57504"/>
    <w:rsid w:val="00E71C6D"/>
    <w:rsid w:val="00E72037"/>
    <w:rsid w:val="00E72618"/>
    <w:rsid w:val="00E72985"/>
    <w:rsid w:val="00E827F4"/>
    <w:rsid w:val="00E8459F"/>
    <w:rsid w:val="00E85D71"/>
    <w:rsid w:val="00EA3B6B"/>
    <w:rsid w:val="00EB1C9A"/>
    <w:rsid w:val="00EC1B6A"/>
    <w:rsid w:val="00EC7D08"/>
    <w:rsid w:val="00ED08F3"/>
    <w:rsid w:val="00ED420E"/>
    <w:rsid w:val="00EE7E9D"/>
    <w:rsid w:val="00F01C94"/>
    <w:rsid w:val="00F03560"/>
    <w:rsid w:val="00F0521C"/>
    <w:rsid w:val="00F075D4"/>
    <w:rsid w:val="00F12CB7"/>
    <w:rsid w:val="00F249B9"/>
    <w:rsid w:val="00F31F09"/>
    <w:rsid w:val="00F37F90"/>
    <w:rsid w:val="00F40E5B"/>
    <w:rsid w:val="00F43F3F"/>
    <w:rsid w:val="00F568A4"/>
    <w:rsid w:val="00F62FC9"/>
    <w:rsid w:val="00F75654"/>
    <w:rsid w:val="00F8210B"/>
    <w:rsid w:val="00F8660A"/>
    <w:rsid w:val="00F97911"/>
    <w:rsid w:val="00FA2519"/>
    <w:rsid w:val="00FB6C09"/>
    <w:rsid w:val="00FB70BA"/>
    <w:rsid w:val="00FC52A7"/>
    <w:rsid w:val="00FC5E08"/>
    <w:rsid w:val="00FE04B9"/>
    <w:rsid w:val="00FE39AF"/>
    <w:rsid w:val="00FE794D"/>
    <w:rsid w:val="00FF2F6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7C"/>
    <w:pPr>
      <w:spacing w:after="120" w:line="240" w:lineRule="auto"/>
    </w:pPr>
    <w:rPr>
      <w:rFonts w:ascii="Arial" w:eastAsiaTheme="minorEastAsia" w:hAnsi="Arial" w:cs="Arial"/>
      <w:sz w:val="20"/>
      <w:szCs w:val="21"/>
    </w:rPr>
  </w:style>
  <w:style w:type="paragraph" w:styleId="Heading1">
    <w:name w:val="heading 1"/>
    <w:basedOn w:val="H1"/>
    <w:next w:val="Normal"/>
    <w:link w:val="Heading1Char"/>
    <w:uiPriority w:val="9"/>
    <w:rsid w:val="000F3B54"/>
  </w:style>
  <w:style w:type="paragraph" w:styleId="Heading2">
    <w:name w:val="heading 2"/>
    <w:basedOn w:val="Normal"/>
    <w:next w:val="Normal"/>
    <w:link w:val="Heading2Char"/>
    <w:autoRedefine/>
    <w:uiPriority w:val="9"/>
    <w:unhideWhenUsed/>
    <w:qFormat/>
    <w:rsid w:val="000F3B54"/>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0F3B54"/>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3B54"/>
    <w:pPr>
      <w:spacing w:after="240"/>
      <w:ind w:left="720"/>
      <w:contextualSpacing/>
    </w:pPr>
    <w:rPr>
      <w:rFonts w:eastAsiaTheme="minorHAnsi" w:cstheme="minorBidi"/>
      <w:szCs w:val="22"/>
    </w:rPr>
  </w:style>
  <w:style w:type="paragraph" w:styleId="FootnoteText">
    <w:name w:val="footnote text"/>
    <w:basedOn w:val="Normal"/>
    <w:link w:val="FootnoteTextChar"/>
    <w:autoRedefine/>
    <w:uiPriority w:val="99"/>
    <w:unhideWhenUsed/>
    <w:rsid w:val="000F3B54"/>
    <w:pPr>
      <w:spacing w:after="0"/>
    </w:pPr>
    <w:rPr>
      <w:sz w:val="16"/>
      <w:szCs w:val="18"/>
      <w:lang w:val="en-US"/>
    </w:rPr>
  </w:style>
  <w:style w:type="character" w:customStyle="1" w:styleId="FootnoteTextChar">
    <w:name w:val="Footnote Text Char"/>
    <w:basedOn w:val="DefaultParagraphFont"/>
    <w:link w:val="FootnoteText"/>
    <w:uiPriority w:val="99"/>
    <w:rsid w:val="000F3B54"/>
    <w:rPr>
      <w:rFonts w:ascii="Arial" w:eastAsiaTheme="minorEastAsia" w:hAnsi="Arial" w:cs="Arial"/>
      <w:sz w:val="16"/>
      <w:szCs w:val="18"/>
      <w:lang w:val="en-US"/>
    </w:rPr>
  </w:style>
  <w:style w:type="character" w:styleId="FootnoteReference">
    <w:name w:val="footnote reference"/>
    <w:basedOn w:val="DefaultParagraphFont"/>
    <w:uiPriority w:val="99"/>
    <w:unhideWhenUsed/>
    <w:rsid w:val="000F3B54"/>
    <w:rPr>
      <w:vertAlign w:val="superscript"/>
    </w:rPr>
  </w:style>
  <w:style w:type="character" w:styleId="CommentReference">
    <w:name w:val="annotation reference"/>
    <w:basedOn w:val="DefaultParagraphFont"/>
    <w:uiPriority w:val="99"/>
    <w:semiHidden/>
    <w:unhideWhenUsed/>
    <w:rsid w:val="000F3B54"/>
    <w:rPr>
      <w:sz w:val="18"/>
      <w:szCs w:val="18"/>
    </w:rPr>
  </w:style>
  <w:style w:type="paragraph" w:styleId="CommentText">
    <w:name w:val="annotation text"/>
    <w:basedOn w:val="Normal"/>
    <w:link w:val="CommentTextChar"/>
    <w:uiPriority w:val="99"/>
    <w:unhideWhenUsed/>
    <w:rsid w:val="000F5883"/>
    <w:rPr>
      <w:szCs w:val="20"/>
    </w:rPr>
  </w:style>
  <w:style w:type="character" w:customStyle="1" w:styleId="CommentTextChar">
    <w:name w:val="Comment Text Char"/>
    <w:basedOn w:val="DefaultParagraphFont"/>
    <w:link w:val="CommentText"/>
    <w:uiPriority w:val="99"/>
    <w:rsid w:val="000F5883"/>
    <w:rPr>
      <w:rFonts w:eastAsiaTheme="minorEastAsia"/>
      <w:sz w:val="20"/>
      <w:szCs w:val="20"/>
      <w:lang w:val="fr-FR" w:eastAsia="fr-FR"/>
    </w:rPr>
  </w:style>
  <w:style w:type="character" w:customStyle="1" w:styleId="ListParagraphChar">
    <w:name w:val="List Paragraph Char"/>
    <w:basedOn w:val="DefaultParagraphFont"/>
    <w:link w:val="ListParagraph"/>
    <w:uiPriority w:val="34"/>
    <w:rsid w:val="000F3B54"/>
    <w:rPr>
      <w:rFonts w:ascii="Arial" w:hAnsi="Arial"/>
      <w:sz w:val="20"/>
    </w:rPr>
  </w:style>
  <w:style w:type="paragraph" w:styleId="BalloonText">
    <w:name w:val="Balloon Text"/>
    <w:basedOn w:val="Normal"/>
    <w:link w:val="BalloonTextChar"/>
    <w:uiPriority w:val="99"/>
    <w:semiHidden/>
    <w:unhideWhenUsed/>
    <w:rsid w:val="000F3B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B54"/>
    <w:rPr>
      <w:rFonts w:ascii="Lucida Grande" w:eastAsiaTheme="minorEastAsia" w:hAnsi="Lucida Grande" w:cs="Lucida Grande"/>
      <w:sz w:val="18"/>
      <w:szCs w:val="18"/>
    </w:rPr>
  </w:style>
  <w:style w:type="character" w:styleId="Hyperlink">
    <w:name w:val="Hyperlink"/>
    <w:basedOn w:val="DefaultParagraphFont"/>
    <w:uiPriority w:val="99"/>
    <w:unhideWhenUsed/>
    <w:rsid w:val="000F3B54"/>
    <w:rPr>
      <w:color w:val="0000FF" w:themeColor="hyperlink"/>
      <w:u w:val="single"/>
    </w:rPr>
  </w:style>
  <w:style w:type="paragraph" w:styleId="Header">
    <w:name w:val="header"/>
    <w:basedOn w:val="Normal"/>
    <w:link w:val="HeaderChar"/>
    <w:uiPriority w:val="99"/>
    <w:unhideWhenUsed/>
    <w:rsid w:val="000F3B54"/>
    <w:pPr>
      <w:spacing w:after="0" w:line="288" w:lineRule="auto"/>
      <w:jc w:val="left"/>
    </w:pPr>
    <w:rPr>
      <w:sz w:val="16"/>
    </w:rPr>
  </w:style>
  <w:style w:type="character" w:customStyle="1" w:styleId="HeaderChar">
    <w:name w:val="Header Char"/>
    <w:basedOn w:val="DefaultParagraphFont"/>
    <w:link w:val="Header"/>
    <w:uiPriority w:val="99"/>
    <w:rsid w:val="000F3B54"/>
    <w:rPr>
      <w:rFonts w:ascii="Arial" w:eastAsiaTheme="minorEastAsia" w:hAnsi="Arial" w:cs="Arial"/>
      <w:sz w:val="16"/>
      <w:szCs w:val="21"/>
    </w:rPr>
  </w:style>
  <w:style w:type="paragraph" w:styleId="Footer">
    <w:name w:val="footer"/>
    <w:basedOn w:val="Normal"/>
    <w:link w:val="FooterChar"/>
    <w:uiPriority w:val="99"/>
    <w:unhideWhenUsed/>
    <w:rsid w:val="000F3B54"/>
    <w:pPr>
      <w:spacing w:after="0"/>
      <w:jc w:val="left"/>
    </w:pPr>
    <w:rPr>
      <w:sz w:val="16"/>
      <w:szCs w:val="18"/>
    </w:rPr>
  </w:style>
  <w:style w:type="character" w:customStyle="1" w:styleId="FooterChar">
    <w:name w:val="Footer Char"/>
    <w:basedOn w:val="DefaultParagraphFont"/>
    <w:link w:val="Footer"/>
    <w:uiPriority w:val="99"/>
    <w:rsid w:val="000F3B54"/>
    <w:rPr>
      <w:rFonts w:ascii="Arial" w:eastAsiaTheme="minorEastAsia" w:hAnsi="Arial" w:cs="Arial"/>
      <w:sz w:val="16"/>
      <w:szCs w:val="18"/>
    </w:rPr>
  </w:style>
  <w:style w:type="paragraph" w:styleId="CommentSubject">
    <w:name w:val="annotation subject"/>
    <w:basedOn w:val="Normal"/>
    <w:link w:val="CommentSubjectChar"/>
    <w:uiPriority w:val="99"/>
    <w:semiHidden/>
    <w:unhideWhenUsed/>
    <w:rsid w:val="000F3B54"/>
    <w:rPr>
      <w:b/>
      <w:bCs/>
    </w:rPr>
  </w:style>
  <w:style w:type="character" w:customStyle="1" w:styleId="CommentSubjectChar">
    <w:name w:val="Comment Subject Char"/>
    <w:basedOn w:val="DefaultParagraphFont"/>
    <w:link w:val="CommentSubject"/>
    <w:uiPriority w:val="99"/>
    <w:semiHidden/>
    <w:rsid w:val="000F3B54"/>
    <w:rPr>
      <w:rFonts w:ascii="Arial" w:eastAsiaTheme="minorEastAsia" w:hAnsi="Arial" w:cs="Arial"/>
      <w:b/>
      <w:bCs/>
      <w:sz w:val="20"/>
      <w:szCs w:val="21"/>
    </w:rPr>
  </w:style>
  <w:style w:type="character" w:customStyle="1" w:styleId="Heading1Char">
    <w:name w:val="Heading 1 Char"/>
    <w:basedOn w:val="DefaultParagraphFont"/>
    <w:link w:val="Heading1"/>
    <w:uiPriority w:val="9"/>
    <w:rsid w:val="000F3B54"/>
    <w:rPr>
      <w:rFonts w:ascii="Arial" w:eastAsiaTheme="minorEastAsia" w:hAnsi="Arial" w:cs="Arial"/>
      <w:b/>
      <w:sz w:val="40"/>
      <w:szCs w:val="52"/>
    </w:rPr>
  </w:style>
  <w:style w:type="character" w:customStyle="1" w:styleId="Heading2Char">
    <w:name w:val="Heading 2 Char"/>
    <w:basedOn w:val="DefaultParagraphFont"/>
    <w:link w:val="Heading2"/>
    <w:uiPriority w:val="9"/>
    <w:rsid w:val="000F3B54"/>
    <w:rPr>
      <w:rFonts w:ascii="Arial" w:eastAsiaTheme="minorEastAsia" w:hAnsi="Arial" w:cs="Arial"/>
      <w:b/>
      <w:caps/>
      <w:sz w:val="24"/>
      <w:szCs w:val="26"/>
    </w:rPr>
  </w:style>
  <w:style w:type="character" w:customStyle="1" w:styleId="Heading3Char">
    <w:name w:val="Heading 3 Char"/>
    <w:basedOn w:val="DefaultParagraphFont"/>
    <w:link w:val="Heading3"/>
    <w:uiPriority w:val="9"/>
    <w:rsid w:val="000F3B54"/>
    <w:rPr>
      <w:rFonts w:ascii="Arial" w:eastAsiaTheme="minorEastAsia" w:hAnsi="Arial" w:cs="Arial"/>
      <w:b/>
      <w:szCs w:val="24"/>
    </w:rPr>
  </w:style>
  <w:style w:type="table" w:styleId="TableGrid">
    <w:name w:val="Table Grid"/>
    <w:basedOn w:val="TableNormal"/>
    <w:uiPriority w:val="59"/>
    <w:rsid w:val="000F3B54"/>
    <w:pPr>
      <w:spacing w:line="240" w:lineRule="auto"/>
      <w:jc w:val="left"/>
    </w:pPr>
    <w:rPr>
      <w:rFonts w:asciiTheme="majorHAnsi" w:eastAsiaTheme="minorEastAsia" w:hAnsiTheme="majorHAnsi" w:cs="ArialMT"/>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3B54"/>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0F3B54"/>
    <w:rPr>
      <w:b/>
    </w:rPr>
  </w:style>
  <w:style w:type="character" w:styleId="FollowedHyperlink">
    <w:name w:val="FollowedHyperlink"/>
    <w:basedOn w:val="DefaultParagraphFont"/>
    <w:uiPriority w:val="99"/>
    <w:semiHidden/>
    <w:unhideWhenUsed/>
    <w:rsid w:val="000F3B54"/>
    <w:rPr>
      <w:color w:val="800080" w:themeColor="followedHyperlink"/>
      <w:u w:val="single"/>
    </w:rPr>
  </w:style>
  <w:style w:type="paragraph" w:styleId="Revision">
    <w:name w:val="Revision"/>
    <w:hidden/>
    <w:uiPriority w:val="99"/>
    <w:semiHidden/>
    <w:rsid w:val="000F3B54"/>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0F3B5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F3B54"/>
    <w:pPr>
      <w:spacing w:before="360" w:after="240"/>
      <w:jc w:val="left"/>
      <w:outlineLvl w:val="0"/>
    </w:pPr>
    <w:rPr>
      <w:b/>
      <w:sz w:val="40"/>
      <w:szCs w:val="52"/>
    </w:rPr>
  </w:style>
  <w:style w:type="paragraph" w:customStyle="1" w:styleId="Bullet1">
    <w:name w:val="Bullet 1"/>
    <w:basedOn w:val="Normal"/>
    <w:rsid w:val="00617DED"/>
    <w:pPr>
      <w:numPr>
        <w:numId w:val="5"/>
      </w:numPr>
      <w:ind w:left="714" w:hanging="357"/>
      <w:jc w:val="left"/>
    </w:pPr>
    <w:rPr>
      <w:rFonts w:eastAsia="Times New Roman"/>
      <w:color w:val="000000"/>
    </w:rPr>
  </w:style>
  <w:style w:type="paragraph" w:customStyle="1" w:styleId="RefItem1">
    <w:name w:val="Ref Item 1"/>
    <w:basedOn w:val="Normal"/>
    <w:rsid w:val="000F3B54"/>
    <w:pPr>
      <w:jc w:val="left"/>
    </w:pPr>
    <w:rPr>
      <w:color w:val="000000"/>
      <w:szCs w:val="24"/>
      <w:lang w:eastAsia="it-IT"/>
    </w:rPr>
  </w:style>
  <w:style w:type="paragraph" w:customStyle="1" w:styleId="RefTitre">
    <w:name w:val="Ref Titre"/>
    <w:basedOn w:val="Normal"/>
    <w:rsid w:val="000F3B54"/>
    <w:pPr>
      <w:jc w:val="left"/>
    </w:pPr>
    <w:rPr>
      <w:rFonts w:eastAsia="Times New Roman"/>
      <w:b/>
      <w:bCs/>
      <w:sz w:val="26"/>
      <w:szCs w:val="26"/>
    </w:rPr>
  </w:style>
  <w:style w:type="paragraph" w:customStyle="1" w:styleId="Header1">
    <w:name w:val="Header 1"/>
    <w:basedOn w:val="Header"/>
    <w:rsid w:val="000F3B54"/>
    <w:rPr>
      <w:b/>
      <w:color w:val="CC0000"/>
      <w:sz w:val="24"/>
      <w:szCs w:val="24"/>
    </w:rPr>
  </w:style>
  <w:style w:type="character" w:customStyle="1" w:styleId="Pantone485">
    <w:name w:val="Pantone 485"/>
    <w:basedOn w:val="DefaultParagraphFont"/>
    <w:uiPriority w:val="1"/>
    <w:qFormat/>
    <w:rsid w:val="000F3B54"/>
    <w:rPr>
      <w:rFonts w:cs="Caecilia-Light"/>
      <w:color w:val="F0281E"/>
      <w:szCs w:val="16"/>
    </w:rPr>
  </w:style>
  <w:style w:type="character" w:customStyle="1" w:styleId="H1Char">
    <w:name w:val="H1 Char"/>
    <w:basedOn w:val="DefaultParagraphFont"/>
    <w:link w:val="H1"/>
    <w:rsid w:val="000F3B54"/>
    <w:rPr>
      <w:rFonts w:ascii="Arial" w:eastAsiaTheme="minorEastAsia" w:hAnsi="Arial" w:cs="Arial"/>
      <w:b/>
      <w:sz w:val="40"/>
      <w:szCs w:val="52"/>
    </w:rPr>
  </w:style>
  <w:style w:type="table" w:customStyle="1" w:styleId="TableGray">
    <w:name w:val="Table Gray"/>
    <w:basedOn w:val="TableNormal"/>
    <w:uiPriority w:val="99"/>
    <w:rsid w:val="000F3B54"/>
    <w:pPr>
      <w:spacing w:line="240" w:lineRule="auto"/>
      <w:jc w:val="left"/>
    </w:pPr>
    <w:rPr>
      <w:rFonts w:eastAsiaTheme="minorEastAsia" w:cs="ArialMT"/>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617DED"/>
    <w:pPr>
      <w:numPr>
        <w:numId w:val="6"/>
      </w:numPr>
      <w:tabs>
        <w:tab w:val="left" w:pos="7230"/>
      </w:tabs>
      <w:spacing w:before="360"/>
      <w:ind w:left="714" w:hanging="357"/>
      <w:jc w:val="left"/>
    </w:pPr>
    <w:rPr>
      <w:rFonts w:cs="Arial"/>
    </w:rPr>
  </w:style>
  <w:style w:type="paragraph" w:customStyle="1" w:styleId="ListNumber1">
    <w:name w:val="List Number 1"/>
    <w:basedOn w:val="Normal"/>
    <w:rsid w:val="000F3B54"/>
    <w:pPr>
      <w:numPr>
        <w:ilvl w:val="1"/>
        <w:numId w:val="7"/>
      </w:numPr>
      <w:contextualSpacing/>
    </w:pPr>
    <w:rPr>
      <w:rFonts w:eastAsiaTheme="minorHAnsi" w:cs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7C"/>
    <w:pPr>
      <w:spacing w:after="120" w:line="240" w:lineRule="auto"/>
    </w:pPr>
    <w:rPr>
      <w:rFonts w:ascii="Arial" w:eastAsiaTheme="minorEastAsia" w:hAnsi="Arial" w:cs="Arial"/>
      <w:sz w:val="20"/>
      <w:szCs w:val="21"/>
    </w:rPr>
  </w:style>
  <w:style w:type="paragraph" w:styleId="Heading1">
    <w:name w:val="heading 1"/>
    <w:basedOn w:val="H1"/>
    <w:next w:val="Normal"/>
    <w:link w:val="Heading1Char"/>
    <w:uiPriority w:val="9"/>
    <w:rsid w:val="000F3B54"/>
  </w:style>
  <w:style w:type="paragraph" w:styleId="Heading2">
    <w:name w:val="heading 2"/>
    <w:basedOn w:val="Normal"/>
    <w:next w:val="Normal"/>
    <w:link w:val="Heading2Char"/>
    <w:autoRedefine/>
    <w:uiPriority w:val="9"/>
    <w:unhideWhenUsed/>
    <w:qFormat/>
    <w:rsid w:val="000F3B54"/>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0F3B54"/>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3B54"/>
    <w:pPr>
      <w:spacing w:after="240"/>
      <w:ind w:left="720"/>
      <w:contextualSpacing/>
    </w:pPr>
    <w:rPr>
      <w:rFonts w:eastAsiaTheme="minorHAnsi" w:cstheme="minorBidi"/>
      <w:szCs w:val="22"/>
    </w:rPr>
  </w:style>
  <w:style w:type="paragraph" w:styleId="FootnoteText">
    <w:name w:val="footnote text"/>
    <w:basedOn w:val="Normal"/>
    <w:link w:val="FootnoteTextChar"/>
    <w:autoRedefine/>
    <w:uiPriority w:val="99"/>
    <w:unhideWhenUsed/>
    <w:rsid w:val="000F3B54"/>
    <w:pPr>
      <w:spacing w:after="0"/>
    </w:pPr>
    <w:rPr>
      <w:sz w:val="16"/>
      <w:szCs w:val="18"/>
      <w:lang w:val="en-US"/>
    </w:rPr>
  </w:style>
  <w:style w:type="character" w:customStyle="1" w:styleId="FootnoteTextChar">
    <w:name w:val="Footnote Text Char"/>
    <w:basedOn w:val="DefaultParagraphFont"/>
    <w:link w:val="FootnoteText"/>
    <w:uiPriority w:val="99"/>
    <w:rsid w:val="000F3B54"/>
    <w:rPr>
      <w:rFonts w:ascii="Arial" w:eastAsiaTheme="minorEastAsia" w:hAnsi="Arial" w:cs="Arial"/>
      <w:sz w:val="16"/>
      <w:szCs w:val="18"/>
      <w:lang w:val="en-US"/>
    </w:rPr>
  </w:style>
  <w:style w:type="character" w:styleId="FootnoteReference">
    <w:name w:val="footnote reference"/>
    <w:basedOn w:val="DefaultParagraphFont"/>
    <w:uiPriority w:val="99"/>
    <w:unhideWhenUsed/>
    <w:rsid w:val="000F3B54"/>
    <w:rPr>
      <w:vertAlign w:val="superscript"/>
    </w:rPr>
  </w:style>
  <w:style w:type="character" w:styleId="CommentReference">
    <w:name w:val="annotation reference"/>
    <w:basedOn w:val="DefaultParagraphFont"/>
    <w:uiPriority w:val="99"/>
    <w:semiHidden/>
    <w:unhideWhenUsed/>
    <w:rsid w:val="000F3B54"/>
    <w:rPr>
      <w:sz w:val="18"/>
      <w:szCs w:val="18"/>
    </w:rPr>
  </w:style>
  <w:style w:type="paragraph" w:styleId="CommentText">
    <w:name w:val="annotation text"/>
    <w:basedOn w:val="Normal"/>
    <w:link w:val="CommentTextChar"/>
    <w:uiPriority w:val="99"/>
    <w:unhideWhenUsed/>
    <w:rsid w:val="000F5883"/>
    <w:rPr>
      <w:szCs w:val="20"/>
    </w:rPr>
  </w:style>
  <w:style w:type="character" w:customStyle="1" w:styleId="CommentTextChar">
    <w:name w:val="Comment Text Char"/>
    <w:basedOn w:val="DefaultParagraphFont"/>
    <w:link w:val="CommentText"/>
    <w:uiPriority w:val="99"/>
    <w:rsid w:val="000F5883"/>
    <w:rPr>
      <w:rFonts w:eastAsiaTheme="minorEastAsia"/>
      <w:sz w:val="20"/>
      <w:szCs w:val="20"/>
      <w:lang w:val="fr-FR" w:eastAsia="fr-FR"/>
    </w:rPr>
  </w:style>
  <w:style w:type="character" w:customStyle="1" w:styleId="ListParagraphChar">
    <w:name w:val="List Paragraph Char"/>
    <w:basedOn w:val="DefaultParagraphFont"/>
    <w:link w:val="ListParagraph"/>
    <w:uiPriority w:val="34"/>
    <w:rsid w:val="000F3B54"/>
    <w:rPr>
      <w:rFonts w:ascii="Arial" w:hAnsi="Arial"/>
      <w:sz w:val="20"/>
    </w:rPr>
  </w:style>
  <w:style w:type="paragraph" w:styleId="BalloonText">
    <w:name w:val="Balloon Text"/>
    <w:basedOn w:val="Normal"/>
    <w:link w:val="BalloonTextChar"/>
    <w:uiPriority w:val="99"/>
    <w:semiHidden/>
    <w:unhideWhenUsed/>
    <w:rsid w:val="000F3B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B54"/>
    <w:rPr>
      <w:rFonts w:ascii="Lucida Grande" w:eastAsiaTheme="minorEastAsia" w:hAnsi="Lucida Grande" w:cs="Lucida Grande"/>
      <w:sz w:val="18"/>
      <w:szCs w:val="18"/>
    </w:rPr>
  </w:style>
  <w:style w:type="character" w:styleId="Hyperlink">
    <w:name w:val="Hyperlink"/>
    <w:basedOn w:val="DefaultParagraphFont"/>
    <w:uiPriority w:val="99"/>
    <w:unhideWhenUsed/>
    <w:rsid w:val="000F3B54"/>
    <w:rPr>
      <w:color w:val="0000FF" w:themeColor="hyperlink"/>
      <w:u w:val="single"/>
    </w:rPr>
  </w:style>
  <w:style w:type="paragraph" w:styleId="Header">
    <w:name w:val="header"/>
    <w:basedOn w:val="Normal"/>
    <w:link w:val="HeaderChar"/>
    <w:uiPriority w:val="99"/>
    <w:unhideWhenUsed/>
    <w:rsid w:val="000F3B54"/>
    <w:pPr>
      <w:spacing w:after="0" w:line="288" w:lineRule="auto"/>
      <w:jc w:val="left"/>
    </w:pPr>
    <w:rPr>
      <w:sz w:val="16"/>
    </w:rPr>
  </w:style>
  <w:style w:type="character" w:customStyle="1" w:styleId="HeaderChar">
    <w:name w:val="Header Char"/>
    <w:basedOn w:val="DefaultParagraphFont"/>
    <w:link w:val="Header"/>
    <w:uiPriority w:val="99"/>
    <w:rsid w:val="000F3B54"/>
    <w:rPr>
      <w:rFonts w:ascii="Arial" w:eastAsiaTheme="minorEastAsia" w:hAnsi="Arial" w:cs="Arial"/>
      <w:sz w:val="16"/>
      <w:szCs w:val="21"/>
    </w:rPr>
  </w:style>
  <w:style w:type="paragraph" w:styleId="Footer">
    <w:name w:val="footer"/>
    <w:basedOn w:val="Normal"/>
    <w:link w:val="FooterChar"/>
    <w:uiPriority w:val="99"/>
    <w:unhideWhenUsed/>
    <w:rsid w:val="000F3B54"/>
    <w:pPr>
      <w:spacing w:after="0"/>
      <w:jc w:val="left"/>
    </w:pPr>
    <w:rPr>
      <w:sz w:val="16"/>
      <w:szCs w:val="18"/>
    </w:rPr>
  </w:style>
  <w:style w:type="character" w:customStyle="1" w:styleId="FooterChar">
    <w:name w:val="Footer Char"/>
    <w:basedOn w:val="DefaultParagraphFont"/>
    <w:link w:val="Footer"/>
    <w:uiPriority w:val="99"/>
    <w:rsid w:val="000F3B54"/>
    <w:rPr>
      <w:rFonts w:ascii="Arial" w:eastAsiaTheme="minorEastAsia" w:hAnsi="Arial" w:cs="Arial"/>
      <w:sz w:val="16"/>
      <w:szCs w:val="18"/>
    </w:rPr>
  </w:style>
  <w:style w:type="paragraph" w:styleId="CommentSubject">
    <w:name w:val="annotation subject"/>
    <w:basedOn w:val="Normal"/>
    <w:link w:val="CommentSubjectChar"/>
    <w:uiPriority w:val="99"/>
    <w:semiHidden/>
    <w:unhideWhenUsed/>
    <w:rsid w:val="000F3B54"/>
    <w:rPr>
      <w:b/>
      <w:bCs/>
    </w:rPr>
  </w:style>
  <w:style w:type="character" w:customStyle="1" w:styleId="CommentSubjectChar">
    <w:name w:val="Comment Subject Char"/>
    <w:basedOn w:val="DefaultParagraphFont"/>
    <w:link w:val="CommentSubject"/>
    <w:uiPriority w:val="99"/>
    <w:semiHidden/>
    <w:rsid w:val="000F3B54"/>
    <w:rPr>
      <w:rFonts w:ascii="Arial" w:eastAsiaTheme="minorEastAsia" w:hAnsi="Arial" w:cs="Arial"/>
      <w:b/>
      <w:bCs/>
      <w:sz w:val="20"/>
      <w:szCs w:val="21"/>
    </w:rPr>
  </w:style>
  <w:style w:type="character" w:customStyle="1" w:styleId="Heading1Char">
    <w:name w:val="Heading 1 Char"/>
    <w:basedOn w:val="DefaultParagraphFont"/>
    <w:link w:val="Heading1"/>
    <w:uiPriority w:val="9"/>
    <w:rsid w:val="000F3B54"/>
    <w:rPr>
      <w:rFonts w:ascii="Arial" w:eastAsiaTheme="minorEastAsia" w:hAnsi="Arial" w:cs="Arial"/>
      <w:b/>
      <w:sz w:val="40"/>
      <w:szCs w:val="52"/>
    </w:rPr>
  </w:style>
  <w:style w:type="character" w:customStyle="1" w:styleId="Heading2Char">
    <w:name w:val="Heading 2 Char"/>
    <w:basedOn w:val="DefaultParagraphFont"/>
    <w:link w:val="Heading2"/>
    <w:uiPriority w:val="9"/>
    <w:rsid w:val="000F3B54"/>
    <w:rPr>
      <w:rFonts w:ascii="Arial" w:eastAsiaTheme="minorEastAsia" w:hAnsi="Arial" w:cs="Arial"/>
      <w:b/>
      <w:caps/>
      <w:sz w:val="24"/>
      <w:szCs w:val="26"/>
    </w:rPr>
  </w:style>
  <w:style w:type="character" w:customStyle="1" w:styleId="Heading3Char">
    <w:name w:val="Heading 3 Char"/>
    <w:basedOn w:val="DefaultParagraphFont"/>
    <w:link w:val="Heading3"/>
    <w:uiPriority w:val="9"/>
    <w:rsid w:val="000F3B54"/>
    <w:rPr>
      <w:rFonts w:ascii="Arial" w:eastAsiaTheme="minorEastAsia" w:hAnsi="Arial" w:cs="Arial"/>
      <w:b/>
      <w:szCs w:val="24"/>
    </w:rPr>
  </w:style>
  <w:style w:type="table" w:styleId="TableGrid">
    <w:name w:val="Table Grid"/>
    <w:basedOn w:val="TableNormal"/>
    <w:uiPriority w:val="59"/>
    <w:rsid w:val="000F3B54"/>
    <w:pPr>
      <w:spacing w:line="240" w:lineRule="auto"/>
      <w:jc w:val="left"/>
    </w:pPr>
    <w:rPr>
      <w:rFonts w:asciiTheme="majorHAnsi" w:eastAsiaTheme="minorEastAsia" w:hAnsiTheme="majorHAnsi" w:cs="ArialMT"/>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3B54"/>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0F3B54"/>
    <w:rPr>
      <w:b/>
    </w:rPr>
  </w:style>
  <w:style w:type="character" w:styleId="FollowedHyperlink">
    <w:name w:val="FollowedHyperlink"/>
    <w:basedOn w:val="DefaultParagraphFont"/>
    <w:uiPriority w:val="99"/>
    <w:semiHidden/>
    <w:unhideWhenUsed/>
    <w:rsid w:val="000F3B54"/>
    <w:rPr>
      <w:color w:val="800080" w:themeColor="followedHyperlink"/>
      <w:u w:val="single"/>
    </w:rPr>
  </w:style>
  <w:style w:type="paragraph" w:styleId="Revision">
    <w:name w:val="Revision"/>
    <w:hidden/>
    <w:uiPriority w:val="99"/>
    <w:semiHidden/>
    <w:rsid w:val="000F3B54"/>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0F3B5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F3B54"/>
    <w:pPr>
      <w:spacing w:before="360" w:after="240"/>
      <w:jc w:val="left"/>
      <w:outlineLvl w:val="0"/>
    </w:pPr>
    <w:rPr>
      <w:b/>
      <w:sz w:val="40"/>
      <w:szCs w:val="52"/>
    </w:rPr>
  </w:style>
  <w:style w:type="paragraph" w:customStyle="1" w:styleId="Bullet1">
    <w:name w:val="Bullet 1"/>
    <w:basedOn w:val="Normal"/>
    <w:rsid w:val="00617DED"/>
    <w:pPr>
      <w:numPr>
        <w:numId w:val="5"/>
      </w:numPr>
      <w:ind w:left="714" w:hanging="357"/>
      <w:jc w:val="left"/>
    </w:pPr>
    <w:rPr>
      <w:rFonts w:eastAsia="Times New Roman"/>
      <w:color w:val="000000"/>
    </w:rPr>
  </w:style>
  <w:style w:type="paragraph" w:customStyle="1" w:styleId="RefItem1">
    <w:name w:val="Ref Item 1"/>
    <w:basedOn w:val="Normal"/>
    <w:rsid w:val="000F3B54"/>
    <w:pPr>
      <w:jc w:val="left"/>
    </w:pPr>
    <w:rPr>
      <w:color w:val="000000"/>
      <w:szCs w:val="24"/>
      <w:lang w:eastAsia="it-IT"/>
    </w:rPr>
  </w:style>
  <w:style w:type="paragraph" w:customStyle="1" w:styleId="RefTitre">
    <w:name w:val="Ref Titre"/>
    <w:basedOn w:val="Normal"/>
    <w:rsid w:val="000F3B54"/>
    <w:pPr>
      <w:jc w:val="left"/>
    </w:pPr>
    <w:rPr>
      <w:rFonts w:eastAsia="Times New Roman"/>
      <w:b/>
      <w:bCs/>
      <w:sz w:val="26"/>
      <w:szCs w:val="26"/>
    </w:rPr>
  </w:style>
  <w:style w:type="paragraph" w:customStyle="1" w:styleId="Header1">
    <w:name w:val="Header 1"/>
    <w:basedOn w:val="Header"/>
    <w:rsid w:val="000F3B54"/>
    <w:rPr>
      <w:b/>
      <w:color w:val="CC0000"/>
      <w:sz w:val="24"/>
      <w:szCs w:val="24"/>
    </w:rPr>
  </w:style>
  <w:style w:type="character" w:customStyle="1" w:styleId="Pantone485">
    <w:name w:val="Pantone 485"/>
    <w:basedOn w:val="DefaultParagraphFont"/>
    <w:uiPriority w:val="1"/>
    <w:qFormat/>
    <w:rsid w:val="000F3B54"/>
    <w:rPr>
      <w:rFonts w:cs="Caecilia-Light"/>
      <w:color w:val="F0281E"/>
      <w:szCs w:val="16"/>
    </w:rPr>
  </w:style>
  <w:style w:type="character" w:customStyle="1" w:styleId="H1Char">
    <w:name w:val="H1 Char"/>
    <w:basedOn w:val="DefaultParagraphFont"/>
    <w:link w:val="H1"/>
    <w:rsid w:val="000F3B54"/>
    <w:rPr>
      <w:rFonts w:ascii="Arial" w:eastAsiaTheme="minorEastAsia" w:hAnsi="Arial" w:cs="Arial"/>
      <w:b/>
      <w:sz w:val="40"/>
      <w:szCs w:val="52"/>
    </w:rPr>
  </w:style>
  <w:style w:type="table" w:customStyle="1" w:styleId="TableGray">
    <w:name w:val="Table Gray"/>
    <w:basedOn w:val="TableNormal"/>
    <w:uiPriority w:val="99"/>
    <w:rsid w:val="000F3B54"/>
    <w:pPr>
      <w:spacing w:line="240" w:lineRule="auto"/>
      <w:jc w:val="left"/>
    </w:pPr>
    <w:rPr>
      <w:rFonts w:eastAsiaTheme="minorEastAsia" w:cs="ArialMT"/>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617DED"/>
    <w:pPr>
      <w:numPr>
        <w:numId w:val="6"/>
      </w:numPr>
      <w:tabs>
        <w:tab w:val="left" w:pos="7230"/>
      </w:tabs>
      <w:spacing w:before="360"/>
      <w:ind w:left="714" w:hanging="357"/>
      <w:jc w:val="left"/>
    </w:pPr>
    <w:rPr>
      <w:rFonts w:cs="Arial"/>
    </w:rPr>
  </w:style>
  <w:style w:type="paragraph" w:customStyle="1" w:styleId="ListNumber1">
    <w:name w:val="List Number 1"/>
    <w:basedOn w:val="Normal"/>
    <w:rsid w:val="000F3B54"/>
    <w:pPr>
      <w:numPr>
        <w:ilvl w:val="1"/>
        <w:numId w:val="7"/>
      </w:numPr>
      <w:contextualSpacing/>
    </w:pPr>
    <w:rPr>
      <w:rFonts w:eastAsiaTheme="minorHAnsi" w:cs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84643">
      <w:bodyDiv w:val="1"/>
      <w:marLeft w:val="0"/>
      <w:marRight w:val="0"/>
      <w:marTop w:val="0"/>
      <w:marBottom w:val="0"/>
      <w:divBdr>
        <w:top w:val="none" w:sz="0" w:space="0" w:color="auto"/>
        <w:left w:val="none" w:sz="0" w:space="0" w:color="auto"/>
        <w:bottom w:val="none" w:sz="0" w:space="0" w:color="auto"/>
        <w:right w:val="none" w:sz="0" w:space="0" w:color="auto"/>
      </w:divBdr>
      <w:divsChild>
        <w:div w:id="214319421">
          <w:marLeft w:val="0"/>
          <w:marRight w:val="0"/>
          <w:marTop w:val="0"/>
          <w:marBottom w:val="0"/>
          <w:divBdr>
            <w:top w:val="none" w:sz="0" w:space="0" w:color="auto"/>
            <w:left w:val="none" w:sz="0" w:space="0" w:color="auto"/>
            <w:bottom w:val="none" w:sz="0" w:space="0" w:color="auto"/>
            <w:right w:val="none" w:sz="0" w:space="0" w:color="auto"/>
          </w:divBdr>
        </w:div>
        <w:div w:id="1433822146">
          <w:marLeft w:val="0"/>
          <w:marRight w:val="0"/>
          <w:marTop w:val="0"/>
          <w:marBottom w:val="0"/>
          <w:divBdr>
            <w:top w:val="none" w:sz="0" w:space="0" w:color="auto"/>
            <w:left w:val="none" w:sz="0" w:space="0" w:color="auto"/>
            <w:bottom w:val="none" w:sz="0" w:space="0" w:color="auto"/>
            <w:right w:val="none" w:sz="0" w:space="0" w:color="auto"/>
          </w:divBdr>
        </w:div>
        <w:div w:id="500510545">
          <w:marLeft w:val="0"/>
          <w:marRight w:val="0"/>
          <w:marTop w:val="0"/>
          <w:marBottom w:val="0"/>
          <w:divBdr>
            <w:top w:val="none" w:sz="0" w:space="0" w:color="auto"/>
            <w:left w:val="none" w:sz="0" w:space="0" w:color="auto"/>
            <w:bottom w:val="none" w:sz="0" w:space="0" w:color="auto"/>
            <w:right w:val="none" w:sz="0" w:space="0" w:color="auto"/>
          </w:divBdr>
        </w:div>
        <w:div w:id="1067219758">
          <w:marLeft w:val="0"/>
          <w:marRight w:val="0"/>
          <w:marTop w:val="0"/>
          <w:marBottom w:val="0"/>
          <w:divBdr>
            <w:top w:val="none" w:sz="0" w:space="0" w:color="auto"/>
            <w:left w:val="none" w:sz="0" w:space="0" w:color="auto"/>
            <w:bottom w:val="none" w:sz="0" w:space="0" w:color="auto"/>
            <w:right w:val="none" w:sz="0" w:space="0" w:color="auto"/>
          </w:divBdr>
        </w:div>
        <w:div w:id="1289774456">
          <w:marLeft w:val="0"/>
          <w:marRight w:val="0"/>
          <w:marTop w:val="0"/>
          <w:marBottom w:val="0"/>
          <w:divBdr>
            <w:top w:val="none" w:sz="0" w:space="0" w:color="auto"/>
            <w:left w:val="none" w:sz="0" w:space="0" w:color="auto"/>
            <w:bottom w:val="none" w:sz="0" w:space="0" w:color="auto"/>
            <w:right w:val="none" w:sz="0" w:space="0" w:color="auto"/>
          </w:divBdr>
        </w:div>
        <w:div w:id="1271887922">
          <w:marLeft w:val="0"/>
          <w:marRight w:val="0"/>
          <w:marTop w:val="0"/>
          <w:marBottom w:val="0"/>
          <w:divBdr>
            <w:top w:val="none" w:sz="0" w:space="0" w:color="auto"/>
            <w:left w:val="none" w:sz="0" w:space="0" w:color="auto"/>
            <w:bottom w:val="none" w:sz="0" w:space="0" w:color="auto"/>
            <w:right w:val="none" w:sz="0" w:space="0" w:color="auto"/>
          </w:divBdr>
        </w:div>
        <w:div w:id="957296214">
          <w:marLeft w:val="0"/>
          <w:marRight w:val="0"/>
          <w:marTop w:val="0"/>
          <w:marBottom w:val="0"/>
          <w:divBdr>
            <w:top w:val="none" w:sz="0" w:space="0" w:color="auto"/>
            <w:left w:val="none" w:sz="0" w:space="0" w:color="auto"/>
            <w:bottom w:val="none" w:sz="0" w:space="0" w:color="auto"/>
            <w:right w:val="none" w:sz="0" w:space="0" w:color="auto"/>
          </w:divBdr>
        </w:div>
      </w:divsChild>
    </w:div>
    <w:div w:id="20701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youtube.com/playlist?list=PLrI6tpZ6pQmRg2nU1MEsxiKdMKPABKmlQ" TargetMode="External"/><Relationship Id="rId4" Type="http://schemas.microsoft.com/office/2007/relationships/stylesWithEffects" Target="stylesWithEffects.xml"/><Relationship Id="rId9" Type="http://schemas.openxmlformats.org/officeDocument/2006/relationships/hyperlink" Target="https://fednet.ifrc.org/en/resources/disasters/disaster-and-crisis-mangement/disaster-response/cash-based-programming/resources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F392-D00C-482B-9E55-F4DC9B7E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1637</TotalTime>
  <Pages>5</Pages>
  <Words>2890</Words>
  <Characters>16479</Characters>
  <Application>Microsoft Office Word</Application>
  <DocSecurity>0</DocSecurity>
  <Lines>137</Lines>
  <Paragraphs>38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IFRC</Company>
  <LinksUpToDate>false</LinksUpToDate>
  <CharactersWithSpaces>19331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Florence MAROT</cp:lastModifiedBy>
  <cp:revision>92</cp:revision>
  <cp:lastPrinted>2015-11-17T17:06:00Z</cp:lastPrinted>
  <dcterms:created xsi:type="dcterms:W3CDTF">2015-08-04T05:16:00Z</dcterms:created>
  <dcterms:modified xsi:type="dcterms:W3CDTF">2016-03-30T10:25:00Z</dcterms:modified>
</cp:coreProperties>
</file>