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97F9" w14:textId="4AE0A260" w:rsidR="009D2F70" w:rsidRPr="00461774" w:rsidRDefault="00B42920" w:rsidP="00CF28AF">
      <w:pPr>
        <w:pStyle w:val="H1"/>
        <w:rPr>
          <w:rFonts w:cs="Franklin Gothic Medium"/>
          <w:color w:val="000000"/>
          <w:lang w:val="es-ES_tradnl"/>
        </w:rPr>
      </w:pPr>
      <w:r w:rsidRPr="00461774">
        <w:rPr>
          <w:lang w:val="es-ES_tradnl"/>
        </w:rPr>
        <w:t>Hoja de ruta para la comunicación y rendición de cuentas con los beneficiarios</w:t>
      </w:r>
    </w:p>
    <w:p w14:paraId="4ED3E66D" w14:textId="4CD2DE12" w:rsidR="00AA1E51" w:rsidRPr="00461774" w:rsidRDefault="001C4B5C" w:rsidP="00CF28AF">
      <w:pPr>
        <w:pStyle w:val="Heading2"/>
        <w:rPr>
          <w:lang w:val="es-ES_tradnl"/>
        </w:rPr>
      </w:pPr>
      <w:r w:rsidRPr="00461774">
        <w:rPr>
          <w:lang w:val="es-ES_tradnl"/>
        </w:rPr>
        <w:t>INTRODUC</w:t>
      </w:r>
      <w:r w:rsidR="00B42920" w:rsidRPr="00461774">
        <w:rPr>
          <w:lang w:val="es-ES_tradnl"/>
        </w:rPr>
        <w:t xml:space="preserve">CIÓN </w:t>
      </w:r>
    </w:p>
    <w:p w14:paraId="053E0C85" w14:textId="56CB3780" w:rsidR="00B42920" w:rsidRPr="00461774" w:rsidRDefault="00655A89" w:rsidP="00B42920">
      <w:pPr>
        <w:rPr>
          <w:color w:val="000000"/>
          <w:lang w:val="es-ES_tradnl"/>
        </w:rPr>
      </w:pPr>
      <w:r w:rsidRPr="00461774">
        <w:rPr>
          <w:color w:val="000000"/>
          <w:lang w:val="es-ES_tradnl"/>
        </w:rPr>
        <w:t>Esta hoja de ruta proporciona</w:t>
      </w:r>
      <w:r w:rsidR="00B42920" w:rsidRPr="00461774">
        <w:rPr>
          <w:color w:val="000000"/>
          <w:lang w:val="es-ES_tradnl"/>
        </w:rPr>
        <w:t xml:space="preserve"> la orientació</w:t>
      </w:r>
      <w:r w:rsidRPr="00461774">
        <w:rPr>
          <w:color w:val="000000"/>
          <w:lang w:val="es-ES_tradnl"/>
        </w:rPr>
        <w:t>n necesaria para comunicarse</w:t>
      </w:r>
      <w:r w:rsidR="00B42920" w:rsidRPr="00461774">
        <w:rPr>
          <w:color w:val="000000"/>
          <w:lang w:val="es-ES_tradnl"/>
        </w:rPr>
        <w:t xml:space="preserve"> y rendir cuentas a los beneficiarios. Mediante la comunicación acer</w:t>
      </w:r>
      <w:r w:rsidRPr="00461774">
        <w:rPr>
          <w:color w:val="000000"/>
          <w:lang w:val="es-ES_tradnl"/>
        </w:rPr>
        <w:t>ca de lo que está haciendo se</w:t>
      </w:r>
      <w:r w:rsidR="00B42920" w:rsidRPr="00461774">
        <w:rPr>
          <w:color w:val="000000"/>
          <w:lang w:val="es-ES_tradnl"/>
        </w:rPr>
        <w:t xml:space="preserve"> muestra respeto por las comunidades y </w:t>
      </w:r>
      <w:r w:rsidRPr="00461774">
        <w:rPr>
          <w:color w:val="000000"/>
          <w:lang w:val="es-ES_tradnl"/>
        </w:rPr>
        <w:t xml:space="preserve">se incrementan las probabilidades de que el </w:t>
      </w:r>
      <w:r w:rsidR="00B42920" w:rsidRPr="00461774">
        <w:rPr>
          <w:color w:val="000000"/>
          <w:lang w:val="es-ES_tradnl"/>
        </w:rPr>
        <w:t>pro</w:t>
      </w:r>
      <w:r w:rsidRPr="00461774">
        <w:rPr>
          <w:color w:val="000000"/>
          <w:lang w:val="es-ES_tradnl"/>
        </w:rPr>
        <w:t>grama tenga</w:t>
      </w:r>
      <w:r w:rsidR="00B42920" w:rsidRPr="00461774">
        <w:rPr>
          <w:color w:val="000000"/>
          <w:lang w:val="es-ES_tradnl"/>
        </w:rPr>
        <w:t xml:space="preserve"> éxito. Un buen plan de comunicación ayuda a establecer la confianza</w:t>
      </w:r>
      <w:r w:rsidRPr="00461774">
        <w:rPr>
          <w:color w:val="000000"/>
          <w:lang w:val="es-ES_tradnl"/>
        </w:rPr>
        <w:t>,</w:t>
      </w:r>
      <w:r w:rsidR="00B42920" w:rsidRPr="00461774">
        <w:rPr>
          <w:color w:val="000000"/>
          <w:lang w:val="es-ES_tradnl"/>
        </w:rPr>
        <w:t xml:space="preserve"> a manejar las expectativas y </w:t>
      </w:r>
      <w:r w:rsidRPr="00461774">
        <w:rPr>
          <w:color w:val="000000"/>
          <w:lang w:val="es-ES_tradnl"/>
        </w:rPr>
        <w:t xml:space="preserve">a </w:t>
      </w:r>
      <w:r w:rsidR="00B42920" w:rsidRPr="00461774">
        <w:rPr>
          <w:color w:val="000000"/>
          <w:lang w:val="es-ES_tradnl"/>
        </w:rPr>
        <w:t>fomentar la participación y la colaboración.</w:t>
      </w:r>
    </w:p>
    <w:p w14:paraId="3872F5B3" w14:textId="78F5A36A" w:rsidR="00B42920" w:rsidRPr="00461774" w:rsidRDefault="00B42920" w:rsidP="00B42920">
      <w:pPr>
        <w:rPr>
          <w:color w:val="000000"/>
          <w:lang w:val="es-ES_tradnl"/>
        </w:rPr>
      </w:pPr>
      <w:r w:rsidRPr="00461774">
        <w:rPr>
          <w:color w:val="000000"/>
          <w:lang w:val="es-ES_tradnl"/>
        </w:rPr>
        <w:t xml:space="preserve">La hoja de ruta también ofrece sugerencias sobre qué herramientas </w:t>
      </w:r>
      <w:r w:rsidR="00655A89" w:rsidRPr="00461774">
        <w:rPr>
          <w:color w:val="000000"/>
          <w:lang w:val="es-ES_tradnl"/>
        </w:rPr>
        <w:t>de esta caja de herramientas son más útiles para esta etapa</w:t>
      </w:r>
      <w:r w:rsidRPr="00461774">
        <w:rPr>
          <w:color w:val="000000"/>
          <w:lang w:val="es-ES_tradnl"/>
        </w:rPr>
        <w:t xml:space="preserve"> y sub-</w:t>
      </w:r>
      <w:r w:rsidR="00655A89" w:rsidRPr="00461774">
        <w:rPr>
          <w:color w:val="000000"/>
          <w:lang w:val="es-ES_tradnl"/>
        </w:rPr>
        <w:t>etapa</w:t>
      </w:r>
      <w:r w:rsidRPr="00461774">
        <w:rPr>
          <w:color w:val="000000"/>
          <w:lang w:val="es-ES_tradnl"/>
        </w:rPr>
        <w:t>. Las herra</w:t>
      </w:r>
      <w:r w:rsidR="00655A89" w:rsidRPr="00461774">
        <w:rPr>
          <w:color w:val="000000"/>
          <w:lang w:val="es-ES_tradnl"/>
        </w:rPr>
        <w:t>mientas tendrán que ser adaptadas a las</w:t>
      </w:r>
      <w:r w:rsidRPr="00461774">
        <w:rPr>
          <w:color w:val="000000"/>
          <w:lang w:val="es-ES_tradnl"/>
        </w:rPr>
        <w:t xml:space="preserve"> necesidades y </w:t>
      </w:r>
      <w:r w:rsidR="00655A89" w:rsidRPr="00461774">
        <w:rPr>
          <w:color w:val="000000"/>
          <w:lang w:val="es-ES_tradnl"/>
        </w:rPr>
        <w:t>a</w:t>
      </w:r>
      <w:r w:rsidRPr="00461774">
        <w:rPr>
          <w:color w:val="000000"/>
          <w:lang w:val="es-ES_tradnl"/>
        </w:rPr>
        <w:t>l contexto.</w:t>
      </w:r>
    </w:p>
    <w:p w14:paraId="2D48B463" w14:textId="27770A39" w:rsidR="00B42920" w:rsidRPr="00461774" w:rsidRDefault="00B42920" w:rsidP="00B42920">
      <w:pPr>
        <w:rPr>
          <w:color w:val="000000"/>
          <w:lang w:val="es-ES_tradnl"/>
        </w:rPr>
      </w:pPr>
      <w:r w:rsidRPr="00461774">
        <w:rPr>
          <w:color w:val="000000"/>
          <w:lang w:val="es-ES_tradnl"/>
        </w:rPr>
        <w:t>Siempre se debe tratar de cumplir con las normas mínimas que figuran en esta etapa, ya que esto contribu</w:t>
      </w:r>
      <w:r w:rsidR="00655A89" w:rsidRPr="00461774">
        <w:rPr>
          <w:color w:val="000000"/>
          <w:lang w:val="es-ES_tradnl"/>
        </w:rPr>
        <w:t>irá a la calidad de su intervención con</w:t>
      </w:r>
      <w:r w:rsidRPr="00461774">
        <w:rPr>
          <w:color w:val="000000"/>
          <w:lang w:val="es-ES_tradnl"/>
        </w:rPr>
        <w:t xml:space="preserve"> </w:t>
      </w:r>
      <w:r w:rsidR="00655A89" w:rsidRPr="00461774">
        <w:rPr>
          <w:color w:val="000000"/>
          <w:lang w:val="es-ES_tradnl"/>
        </w:rPr>
        <w:t>PTE</w:t>
      </w:r>
      <w:r w:rsidRPr="00461774">
        <w:rPr>
          <w:color w:val="000000"/>
          <w:lang w:val="es-ES_tradnl"/>
        </w:rPr>
        <w:t>.</w:t>
      </w:r>
    </w:p>
    <w:p w14:paraId="593D0411" w14:textId="38914C49" w:rsidR="00B42920" w:rsidRPr="00461774" w:rsidRDefault="00030CA0" w:rsidP="00B42920">
      <w:pPr>
        <w:rPr>
          <w:color w:val="000000"/>
          <w:lang w:val="es-ES_tradnl"/>
        </w:rPr>
      </w:pPr>
      <w:r w:rsidRPr="00461774">
        <w:rPr>
          <w:color w:val="000000"/>
          <w:lang w:val="es-ES_tradnl"/>
        </w:rPr>
        <w:t xml:space="preserve">Es probable que se tenga </w:t>
      </w:r>
      <w:r w:rsidR="00B42920" w:rsidRPr="00461774">
        <w:rPr>
          <w:color w:val="000000"/>
          <w:lang w:val="es-ES_tradnl"/>
        </w:rPr>
        <w:t xml:space="preserve">que </w:t>
      </w:r>
      <w:r w:rsidR="00B42920" w:rsidRPr="00461774">
        <w:rPr>
          <w:b/>
          <w:color w:val="000000"/>
          <w:lang w:val="es-ES_tradnl"/>
        </w:rPr>
        <w:t>avanzar y retroceder</w:t>
      </w:r>
      <w:r w:rsidR="00B42920" w:rsidRPr="00461774">
        <w:rPr>
          <w:color w:val="000000"/>
          <w:lang w:val="es-ES_tradnl"/>
        </w:rPr>
        <w:t xml:space="preserve"> entre las diferentes sub-etapas </w:t>
      </w:r>
      <w:r w:rsidRPr="00461774">
        <w:rPr>
          <w:color w:val="000000"/>
          <w:lang w:val="es-ES_tradnl"/>
        </w:rPr>
        <w:t xml:space="preserve">una vez que la información y los procesos se han completado, ya que las sub-etapas se retroalimentan entre ellas y ello puede </w:t>
      </w:r>
      <w:r w:rsidR="00B42920" w:rsidRPr="00461774">
        <w:rPr>
          <w:color w:val="000000"/>
          <w:lang w:val="es-ES_tradnl"/>
        </w:rPr>
        <w:t>guiar su toma de decisiones</w:t>
      </w:r>
      <w:r w:rsidRPr="00461774">
        <w:rPr>
          <w:color w:val="000000"/>
          <w:lang w:val="es-ES_tradnl"/>
        </w:rPr>
        <w:t xml:space="preserve">. </w:t>
      </w:r>
    </w:p>
    <w:p w14:paraId="5FA5D3A6" w14:textId="56FD0314" w:rsidR="00B42920" w:rsidRPr="00461774" w:rsidRDefault="00030CA0" w:rsidP="00B42920">
      <w:pPr>
        <w:rPr>
          <w:color w:val="000000"/>
          <w:lang w:val="es-ES_tradnl"/>
        </w:rPr>
      </w:pPr>
      <w:r w:rsidRPr="00461774">
        <w:rPr>
          <w:color w:val="000000"/>
          <w:lang w:val="es-ES_tradnl"/>
        </w:rPr>
        <w:t>Si se necesitan orientaciones</w:t>
      </w:r>
      <w:r w:rsidR="00B42920" w:rsidRPr="00461774">
        <w:rPr>
          <w:color w:val="000000"/>
          <w:lang w:val="es-ES_tradnl"/>
        </w:rPr>
        <w:t xml:space="preserve"> más detallada</w:t>
      </w:r>
      <w:r w:rsidRPr="00461774">
        <w:rPr>
          <w:color w:val="000000"/>
          <w:lang w:val="es-ES_tradnl"/>
        </w:rPr>
        <w:t>s</w:t>
      </w:r>
      <w:r w:rsidR="00B42920" w:rsidRPr="00461774">
        <w:rPr>
          <w:color w:val="000000"/>
          <w:lang w:val="es-ES_tradnl"/>
        </w:rPr>
        <w:t xml:space="preserve"> sobre la comunicación y la rendición de cuentas</w:t>
      </w:r>
      <w:r w:rsidRPr="00461774">
        <w:rPr>
          <w:color w:val="000000"/>
          <w:lang w:val="es-ES_tradnl"/>
        </w:rPr>
        <w:t xml:space="preserve"> a los beneficiarios</w:t>
      </w:r>
      <w:r w:rsidR="00B42920" w:rsidRPr="00461774">
        <w:rPr>
          <w:color w:val="000000"/>
          <w:lang w:val="es-ES_tradnl"/>
        </w:rPr>
        <w:t xml:space="preserve">, </w:t>
      </w:r>
      <w:r w:rsidRPr="00461774">
        <w:rPr>
          <w:color w:val="000000"/>
          <w:lang w:val="es-ES_tradnl"/>
        </w:rPr>
        <w:t>se pueden consultar</w:t>
      </w:r>
      <w:r w:rsidR="00B42920" w:rsidRPr="00461774">
        <w:rPr>
          <w:color w:val="000000"/>
          <w:lang w:val="es-ES_tradnl"/>
        </w:rPr>
        <w:t xml:space="preserve"> los documentos de referencia sugeridos al final de esta hoja de ruta.</w:t>
      </w:r>
    </w:p>
    <w:p w14:paraId="2347A28C" w14:textId="1BBF1979" w:rsidR="00DD6D92" w:rsidRPr="00461774" w:rsidRDefault="00B42920" w:rsidP="00CF28AF">
      <w:pPr>
        <w:pStyle w:val="Heading2"/>
        <w:rPr>
          <w:lang w:val="es-ES_tradnl"/>
        </w:rPr>
      </w:pPr>
      <w:r w:rsidRPr="00461774">
        <w:rPr>
          <w:lang w:val="es-ES_tradnl"/>
        </w:rPr>
        <w:t>eSTáNDAReS MíNIMos</w:t>
      </w:r>
    </w:p>
    <w:p w14:paraId="2F8BA157" w14:textId="427A7434" w:rsidR="00030CA0" w:rsidRPr="00461774" w:rsidRDefault="00030CA0" w:rsidP="00030CA0">
      <w:pPr>
        <w:pStyle w:val="Bullet1"/>
        <w:rPr>
          <w:lang w:val="es-ES_tradnl"/>
        </w:rPr>
      </w:pPr>
      <w:r w:rsidRPr="00461774">
        <w:rPr>
          <w:lang w:val="es-ES_tradnl"/>
        </w:rPr>
        <w:t xml:space="preserve">Se debe desarrollar un plan de comunicación y rendición de cuentas a los beneficiarios que </w:t>
      </w:r>
      <w:r w:rsidR="008401E0" w:rsidRPr="00461774">
        <w:rPr>
          <w:lang w:val="es-ES_tradnl"/>
        </w:rPr>
        <w:t>involucre a</w:t>
      </w:r>
      <w:r w:rsidRPr="00461774">
        <w:rPr>
          <w:lang w:val="es-ES_tradnl"/>
        </w:rPr>
        <w:t xml:space="preserve"> </w:t>
      </w:r>
      <w:r w:rsidR="008401E0" w:rsidRPr="00461774">
        <w:rPr>
          <w:lang w:val="es-ES_tradnl"/>
        </w:rPr>
        <w:t xml:space="preserve">los principales actores </w:t>
      </w:r>
      <w:r w:rsidRPr="00461774">
        <w:rPr>
          <w:lang w:val="es-ES_tradnl"/>
        </w:rPr>
        <w:t xml:space="preserve">y </w:t>
      </w:r>
      <w:r w:rsidR="008401E0" w:rsidRPr="00461774">
        <w:rPr>
          <w:lang w:val="es-ES_tradnl"/>
        </w:rPr>
        <w:t>que defina</w:t>
      </w:r>
      <w:r w:rsidRPr="00461774">
        <w:rPr>
          <w:lang w:val="es-ES_tradnl"/>
        </w:rPr>
        <w:t xml:space="preserve"> claramente las funciones y responsabilidades</w:t>
      </w:r>
    </w:p>
    <w:p w14:paraId="1AB94C37" w14:textId="7A44E9AA" w:rsidR="00030CA0" w:rsidRPr="00461774" w:rsidRDefault="008401E0" w:rsidP="00030CA0">
      <w:pPr>
        <w:pStyle w:val="Bullet1"/>
        <w:rPr>
          <w:lang w:val="es-ES_tradnl"/>
        </w:rPr>
      </w:pPr>
      <w:r w:rsidRPr="00461774">
        <w:rPr>
          <w:lang w:val="es-ES_tradnl"/>
        </w:rPr>
        <w:t>Se deben e</w:t>
      </w:r>
      <w:r w:rsidR="00030CA0" w:rsidRPr="00461774">
        <w:rPr>
          <w:lang w:val="es-ES_tradnl"/>
        </w:rPr>
        <w:t>stablecer mecanismos sistemáticos y transparentes a través de</w:t>
      </w:r>
      <w:r w:rsidRPr="00461774">
        <w:rPr>
          <w:lang w:val="es-ES_tradnl"/>
        </w:rPr>
        <w:t xml:space="preserve"> </w:t>
      </w:r>
      <w:r w:rsidR="00030CA0" w:rsidRPr="00461774">
        <w:rPr>
          <w:lang w:val="es-ES_tradnl"/>
        </w:rPr>
        <w:t>l</w:t>
      </w:r>
      <w:r w:rsidRPr="00461774">
        <w:rPr>
          <w:lang w:val="es-ES_tradnl"/>
        </w:rPr>
        <w:t>os</w:t>
      </w:r>
      <w:r w:rsidR="00030CA0" w:rsidRPr="00461774">
        <w:rPr>
          <w:lang w:val="es-ES_tradnl"/>
        </w:rPr>
        <w:t xml:space="preserve"> cual</w:t>
      </w:r>
      <w:r w:rsidRPr="00461774">
        <w:rPr>
          <w:lang w:val="es-ES_tradnl"/>
        </w:rPr>
        <w:t>es</w:t>
      </w:r>
      <w:r w:rsidR="00030CA0" w:rsidRPr="00461774">
        <w:rPr>
          <w:lang w:val="es-ES_tradnl"/>
        </w:rPr>
        <w:t xml:space="preserve"> las personas afectadas por desastres o conflictos pueden proporcionar retroalimentación </w:t>
      </w:r>
      <w:r w:rsidRPr="00461774">
        <w:rPr>
          <w:lang w:val="es-ES_tradnl"/>
        </w:rPr>
        <w:t xml:space="preserve">de manera regular </w:t>
      </w:r>
      <w:r w:rsidR="00030CA0" w:rsidRPr="00461774">
        <w:rPr>
          <w:lang w:val="es-ES_tradnl"/>
        </w:rPr>
        <w:t>e influir</w:t>
      </w:r>
      <w:r w:rsidRPr="00461774">
        <w:rPr>
          <w:lang w:val="es-ES_tradnl"/>
        </w:rPr>
        <w:t xml:space="preserve"> en los programas</w:t>
      </w:r>
      <w:r w:rsidR="00030CA0" w:rsidRPr="00461774">
        <w:rPr>
          <w:lang w:val="es-ES_tradnl"/>
        </w:rPr>
        <w:t xml:space="preserve"> (Esfera)</w:t>
      </w:r>
    </w:p>
    <w:p w14:paraId="51ADAA01" w14:textId="1CBD6E28" w:rsidR="00030CA0" w:rsidRPr="00461774" w:rsidRDefault="008401E0" w:rsidP="00030CA0">
      <w:pPr>
        <w:pStyle w:val="Bullet1"/>
        <w:rPr>
          <w:lang w:val="es-ES_tradnl"/>
        </w:rPr>
      </w:pPr>
      <w:r w:rsidRPr="00461774">
        <w:rPr>
          <w:lang w:val="es-ES_tradnl"/>
        </w:rPr>
        <w:t xml:space="preserve">Se debe facilitar </w:t>
      </w:r>
      <w:r w:rsidR="00030CA0" w:rsidRPr="00461774">
        <w:rPr>
          <w:lang w:val="es-ES_tradnl"/>
        </w:rPr>
        <w:t xml:space="preserve">que las personas </w:t>
      </w:r>
      <w:r w:rsidRPr="00461774">
        <w:rPr>
          <w:lang w:val="es-ES_tradnl"/>
        </w:rPr>
        <w:t xml:space="preserve">puedan </w:t>
      </w:r>
      <w:r w:rsidR="00030CA0" w:rsidRPr="00461774">
        <w:rPr>
          <w:lang w:val="es-ES_tradnl"/>
        </w:rPr>
        <w:t xml:space="preserve">presentar quejas sobre el programa con facilidad y </w:t>
      </w:r>
      <w:r w:rsidRPr="00461774">
        <w:rPr>
          <w:lang w:val="es-ES_tradnl"/>
        </w:rPr>
        <w:t xml:space="preserve">de manera segura, </w:t>
      </w:r>
      <w:r w:rsidR="00030CA0" w:rsidRPr="00461774">
        <w:rPr>
          <w:lang w:val="es-ES_tradnl"/>
        </w:rPr>
        <w:t xml:space="preserve">y establecer procedimientos transparentes y oportunos para las </w:t>
      </w:r>
      <w:r w:rsidRPr="00461774">
        <w:rPr>
          <w:lang w:val="es-ES_tradnl"/>
        </w:rPr>
        <w:t xml:space="preserve">contestaciones y </w:t>
      </w:r>
      <w:r w:rsidR="00030CA0" w:rsidRPr="00461774">
        <w:rPr>
          <w:lang w:val="es-ES_tradnl"/>
        </w:rPr>
        <w:t>acciones de respuesta</w:t>
      </w:r>
      <w:r w:rsidRPr="00461774">
        <w:rPr>
          <w:lang w:val="es-ES_tradnl"/>
        </w:rPr>
        <w:t xml:space="preserve"> </w:t>
      </w:r>
      <w:r w:rsidR="00030CA0" w:rsidRPr="00461774">
        <w:rPr>
          <w:lang w:val="es-ES_tradnl"/>
        </w:rPr>
        <w:t>(Esfera)</w:t>
      </w:r>
    </w:p>
    <w:p w14:paraId="0E5FC1E8" w14:textId="09990165" w:rsidR="00030CA0" w:rsidRPr="00461774" w:rsidRDefault="00030CA0" w:rsidP="00030CA0">
      <w:pPr>
        <w:pStyle w:val="Bullet1"/>
        <w:rPr>
          <w:lang w:val="es-ES_tradnl"/>
        </w:rPr>
      </w:pPr>
      <w:r w:rsidRPr="00461774">
        <w:rPr>
          <w:lang w:val="es-ES_tradnl"/>
        </w:rPr>
        <w:t xml:space="preserve">Asegúrese de que la retroalimentación y las quejas son objeto de seguimiento y </w:t>
      </w:r>
      <w:r w:rsidR="008401E0" w:rsidRPr="00461774">
        <w:rPr>
          <w:lang w:val="es-ES_tradnl"/>
        </w:rPr>
        <w:t xml:space="preserve">se solucionan </w:t>
      </w:r>
      <w:r w:rsidRPr="00461774">
        <w:rPr>
          <w:lang w:val="es-ES_tradnl"/>
        </w:rPr>
        <w:t>adecuadamente</w:t>
      </w:r>
    </w:p>
    <w:p w14:paraId="66DBD956" w14:textId="6CFA2E50" w:rsidR="00030CA0" w:rsidRPr="00461774" w:rsidRDefault="00030CA0" w:rsidP="00030CA0">
      <w:pPr>
        <w:pStyle w:val="Bullet1"/>
        <w:rPr>
          <w:lang w:val="es-ES_tradnl"/>
        </w:rPr>
      </w:pPr>
      <w:r w:rsidRPr="00461774">
        <w:rPr>
          <w:lang w:val="es-ES_tradnl"/>
        </w:rPr>
        <w:t xml:space="preserve">Desarrollar un mecanismo </w:t>
      </w:r>
      <w:r w:rsidR="008401E0" w:rsidRPr="00461774">
        <w:rPr>
          <w:lang w:val="es-ES_tradnl"/>
        </w:rPr>
        <w:t>de retroalimentación interna (de</w:t>
      </w:r>
      <w:r w:rsidRPr="00461774">
        <w:rPr>
          <w:lang w:val="es-ES_tradnl"/>
        </w:rPr>
        <w:t xml:space="preserve"> denuncia de irregularidades), </w:t>
      </w:r>
      <w:r w:rsidR="008401E0" w:rsidRPr="00461774">
        <w:rPr>
          <w:lang w:val="es-ES_tradnl"/>
        </w:rPr>
        <w:t xml:space="preserve">a través del cual </w:t>
      </w:r>
      <w:r w:rsidRPr="00461774">
        <w:rPr>
          <w:lang w:val="es-ES_tradnl"/>
        </w:rPr>
        <w:t xml:space="preserve">el </w:t>
      </w:r>
      <w:r w:rsidR="008401E0" w:rsidRPr="00461774">
        <w:rPr>
          <w:lang w:val="es-ES_tradnl"/>
        </w:rPr>
        <w:t>personal y los voluntarios pueda</w:t>
      </w:r>
      <w:r w:rsidRPr="00461774">
        <w:rPr>
          <w:lang w:val="es-ES_tradnl"/>
        </w:rPr>
        <w:t xml:space="preserve">n revelar </w:t>
      </w:r>
      <w:r w:rsidR="008401E0" w:rsidRPr="00461774">
        <w:rPr>
          <w:lang w:val="es-ES_tradnl"/>
        </w:rPr>
        <w:t xml:space="preserve">sus </w:t>
      </w:r>
      <w:r w:rsidRPr="00461774">
        <w:rPr>
          <w:lang w:val="es-ES_tradnl"/>
        </w:rPr>
        <w:t>sospecha</w:t>
      </w:r>
      <w:r w:rsidR="008401E0" w:rsidRPr="00461774">
        <w:rPr>
          <w:lang w:val="es-ES_tradnl"/>
        </w:rPr>
        <w:t>s sobre faltas</w:t>
      </w:r>
      <w:r w:rsidRPr="00461774">
        <w:rPr>
          <w:lang w:val="es-ES_tradnl"/>
        </w:rPr>
        <w:t xml:space="preserve"> y fraude</w:t>
      </w:r>
      <w:r w:rsidR="008401E0" w:rsidRPr="00461774">
        <w:rPr>
          <w:lang w:val="es-ES_tradnl"/>
        </w:rPr>
        <w:t>s</w:t>
      </w:r>
      <w:r w:rsidRPr="00461774">
        <w:rPr>
          <w:lang w:val="es-ES_tradnl"/>
        </w:rPr>
        <w:t>.</w:t>
      </w:r>
    </w:p>
    <w:p w14:paraId="669760CE" w14:textId="2F7FF71B" w:rsidR="00AA3D8F" w:rsidRPr="00461774" w:rsidRDefault="001C4B5C" w:rsidP="00CF28AF">
      <w:pPr>
        <w:pStyle w:val="Heading2"/>
        <w:rPr>
          <w:lang w:val="es-ES_tradnl"/>
        </w:rPr>
      </w:pPr>
      <w:r w:rsidRPr="00461774">
        <w:rPr>
          <w:lang w:val="es-ES_tradnl"/>
        </w:rPr>
        <w:t>SUB-</w:t>
      </w:r>
      <w:r w:rsidR="00704D0B" w:rsidRPr="00461774">
        <w:rPr>
          <w:lang w:val="es-ES_tradnl"/>
        </w:rPr>
        <w:t xml:space="preserve">etapas y herramientas </w:t>
      </w:r>
    </w:p>
    <w:p w14:paraId="5869ACAE" w14:textId="027C2647" w:rsidR="00B83A71" w:rsidRPr="00461774" w:rsidRDefault="001C4B5C" w:rsidP="00CF28AF">
      <w:pPr>
        <w:pStyle w:val="Heading3"/>
        <w:rPr>
          <w:lang w:val="es-ES_tradnl"/>
        </w:rPr>
      </w:pPr>
      <w:r w:rsidRPr="00461774">
        <w:rPr>
          <w:lang w:val="es-ES_tradnl"/>
        </w:rPr>
        <w:t>De</w:t>
      </w:r>
      <w:r w:rsidR="00704D0B" w:rsidRPr="00461774">
        <w:rPr>
          <w:lang w:val="es-ES_tradnl"/>
        </w:rPr>
        <w:t xml:space="preserve">sarrollar un plan de comunicación y rendición de cuentas a los beneficiarios </w:t>
      </w:r>
    </w:p>
    <w:p w14:paraId="39D45943" w14:textId="52C238AD" w:rsidR="00AA2968" w:rsidRPr="00461774" w:rsidRDefault="00AA2968" w:rsidP="00AA2968">
      <w:pPr>
        <w:rPr>
          <w:lang w:val="es-ES_tradnl"/>
        </w:rPr>
      </w:pPr>
      <w:r w:rsidRPr="00461774">
        <w:rPr>
          <w:lang w:val="es-ES_tradnl"/>
        </w:rPr>
        <w:t xml:space="preserve">Un </w:t>
      </w:r>
      <w:r w:rsidR="004C0344" w:rsidRPr="00461774">
        <w:rPr>
          <w:lang w:val="es-ES_tradnl"/>
        </w:rPr>
        <w:t xml:space="preserve">plan de </w:t>
      </w:r>
      <w:r w:rsidRPr="00461774">
        <w:rPr>
          <w:lang w:val="es-ES_tradnl"/>
        </w:rPr>
        <w:t>comunicación</w:t>
      </w:r>
      <w:r w:rsidR="004C0344" w:rsidRPr="00461774">
        <w:rPr>
          <w:lang w:val="es-ES_tradnl"/>
        </w:rPr>
        <w:t xml:space="preserve"> y rendición de cuentas a los b</w:t>
      </w:r>
      <w:r w:rsidRPr="00461774">
        <w:rPr>
          <w:lang w:val="es-ES_tradnl"/>
        </w:rPr>
        <w:t>eneficiario</w:t>
      </w:r>
      <w:r w:rsidR="004C0344" w:rsidRPr="00461774">
        <w:rPr>
          <w:lang w:val="es-ES_tradnl"/>
        </w:rPr>
        <w:t>s</w:t>
      </w:r>
      <w:r w:rsidRPr="00461774">
        <w:rPr>
          <w:lang w:val="es-ES_tradnl"/>
        </w:rPr>
        <w:t xml:space="preserve"> define el enfoque que un programa utilizará para comunicarse con las comunidades. Es posible que </w:t>
      </w:r>
      <w:r w:rsidR="004C0344" w:rsidRPr="00461774">
        <w:rPr>
          <w:lang w:val="es-ES_tradnl"/>
        </w:rPr>
        <w:t>se deban</w:t>
      </w:r>
      <w:r w:rsidRPr="00461774">
        <w:rPr>
          <w:lang w:val="es-ES_tradnl"/>
        </w:rPr>
        <w:t xml:space="preserve"> usar una variedad de actividades con el fin de lanzar su plan de comunicación. Las actividades pueden </w:t>
      </w:r>
      <w:r w:rsidR="004C0344" w:rsidRPr="00461774">
        <w:rPr>
          <w:lang w:val="es-ES_tradnl"/>
        </w:rPr>
        <w:t>puntuales</w:t>
      </w:r>
      <w:r w:rsidRPr="00461774">
        <w:rPr>
          <w:lang w:val="es-ES_tradnl"/>
        </w:rPr>
        <w:t>, periódica</w:t>
      </w:r>
      <w:r w:rsidR="004C0344" w:rsidRPr="00461774">
        <w:rPr>
          <w:lang w:val="es-ES_tradnl"/>
        </w:rPr>
        <w:t>s</w:t>
      </w:r>
      <w:r w:rsidRPr="00461774">
        <w:rPr>
          <w:lang w:val="es-ES_tradnl"/>
        </w:rPr>
        <w:t xml:space="preserve"> o continuada</w:t>
      </w:r>
      <w:r w:rsidR="004C0344" w:rsidRPr="00461774">
        <w:rPr>
          <w:lang w:val="es-ES_tradnl"/>
        </w:rPr>
        <w:t>s</w:t>
      </w:r>
      <w:r w:rsidRPr="00461774">
        <w:rPr>
          <w:lang w:val="es-ES_tradnl"/>
        </w:rPr>
        <w:t xml:space="preserve">. </w:t>
      </w:r>
      <w:r w:rsidR="004C0344" w:rsidRPr="00461774">
        <w:rPr>
          <w:lang w:val="es-ES_tradnl"/>
        </w:rPr>
        <w:t xml:space="preserve">Hay que tener </w:t>
      </w:r>
      <w:r w:rsidRPr="00461774">
        <w:rPr>
          <w:lang w:val="es-ES_tradnl"/>
        </w:rPr>
        <w:t>en cuenta el orden en el que</w:t>
      </w:r>
      <w:r w:rsidR="004C0344" w:rsidRPr="00461774">
        <w:rPr>
          <w:lang w:val="es-ES_tradnl"/>
        </w:rPr>
        <w:t xml:space="preserve"> diferentes personas necesitan</w:t>
      </w:r>
      <w:r w:rsidRPr="00461774">
        <w:rPr>
          <w:lang w:val="es-ES_tradnl"/>
        </w:rPr>
        <w:t xml:space="preserve"> conocer la información. Por ejemplo, </w:t>
      </w:r>
      <w:r w:rsidR="004C0344" w:rsidRPr="00461774">
        <w:rPr>
          <w:lang w:val="es-ES_tradnl"/>
        </w:rPr>
        <w:t xml:space="preserve">el personal necesita conocer la información antes de poder explicar el programa a los demás. </w:t>
      </w:r>
      <w:r w:rsidRPr="00461774">
        <w:rPr>
          <w:lang w:val="es-ES_tradnl"/>
        </w:rPr>
        <w:t xml:space="preserve">A menudo, los programas tienen que informar a </w:t>
      </w:r>
      <w:r w:rsidR="004C0344" w:rsidRPr="00461774">
        <w:rPr>
          <w:lang w:val="es-ES_tradnl"/>
        </w:rPr>
        <w:t xml:space="preserve">los </w:t>
      </w:r>
      <w:r w:rsidRPr="00461774">
        <w:rPr>
          <w:lang w:val="es-ES_tradnl"/>
        </w:rPr>
        <w:t xml:space="preserve">líderes de la comunidad y </w:t>
      </w:r>
      <w:r w:rsidR="004C0344" w:rsidRPr="00461774">
        <w:rPr>
          <w:lang w:val="es-ES_tradnl"/>
        </w:rPr>
        <w:t xml:space="preserve">a </w:t>
      </w:r>
      <w:r w:rsidRPr="00461774">
        <w:rPr>
          <w:lang w:val="es-ES_tradnl"/>
        </w:rPr>
        <w:t>otros grupos de la comunidad antes de informar a la comunidad en general.</w:t>
      </w:r>
    </w:p>
    <w:p w14:paraId="3BF9E1EC" w14:textId="5CC181BC" w:rsidR="004C0344" w:rsidRPr="00461774" w:rsidRDefault="00AA2968" w:rsidP="00AA2968">
      <w:pPr>
        <w:rPr>
          <w:lang w:val="es-ES_tradnl"/>
        </w:rPr>
      </w:pPr>
      <w:r w:rsidRPr="00461774">
        <w:rPr>
          <w:lang w:val="es-ES_tradnl"/>
        </w:rPr>
        <w:t xml:space="preserve">Las herramientas de </w:t>
      </w:r>
      <w:r w:rsidR="004C0344" w:rsidRPr="00461774">
        <w:rPr>
          <w:lang w:val="es-ES_tradnl"/>
        </w:rPr>
        <w:t>las sub-etapas</w:t>
      </w:r>
      <w:r w:rsidRPr="00461774">
        <w:rPr>
          <w:lang w:val="es-ES_tradnl"/>
        </w:rPr>
        <w:t xml:space="preserve"> pueden ayudar</w:t>
      </w:r>
      <w:r w:rsidR="004C0344" w:rsidRPr="00461774">
        <w:rPr>
          <w:lang w:val="es-ES_tradnl"/>
        </w:rPr>
        <w:t xml:space="preserve"> </w:t>
      </w:r>
      <w:r w:rsidRPr="00461774">
        <w:rPr>
          <w:lang w:val="es-ES_tradnl"/>
        </w:rPr>
        <w:t xml:space="preserve">a hacer y contestar las preguntas correctas durante todo el proceso, y desarrollar un plan de trabajo y el presupuesto </w:t>
      </w:r>
      <w:r w:rsidR="00E123DA" w:rsidRPr="00461774">
        <w:rPr>
          <w:lang w:val="es-ES_tradnl"/>
        </w:rPr>
        <w:t xml:space="preserve">para la comunicación y rendición de cuentas a los beneficiarios. </w:t>
      </w:r>
    </w:p>
    <w:p w14:paraId="72B3051D" w14:textId="484F3A1C" w:rsidR="00163CDE" w:rsidRPr="00461774" w:rsidRDefault="00E123DA" w:rsidP="00CF28AF">
      <w:pPr>
        <w:pStyle w:val="Heading3"/>
        <w:rPr>
          <w:lang w:val="es-ES_tradnl"/>
        </w:rPr>
      </w:pPr>
      <w:r w:rsidRPr="00461774">
        <w:rPr>
          <w:lang w:val="es-ES_tradnl"/>
        </w:rPr>
        <w:lastRenderedPageBreak/>
        <w:t>Mejorar la capacidad del personal de la organización</w:t>
      </w:r>
    </w:p>
    <w:p w14:paraId="40685275" w14:textId="45341C87" w:rsidR="00E123DA" w:rsidRPr="00461774" w:rsidRDefault="00E123DA" w:rsidP="00CF28AF">
      <w:pPr>
        <w:rPr>
          <w:lang w:val="es-ES_tradnl"/>
        </w:rPr>
      </w:pPr>
      <w:r w:rsidRPr="00461774">
        <w:rPr>
          <w:lang w:val="es-ES_tradnl"/>
        </w:rPr>
        <w:t xml:space="preserve">Dado el carácter cultural y contextual de la comunicación, </w:t>
      </w:r>
      <w:r w:rsidR="00CB29AF" w:rsidRPr="00461774">
        <w:rPr>
          <w:lang w:val="es-ES_tradnl"/>
        </w:rPr>
        <w:t>es crucial contar con voluntarios y personal local bien formado en comunicación y rendición de cuentas con los beneficiarios</w:t>
      </w:r>
      <w:r w:rsidRPr="00461774">
        <w:rPr>
          <w:lang w:val="es-ES_tradnl"/>
        </w:rPr>
        <w:t xml:space="preserve"> para garantizar </w:t>
      </w:r>
      <w:r w:rsidR="00CB29AF" w:rsidRPr="00461774">
        <w:rPr>
          <w:lang w:val="es-ES_tradnl"/>
        </w:rPr>
        <w:t>la ejecución de los programas con una</w:t>
      </w:r>
      <w:r w:rsidRPr="00461774">
        <w:rPr>
          <w:lang w:val="es-ES_tradnl"/>
        </w:rPr>
        <w:t xml:space="preserve"> buena calidad. Los esfuerzos para</w:t>
      </w:r>
      <w:r w:rsidR="00CB29AF" w:rsidRPr="00461774">
        <w:rPr>
          <w:lang w:val="es-ES_tradnl"/>
        </w:rPr>
        <w:t xml:space="preserve"> capacitar a los voluntarios y a</w:t>
      </w:r>
      <w:r w:rsidRPr="00461774">
        <w:rPr>
          <w:lang w:val="es-ES_tradnl"/>
        </w:rPr>
        <w:t xml:space="preserve">l personal </w:t>
      </w:r>
      <w:r w:rsidR="00CB29AF" w:rsidRPr="00461774">
        <w:rPr>
          <w:lang w:val="es-ES_tradnl"/>
        </w:rPr>
        <w:t xml:space="preserve">en comunicación y rendición de cuentas con los beneficiarios </w:t>
      </w:r>
      <w:r w:rsidRPr="00461774">
        <w:rPr>
          <w:lang w:val="es-ES_tradnl"/>
        </w:rPr>
        <w:t>debe abarcar todos los programas. Tale</w:t>
      </w:r>
      <w:r w:rsidR="00CB29AF" w:rsidRPr="00461774">
        <w:rPr>
          <w:lang w:val="es-ES_tradnl"/>
        </w:rPr>
        <w:t>s esfuerzos deben estar dirigido</w:t>
      </w:r>
      <w:r w:rsidRPr="00461774">
        <w:rPr>
          <w:lang w:val="es-ES_tradnl"/>
        </w:rPr>
        <w:t xml:space="preserve">s a mejorar su capacidad para comunicarse con las poblaciones afectadas y </w:t>
      </w:r>
      <w:r w:rsidR="00CB29AF" w:rsidRPr="00461774">
        <w:rPr>
          <w:lang w:val="es-ES_tradnl"/>
        </w:rPr>
        <w:t xml:space="preserve">a poder </w:t>
      </w:r>
      <w:r w:rsidRPr="00461774">
        <w:rPr>
          <w:lang w:val="es-ES_tradnl"/>
        </w:rPr>
        <w:t>us</w:t>
      </w:r>
      <w:r w:rsidR="00CB29AF" w:rsidRPr="00461774">
        <w:rPr>
          <w:lang w:val="es-ES_tradnl"/>
        </w:rPr>
        <w:t xml:space="preserve">ar </w:t>
      </w:r>
      <w:r w:rsidRPr="00461774">
        <w:rPr>
          <w:lang w:val="es-ES_tradnl"/>
        </w:rPr>
        <w:t>herramientas de gestión de la información</w:t>
      </w:r>
      <w:r w:rsidR="00CB29AF" w:rsidRPr="00461774">
        <w:rPr>
          <w:lang w:val="es-ES_tradnl"/>
        </w:rPr>
        <w:t>.</w:t>
      </w:r>
      <w:r w:rsidRPr="00461774">
        <w:rPr>
          <w:lang w:val="es-ES_tradnl"/>
        </w:rPr>
        <w:t xml:space="preserve"> </w:t>
      </w:r>
      <w:r w:rsidR="00CB29AF" w:rsidRPr="00461774">
        <w:rPr>
          <w:lang w:val="es-ES_tradnl"/>
        </w:rPr>
        <w:t>Se debe desarrollar y desplegar u</w:t>
      </w:r>
      <w:r w:rsidRPr="00461774">
        <w:rPr>
          <w:lang w:val="es-ES_tradnl"/>
        </w:rPr>
        <w:t xml:space="preserve">n programa de formación dirigido </w:t>
      </w:r>
      <w:r w:rsidR="00CB29AF" w:rsidRPr="00461774">
        <w:rPr>
          <w:lang w:val="es-ES_tradnl"/>
        </w:rPr>
        <w:t>a los voluntarios y al personal.</w:t>
      </w:r>
    </w:p>
    <w:p w14:paraId="52A09BA8" w14:textId="77777777" w:rsidR="00CB29AF" w:rsidRPr="00461774" w:rsidRDefault="00CB29AF" w:rsidP="003C6647">
      <w:pPr>
        <w:pStyle w:val="Heading3"/>
        <w:spacing w:before="0"/>
        <w:rPr>
          <w:lang w:val="es-ES_tradnl"/>
        </w:rPr>
      </w:pPr>
    </w:p>
    <w:p w14:paraId="787B2155" w14:textId="451B0533" w:rsidR="00163CDE" w:rsidRPr="00461774" w:rsidRDefault="00461774" w:rsidP="003C6647">
      <w:pPr>
        <w:pStyle w:val="Heading3"/>
        <w:spacing w:before="0"/>
        <w:rPr>
          <w:lang w:val="es-ES_tradnl"/>
        </w:rPr>
      </w:pPr>
      <w:r w:rsidRPr="00461774">
        <w:rPr>
          <w:lang w:val="es-ES_tradnl"/>
        </w:rPr>
        <w:t>Seleccionar</w:t>
      </w:r>
      <w:r w:rsidR="00CB29AF" w:rsidRPr="00461774">
        <w:rPr>
          <w:lang w:val="es-ES_tradnl"/>
        </w:rPr>
        <w:t xml:space="preserve"> canales y herramientas de comunicación </w:t>
      </w:r>
    </w:p>
    <w:p w14:paraId="26BAAA20" w14:textId="6D82D3D8" w:rsidR="00163CDE" w:rsidRPr="00461774" w:rsidRDefault="00CB29AF" w:rsidP="00CF28AF">
      <w:pPr>
        <w:rPr>
          <w:lang w:val="es-ES_tradnl"/>
        </w:rPr>
      </w:pPr>
      <w:r w:rsidRPr="00461774">
        <w:rPr>
          <w:lang w:val="es-ES_tradnl"/>
        </w:rPr>
        <w:t xml:space="preserve">El contexto, los objetivos y el público diana determinan los canales y herramientas de comunicación que serán más adecuados. Idealmente, usted debe tratar de priorizar entre dos y cuatro canales o herramientas </w:t>
      </w:r>
      <w:r w:rsidR="00461774" w:rsidRPr="00461774">
        <w:rPr>
          <w:lang w:val="es-ES_tradnl"/>
        </w:rPr>
        <w:t>(mezclando</w:t>
      </w:r>
      <w:r w:rsidRPr="00461774">
        <w:rPr>
          <w:lang w:val="es-ES_tradnl"/>
        </w:rPr>
        <w:t xml:space="preserve"> orales y escritas). </w:t>
      </w:r>
    </w:p>
    <w:p w14:paraId="621D44FF" w14:textId="1A223EED" w:rsidR="00163CDE" w:rsidRPr="00461774" w:rsidRDefault="00CB29AF" w:rsidP="00CF28AF">
      <w:pPr>
        <w:pStyle w:val="Heading3"/>
        <w:rPr>
          <w:lang w:val="es-ES_tradnl"/>
        </w:rPr>
      </w:pPr>
      <w:r w:rsidRPr="00461774">
        <w:rPr>
          <w:lang w:val="es-ES_tradnl"/>
        </w:rPr>
        <w:t>Desarrollar mensajes para las audiencias seleccionadas</w:t>
      </w:r>
    </w:p>
    <w:p w14:paraId="2464D163" w14:textId="4AC88329" w:rsidR="00CB29AF" w:rsidRPr="00461774" w:rsidRDefault="00CB29AF" w:rsidP="00CF28AF">
      <w:pPr>
        <w:rPr>
          <w:lang w:val="es-ES_tradnl"/>
        </w:rPr>
      </w:pPr>
      <w:r w:rsidRPr="00461774">
        <w:rPr>
          <w:lang w:val="es-ES_tradnl"/>
        </w:rPr>
        <w:t>En primer lugar, es necesario identificar qué grupos dentro y fuera de la comunidad pueden tener un efecto o ser afectados por las actividades del programa. A continuación, se debe definir qué comunicar a cada grupo con el fin de alcanzar los objetivos del programa. Las herramientas de las sub-etapas pueden ayudar a identificar lo que necesita ser comunicado a los diferentes públicos. En la caja de herramientas también puede encontrar una lista de preguntas frecuentes sobre el programa que el personal debe estar listo para responder y diez reglas de comunicación para comunicar con éxito con los beneficiarios.</w:t>
      </w:r>
    </w:p>
    <w:p w14:paraId="68848CEA" w14:textId="77777777" w:rsidR="00CB29AF" w:rsidRPr="00461774" w:rsidRDefault="00CB29AF" w:rsidP="000E1B37">
      <w:pPr>
        <w:spacing w:after="240"/>
        <w:rPr>
          <w:b/>
          <w:sz w:val="22"/>
          <w:szCs w:val="24"/>
          <w:lang w:val="es-ES_tradnl"/>
        </w:rPr>
      </w:pPr>
      <w:r w:rsidRPr="00461774">
        <w:rPr>
          <w:b/>
          <w:sz w:val="22"/>
          <w:szCs w:val="24"/>
          <w:lang w:val="es-ES_tradnl"/>
        </w:rPr>
        <w:t xml:space="preserve">Diseñar y establecer un mecanismo de retroalimentación y quejas </w:t>
      </w:r>
    </w:p>
    <w:p w14:paraId="02038E9C" w14:textId="3D4800B7" w:rsidR="00CB29AF" w:rsidRPr="00461774" w:rsidRDefault="00CB29AF" w:rsidP="000E1B37">
      <w:pPr>
        <w:spacing w:after="240"/>
        <w:rPr>
          <w:rFonts w:cs="Franklin Gothic Book"/>
          <w:color w:val="000000"/>
          <w:szCs w:val="22"/>
          <w:lang w:val="es-ES_tradnl"/>
        </w:rPr>
      </w:pPr>
      <w:r w:rsidRPr="00461774">
        <w:rPr>
          <w:rFonts w:cs="Franklin Gothic Book"/>
          <w:color w:val="000000"/>
          <w:szCs w:val="22"/>
          <w:lang w:val="es-ES_tradnl"/>
        </w:rPr>
        <w:t xml:space="preserve">Un plan de </w:t>
      </w:r>
      <w:r w:rsidR="00363991" w:rsidRPr="00461774">
        <w:rPr>
          <w:rFonts w:cs="Franklin Gothic Book"/>
          <w:color w:val="000000"/>
          <w:szCs w:val="22"/>
          <w:lang w:val="es-ES_tradnl"/>
        </w:rPr>
        <w:t>comunicación y rendición de cuentas con los beneficiarios de</w:t>
      </w:r>
      <w:r w:rsidRPr="00461774">
        <w:rPr>
          <w:rFonts w:cs="Franklin Gothic Book"/>
          <w:color w:val="000000"/>
          <w:szCs w:val="22"/>
          <w:lang w:val="es-ES_tradnl"/>
        </w:rPr>
        <w:t xml:space="preserve">bería garantizar </w:t>
      </w:r>
      <w:r w:rsidR="00363991" w:rsidRPr="00461774">
        <w:rPr>
          <w:rFonts w:cs="Franklin Gothic Book"/>
          <w:color w:val="000000"/>
          <w:szCs w:val="22"/>
          <w:lang w:val="es-ES_tradnl"/>
        </w:rPr>
        <w:t xml:space="preserve">el intercambio </w:t>
      </w:r>
      <w:r w:rsidR="00363991" w:rsidRPr="00461774">
        <w:rPr>
          <w:rFonts w:cs="Franklin Gothic Book"/>
          <w:color w:val="000000"/>
          <w:szCs w:val="22"/>
          <w:lang w:val="es-ES_tradnl"/>
        </w:rPr>
        <w:t>de</w:t>
      </w:r>
      <w:r w:rsidRPr="00461774">
        <w:rPr>
          <w:rFonts w:cs="Franklin Gothic Book"/>
          <w:color w:val="000000"/>
          <w:szCs w:val="22"/>
          <w:lang w:val="es-ES_tradnl"/>
        </w:rPr>
        <w:t xml:space="preserve"> información sistemática y la comunicación </w:t>
      </w:r>
      <w:r w:rsidR="00363991" w:rsidRPr="00461774">
        <w:rPr>
          <w:rFonts w:cs="Franklin Gothic Book"/>
          <w:color w:val="000000"/>
          <w:szCs w:val="22"/>
          <w:lang w:val="es-ES_tradnl"/>
        </w:rPr>
        <w:t xml:space="preserve">en dos sentidos, </w:t>
      </w:r>
      <w:r w:rsidRPr="00461774">
        <w:rPr>
          <w:rFonts w:cs="Franklin Gothic Book"/>
          <w:color w:val="000000"/>
          <w:szCs w:val="22"/>
          <w:lang w:val="es-ES_tradnl"/>
        </w:rPr>
        <w:t xml:space="preserve">la promoción del diálogo y </w:t>
      </w:r>
      <w:r w:rsidR="00363991" w:rsidRPr="00461774">
        <w:rPr>
          <w:rFonts w:cs="Franklin Gothic Book"/>
          <w:color w:val="000000"/>
          <w:szCs w:val="22"/>
          <w:lang w:val="es-ES_tradnl"/>
        </w:rPr>
        <w:t xml:space="preserve">también permitir que las </w:t>
      </w:r>
      <w:r w:rsidR="00461774" w:rsidRPr="00461774">
        <w:rPr>
          <w:rFonts w:cs="Franklin Gothic Book"/>
          <w:color w:val="000000"/>
          <w:szCs w:val="22"/>
          <w:lang w:val="es-ES_tradnl"/>
        </w:rPr>
        <w:t>organizaciones puedan</w:t>
      </w:r>
      <w:r w:rsidRPr="00461774">
        <w:rPr>
          <w:rFonts w:cs="Franklin Gothic Book"/>
          <w:color w:val="000000"/>
          <w:szCs w:val="22"/>
          <w:lang w:val="es-ES_tradnl"/>
        </w:rPr>
        <w:t xml:space="preserve"> recoger ideas, sugerencias y retroalimentación de las comunidades. Esto requiere el desarrollo de un mecanismo de queja</w:t>
      </w:r>
      <w:r w:rsidR="00363991" w:rsidRPr="00461774">
        <w:rPr>
          <w:rFonts w:cs="Franklin Gothic Book"/>
          <w:color w:val="000000"/>
          <w:szCs w:val="22"/>
          <w:lang w:val="es-ES_tradnl"/>
        </w:rPr>
        <w:t xml:space="preserve">s y </w:t>
      </w:r>
      <w:r w:rsidRPr="00461774">
        <w:rPr>
          <w:rFonts w:cs="Franklin Gothic Book"/>
          <w:color w:val="000000"/>
          <w:szCs w:val="22"/>
          <w:lang w:val="es-ES_tradnl"/>
        </w:rPr>
        <w:t>respuesta</w:t>
      </w:r>
      <w:r w:rsidR="00363991" w:rsidRPr="00461774">
        <w:rPr>
          <w:rFonts w:cs="Franklin Gothic Book"/>
          <w:color w:val="000000"/>
          <w:szCs w:val="22"/>
          <w:lang w:val="es-ES_tradnl"/>
        </w:rPr>
        <w:t xml:space="preserve">s, centrado en </w:t>
      </w:r>
      <w:r w:rsidRPr="00461774">
        <w:rPr>
          <w:rFonts w:cs="Franklin Gothic Book"/>
          <w:color w:val="000000"/>
          <w:szCs w:val="22"/>
          <w:lang w:val="es-ES_tradnl"/>
        </w:rPr>
        <w:t xml:space="preserve">la retroalimentación de los beneficiarios que deben recibir una respuesta. </w:t>
      </w:r>
      <w:r w:rsidR="00363991" w:rsidRPr="00461774">
        <w:rPr>
          <w:rFonts w:cs="Franklin Gothic Book"/>
          <w:color w:val="000000"/>
          <w:szCs w:val="22"/>
          <w:lang w:val="es-ES_tradnl"/>
        </w:rPr>
        <w:t>El término '</w:t>
      </w:r>
      <w:r w:rsidRPr="00461774">
        <w:rPr>
          <w:rFonts w:cs="Franklin Gothic Book"/>
          <w:color w:val="000000"/>
          <w:szCs w:val="22"/>
          <w:lang w:val="es-ES_tradnl"/>
        </w:rPr>
        <w:t xml:space="preserve">retroalimentación y quejas' </w:t>
      </w:r>
      <w:r w:rsidR="00363991" w:rsidRPr="00461774">
        <w:rPr>
          <w:rFonts w:cs="Franklin Gothic Book"/>
          <w:color w:val="000000"/>
          <w:szCs w:val="22"/>
          <w:lang w:val="es-ES_tradnl"/>
        </w:rPr>
        <w:t xml:space="preserve">debe </w:t>
      </w:r>
      <w:r w:rsidRPr="00461774">
        <w:rPr>
          <w:rFonts w:cs="Franklin Gothic Book"/>
          <w:color w:val="000000"/>
          <w:szCs w:val="22"/>
          <w:lang w:val="es-ES_tradnl"/>
        </w:rPr>
        <w:t xml:space="preserve">alentar </w:t>
      </w:r>
      <w:r w:rsidR="00363991" w:rsidRPr="00461774">
        <w:rPr>
          <w:rFonts w:cs="Franklin Gothic Book"/>
          <w:color w:val="000000"/>
          <w:szCs w:val="22"/>
          <w:lang w:val="es-ES_tradnl"/>
        </w:rPr>
        <w:t xml:space="preserve">tanto </w:t>
      </w:r>
      <w:r w:rsidR="00461774" w:rsidRPr="00461774">
        <w:rPr>
          <w:rFonts w:cs="Franklin Gothic Book"/>
          <w:color w:val="000000"/>
          <w:szCs w:val="22"/>
          <w:lang w:val="es-ES_tradnl"/>
        </w:rPr>
        <w:t>la retroalimentación</w:t>
      </w:r>
      <w:r w:rsidRPr="00461774">
        <w:rPr>
          <w:rFonts w:cs="Franklin Gothic Book"/>
          <w:color w:val="000000"/>
          <w:szCs w:val="22"/>
          <w:lang w:val="es-ES_tradnl"/>
        </w:rPr>
        <w:t xml:space="preserve"> positiva </w:t>
      </w:r>
      <w:r w:rsidR="00363991" w:rsidRPr="00461774">
        <w:rPr>
          <w:rFonts w:cs="Franklin Gothic Book"/>
          <w:color w:val="000000"/>
          <w:szCs w:val="22"/>
          <w:lang w:val="es-ES_tradnl"/>
        </w:rPr>
        <w:t xml:space="preserve">como </w:t>
      </w:r>
      <w:r w:rsidRPr="00461774">
        <w:rPr>
          <w:rFonts w:cs="Franklin Gothic Book"/>
          <w:color w:val="000000"/>
          <w:szCs w:val="22"/>
          <w:lang w:val="es-ES_tradnl"/>
        </w:rPr>
        <w:t>negativa.</w:t>
      </w:r>
    </w:p>
    <w:tbl>
      <w:tblPr>
        <w:tblStyle w:val="TableGray"/>
        <w:tblW w:w="0" w:type="auto"/>
        <w:tblInd w:w="142" w:type="dxa"/>
        <w:tblLook w:val="04A0" w:firstRow="1" w:lastRow="0" w:firstColumn="1" w:lastColumn="0" w:noHBand="0" w:noVBand="1"/>
      </w:tblPr>
      <w:tblGrid>
        <w:gridCol w:w="9490"/>
      </w:tblGrid>
      <w:tr w:rsidR="00E17798" w:rsidRPr="00461774" w14:paraId="6B58E4D4" w14:textId="77777777" w:rsidTr="00363991">
        <w:tc>
          <w:tcPr>
            <w:tcW w:w="9490" w:type="dxa"/>
          </w:tcPr>
          <w:p w14:paraId="1E376DDC" w14:textId="25C9E7ED" w:rsidR="00363991" w:rsidRPr="00461774" w:rsidRDefault="00363991" w:rsidP="00363991">
            <w:pPr>
              <w:pStyle w:val="ListParagraph"/>
              <w:spacing w:after="0"/>
              <w:ind w:left="425"/>
              <w:rPr>
                <w:lang w:val="es-ES_tradnl"/>
              </w:rPr>
            </w:pPr>
            <w:r w:rsidRPr="00461774">
              <w:rPr>
                <w:rFonts w:eastAsiaTheme="minorEastAsia" w:cs="Times New Roman"/>
                <w:b/>
                <w:sz w:val="22"/>
                <w:szCs w:val="20"/>
                <w:lang w:val="es-ES_tradnl"/>
              </w:rPr>
              <w:t xml:space="preserve">Los beneficios de los mecanismos de </w:t>
            </w:r>
            <w:r w:rsidRPr="00461774">
              <w:rPr>
                <w:rFonts w:eastAsiaTheme="minorEastAsia" w:cs="Times New Roman"/>
                <w:b/>
                <w:sz w:val="22"/>
                <w:szCs w:val="20"/>
                <w:lang w:val="es-ES_tradnl"/>
              </w:rPr>
              <w:t xml:space="preserve">retroalimentación </w:t>
            </w:r>
            <w:r w:rsidRPr="00461774">
              <w:rPr>
                <w:rFonts w:eastAsiaTheme="minorEastAsia" w:cs="Times New Roman"/>
                <w:b/>
                <w:sz w:val="22"/>
                <w:szCs w:val="20"/>
                <w:lang w:val="es-ES_tradnl"/>
              </w:rPr>
              <w:t>y respuesta de quejas</w:t>
            </w:r>
          </w:p>
          <w:p w14:paraId="6FC65FD9" w14:textId="77777777" w:rsidR="00363991" w:rsidRPr="00461774" w:rsidRDefault="00363991" w:rsidP="00363991">
            <w:pPr>
              <w:pStyle w:val="ListParagraph"/>
              <w:spacing w:after="0"/>
              <w:ind w:left="425"/>
              <w:rPr>
                <w:lang w:val="es-ES_tradnl"/>
              </w:rPr>
            </w:pPr>
          </w:p>
          <w:p w14:paraId="05F48A42" w14:textId="51B20D6A" w:rsidR="00363991" w:rsidRPr="00461774" w:rsidRDefault="00363991" w:rsidP="00363991">
            <w:pPr>
              <w:pStyle w:val="ListParagraph"/>
              <w:numPr>
                <w:ilvl w:val="0"/>
                <w:numId w:val="1"/>
              </w:numPr>
              <w:spacing w:after="0"/>
              <w:rPr>
                <w:lang w:val="es-ES_tradnl"/>
              </w:rPr>
            </w:pPr>
            <w:r w:rsidRPr="00461774">
              <w:rPr>
                <w:lang w:val="es-ES_tradnl"/>
              </w:rPr>
              <w:t>Reconoce</w:t>
            </w:r>
            <w:r w:rsidRPr="00461774">
              <w:rPr>
                <w:lang w:val="es-ES_tradnl"/>
              </w:rPr>
              <w:t xml:space="preserve"> la dignidad y los derechos de los beneficiarios del proyecto, incluido el derecho a expresar sus opiniones e inquietudes</w:t>
            </w:r>
          </w:p>
          <w:p w14:paraId="36B97AAB" w14:textId="77777777" w:rsidR="005655C5" w:rsidRPr="00461774" w:rsidRDefault="005655C5" w:rsidP="005655C5">
            <w:pPr>
              <w:pStyle w:val="ListParagraph"/>
              <w:spacing w:after="0"/>
              <w:rPr>
                <w:lang w:val="es-ES_tradnl"/>
              </w:rPr>
            </w:pPr>
          </w:p>
          <w:p w14:paraId="1168C6A5" w14:textId="176B5964" w:rsidR="00363991" w:rsidRPr="00461774" w:rsidRDefault="005655C5" w:rsidP="00363991">
            <w:pPr>
              <w:pStyle w:val="ListParagraph"/>
              <w:numPr>
                <w:ilvl w:val="0"/>
                <w:numId w:val="1"/>
              </w:numPr>
              <w:spacing w:after="0"/>
              <w:rPr>
                <w:lang w:val="es-ES_tradnl"/>
              </w:rPr>
            </w:pPr>
            <w:r w:rsidRPr="00461774">
              <w:rPr>
                <w:lang w:val="es-ES_tradnl"/>
              </w:rPr>
              <w:t>Mejora la rendición de cuentas con</w:t>
            </w:r>
            <w:r w:rsidR="00363991" w:rsidRPr="00461774">
              <w:rPr>
                <w:lang w:val="es-ES_tradnl"/>
              </w:rPr>
              <w:t xml:space="preserve"> las comu</w:t>
            </w:r>
            <w:r w:rsidRPr="00461774">
              <w:rPr>
                <w:lang w:val="es-ES_tradnl"/>
              </w:rPr>
              <w:t>nidades que están siendo apoyada</w:t>
            </w:r>
            <w:r w:rsidR="00363991" w:rsidRPr="00461774">
              <w:rPr>
                <w:lang w:val="es-ES_tradnl"/>
              </w:rPr>
              <w:t xml:space="preserve">s y </w:t>
            </w:r>
            <w:r w:rsidRPr="00461774">
              <w:rPr>
                <w:lang w:val="es-ES_tradnl"/>
              </w:rPr>
              <w:t xml:space="preserve">con </w:t>
            </w:r>
            <w:r w:rsidR="00363991" w:rsidRPr="00461774">
              <w:rPr>
                <w:lang w:val="es-ES_tradnl"/>
              </w:rPr>
              <w:t>otras partes interesadas</w:t>
            </w:r>
          </w:p>
          <w:p w14:paraId="49CECCA8" w14:textId="77777777" w:rsidR="005655C5" w:rsidRPr="00461774" w:rsidRDefault="005655C5" w:rsidP="005655C5">
            <w:pPr>
              <w:pStyle w:val="ListParagraph"/>
              <w:rPr>
                <w:lang w:val="es-ES_tradnl"/>
              </w:rPr>
            </w:pPr>
          </w:p>
          <w:p w14:paraId="7B99520C" w14:textId="689D5968" w:rsidR="00363991" w:rsidRPr="00461774" w:rsidRDefault="005655C5" w:rsidP="00363991">
            <w:pPr>
              <w:pStyle w:val="ListParagraph"/>
              <w:numPr>
                <w:ilvl w:val="0"/>
                <w:numId w:val="1"/>
              </w:numPr>
              <w:spacing w:after="0"/>
              <w:rPr>
                <w:lang w:val="es-ES_tradnl"/>
              </w:rPr>
            </w:pPr>
            <w:r w:rsidRPr="00461774">
              <w:rPr>
                <w:lang w:val="es-ES_tradnl"/>
              </w:rPr>
              <w:t>Permite</w:t>
            </w:r>
            <w:r w:rsidR="00363991" w:rsidRPr="00461774">
              <w:rPr>
                <w:lang w:val="es-ES_tradnl"/>
              </w:rPr>
              <w:t xml:space="preserve"> la identificación temprana y la gestión de los problemas y riesgos</w:t>
            </w:r>
          </w:p>
          <w:p w14:paraId="096B5E54" w14:textId="77777777" w:rsidR="005655C5" w:rsidRPr="00461774" w:rsidRDefault="005655C5" w:rsidP="005655C5">
            <w:pPr>
              <w:pStyle w:val="ListParagraph"/>
              <w:rPr>
                <w:lang w:val="es-ES_tradnl"/>
              </w:rPr>
            </w:pPr>
          </w:p>
          <w:p w14:paraId="43ED99B5" w14:textId="1B4E942D" w:rsidR="00363991" w:rsidRPr="00461774" w:rsidRDefault="005655C5" w:rsidP="00363991">
            <w:pPr>
              <w:pStyle w:val="ListParagraph"/>
              <w:numPr>
                <w:ilvl w:val="0"/>
                <w:numId w:val="1"/>
              </w:numPr>
              <w:spacing w:after="0"/>
              <w:rPr>
                <w:lang w:val="es-ES_tradnl"/>
              </w:rPr>
            </w:pPr>
            <w:r w:rsidRPr="00461774">
              <w:rPr>
                <w:lang w:val="es-ES_tradnl"/>
              </w:rPr>
              <w:t>Mejora</w:t>
            </w:r>
            <w:r w:rsidR="00363991" w:rsidRPr="00461774">
              <w:rPr>
                <w:lang w:val="es-ES_tradnl"/>
              </w:rPr>
              <w:t xml:space="preserve"> la protección del personal, proporcionándoles una forma de investigar y responder a las cuestiones</w:t>
            </w:r>
          </w:p>
          <w:p w14:paraId="31B1D6CE" w14:textId="77777777" w:rsidR="005655C5" w:rsidRPr="00461774" w:rsidRDefault="005655C5" w:rsidP="005655C5">
            <w:pPr>
              <w:pStyle w:val="ListParagraph"/>
              <w:rPr>
                <w:lang w:val="es-ES_tradnl"/>
              </w:rPr>
            </w:pPr>
          </w:p>
          <w:p w14:paraId="0D2E9EA2" w14:textId="3A15056D" w:rsidR="00363991" w:rsidRPr="00461774" w:rsidRDefault="005655C5" w:rsidP="00363991">
            <w:pPr>
              <w:pStyle w:val="ListParagraph"/>
              <w:numPr>
                <w:ilvl w:val="0"/>
                <w:numId w:val="1"/>
              </w:numPr>
              <w:spacing w:after="0"/>
              <w:rPr>
                <w:lang w:val="es-ES_tradnl"/>
              </w:rPr>
            </w:pPr>
            <w:r w:rsidRPr="00461774">
              <w:rPr>
                <w:lang w:val="es-ES_tradnl"/>
              </w:rPr>
              <w:t>Mejora</w:t>
            </w:r>
            <w:r w:rsidR="00363991" w:rsidRPr="00461774">
              <w:rPr>
                <w:lang w:val="es-ES_tradnl"/>
              </w:rPr>
              <w:t xml:space="preserve"> la protección de las Sociedades Nacionales </w:t>
            </w:r>
            <w:r w:rsidRPr="00461774">
              <w:rPr>
                <w:lang w:val="es-ES_tradnl"/>
              </w:rPr>
              <w:t xml:space="preserve">frente a </w:t>
            </w:r>
            <w:r w:rsidR="00363991" w:rsidRPr="00461774">
              <w:rPr>
                <w:lang w:val="es-ES_tradnl"/>
              </w:rPr>
              <w:t>rumores y especulaciones sin verificar</w:t>
            </w:r>
          </w:p>
          <w:p w14:paraId="4D9FA69F" w14:textId="77777777" w:rsidR="005655C5" w:rsidRPr="00461774" w:rsidRDefault="005655C5" w:rsidP="005655C5">
            <w:pPr>
              <w:pStyle w:val="ListParagraph"/>
              <w:rPr>
                <w:lang w:val="es-ES_tradnl"/>
              </w:rPr>
            </w:pPr>
          </w:p>
          <w:p w14:paraId="50885337" w14:textId="568E84D2" w:rsidR="00363991" w:rsidRPr="00461774" w:rsidRDefault="00461774" w:rsidP="00363991">
            <w:pPr>
              <w:pStyle w:val="ListParagraph"/>
              <w:numPr>
                <w:ilvl w:val="0"/>
                <w:numId w:val="1"/>
              </w:numPr>
              <w:spacing w:after="0"/>
              <w:rPr>
                <w:lang w:val="es-ES_tradnl"/>
              </w:rPr>
            </w:pPr>
            <w:r w:rsidRPr="00461774">
              <w:rPr>
                <w:lang w:val="es-ES_tradnl"/>
              </w:rPr>
              <w:t>Demuestra competencia</w:t>
            </w:r>
            <w:r w:rsidR="005655C5" w:rsidRPr="00461774">
              <w:rPr>
                <w:lang w:val="es-ES_tradnl"/>
              </w:rPr>
              <w:t xml:space="preserve"> </w:t>
            </w:r>
            <w:r w:rsidRPr="00461774">
              <w:rPr>
                <w:lang w:val="es-ES_tradnl"/>
              </w:rPr>
              <w:t>y transparencia</w:t>
            </w:r>
            <w:r w:rsidR="00363991" w:rsidRPr="00461774">
              <w:rPr>
                <w:lang w:val="es-ES_tradnl"/>
              </w:rPr>
              <w:t xml:space="preserve"> </w:t>
            </w:r>
            <w:r w:rsidR="005655C5" w:rsidRPr="00461774">
              <w:rPr>
                <w:lang w:val="es-ES_tradnl"/>
              </w:rPr>
              <w:t xml:space="preserve">de cara a los </w:t>
            </w:r>
            <w:r w:rsidR="00363991" w:rsidRPr="00461774">
              <w:rPr>
                <w:lang w:val="es-ES_tradnl"/>
              </w:rPr>
              <w:t>donantes</w:t>
            </w:r>
          </w:p>
          <w:p w14:paraId="6F350DF5" w14:textId="77777777" w:rsidR="005655C5" w:rsidRPr="00461774" w:rsidRDefault="005655C5" w:rsidP="005655C5">
            <w:pPr>
              <w:pStyle w:val="ListParagraph"/>
              <w:rPr>
                <w:lang w:val="es-ES_tradnl"/>
              </w:rPr>
            </w:pPr>
          </w:p>
          <w:p w14:paraId="3B423EF7" w14:textId="4D58985A" w:rsidR="005655C5" w:rsidRPr="00461774" w:rsidRDefault="005655C5" w:rsidP="00363991">
            <w:pPr>
              <w:pStyle w:val="ListParagraph"/>
              <w:numPr>
                <w:ilvl w:val="0"/>
                <w:numId w:val="1"/>
              </w:numPr>
              <w:spacing w:after="0"/>
              <w:rPr>
                <w:lang w:val="es-ES_tradnl"/>
              </w:rPr>
            </w:pPr>
            <w:r w:rsidRPr="00461774">
              <w:rPr>
                <w:lang w:val="es-ES_tradnl"/>
              </w:rPr>
              <w:t>Promueve</w:t>
            </w:r>
            <w:r w:rsidR="00363991" w:rsidRPr="00461774">
              <w:rPr>
                <w:lang w:val="es-ES_tradnl"/>
              </w:rPr>
              <w:t xml:space="preserve"> el aprendizaje y la mejora continua</w:t>
            </w:r>
          </w:p>
          <w:p w14:paraId="41529FCA" w14:textId="77777777" w:rsidR="003C6647" w:rsidRPr="00461774" w:rsidRDefault="003C6647" w:rsidP="003C6647">
            <w:pPr>
              <w:pStyle w:val="ListParagraph"/>
              <w:spacing w:after="0"/>
              <w:ind w:left="426"/>
              <w:rPr>
                <w:lang w:val="es-ES_tradnl"/>
              </w:rPr>
            </w:pPr>
          </w:p>
          <w:p w14:paraId="28EB70F3" w14:textId="7EE9F395" w:rsidR="00E17798" w:rsidRPr="00461774" w:rsidRDefault="00E17798" w:rsidP="005655C5">
            <w:pPr>
              <w:pStyle w:val="ListParagraph"/>
              <w:spacing w:after="0"/>
              <w:ind w:left="426"/>
              <w:rPr>
                <w:lang w:val="es-ES_tradnl"/>
              </w:rPr>
            </w:pPr>
          </w:p>
        </w:tc>
      </w:tr>
    </w:tbl>
    <w:p w14:paraId="7CE5BF7E" w14:textId="2799573D" w:rsidR="005655C5" w:rsidRPr="00461774" w:rsidRDefault="005655C5" w:rsidP="003C6647">
      <w:pPr>
        <w:spacing w:before="480"/>
        <w:rPr>
          <w:lang w:val="es-ES_tradnl"/>
        </w:rPr>
      </w:pPr>
      <w:r w:rsidRPr="00461774">
        <w:rPr>
          <w:lang w:val="es-ES_tradnl"/>
        </w:rPr>
        <w:t>Entre las herramientas puestas a disposición en esta sub-etapa encontrará los elementos clave a considerar antes y durante el diseño, para la creación de un exitosa comunicación y rendición de cuentas con los beneficiarios, así como herramientas prácticas basadas en las herramientas utilizadas por la Cruz Roja Libanesa CRM, que puede servir como base para el desarrollo de sus propias herramientas y procedimientos.</w:t>
      </w:r>
    </w:p>
    <w:p w14:paraId="14FCB40D" w14:textId="557E76D6" w:rsidR="004E5AAA" w:rsidRPr="00461774" w:rsidRDefault="005655C5" w:rsidP="00CF28AF">
      <w:pPr>
        <w:rPr>
          <w:szCs w:val="30"/>
          <w:lang w:val="es-ES_tradnl"/>
        </w:rPr>
      </w:pPr>
      <w:r w:rsidRPr="00461774">
        <w:rPr>
          <w:lang w:val="es-ES_tradnl"/>
        </w:rPr>
        <w:lastRenderedPageBreak/>
        <w:t xml:space="preserve">Además de un sistema centrado en la retroalimentación de los beneficiarios, también se debe poner en marcha un sistema que permita a los voluntarios y al personal </w:t>
      </w:r>
      <w:r w:rsidR="00461774" w:rsidRPr="00461774">
        <w:rPr>
          <w:lang w:val="es-ES_tradnl"/>
        </w:rPr>
        <w:t>revelar</w:t>
      </w:r>
      <w:r w:rsidRPr="00461774">
        <w:rPr>
          <w:lang w:val="es-ES_tradnl"/>
        </w:rPr>
        <w:t xml:space="preserve"> sospechas sobre errores y fraude. Esto es</w:t>
      </w:r>
      <w:r w:rsidR="00461774" w:rsidRPr="00461774">
        <w:rPr>
          <w:lang w:val="es-ES_tradnl"/>
        </w:rPr>
        <w:t xml:space="preserve"> extremadamente importante en los PTE ya que l</w:t>
      </w:r>
      <w:r w:rsidRPr="00461774">
        <w:rPr>
          <w:lang w:val="es-ES_tradnl"/>
        </w:rPr>
        <w:t>a gestión de grandes sumas de dinero en efectivo puede presentar amenazas.</w:t>
      </w:r>
      <w:r w:rsidR="001C4B5C" w:rsidRPr="00461774">
        <w:rPr>
          <w:szCs w:val="30"/>
          <w:lang w:val="es-ES_tradnl"/>
        </w:rPr>
        <w:t xml:space="preserve"> </w:t>
      </w:r>
    </w:p>
    <w:p w14:paraId="3D940EC5" w14:textId="015689C8" w:rsidR="00093556" w:rsidRPr="00461774" w:rsidRDefault="00461774" w:rsidP="00CF28AF">
      <w:pPr>
        <w:pStyle w:val="Heading3"/>
        <w:rPr>
          <w:lang w:val="es-ES_tradnl"/>
        </w:rPr>
      </w:pPr>
      <w:r w:rsidRPr="00461774">
        <w:rPr>
          <w:lang w:val="es-ES_tradnl"/>
        </w:rPr>
        <w:t>Revisar y aprender</w:t>
      </w:r>
    </w:p>
    <w:p w14:paraId="7407704F" w14:textId="1373219E" w:rsidR="001A2B87" w:rsidRPr="00461774" w:rsidRDefault="00461774" w:rsidP="00C17CED">
      <w:pPr>
        <w:rPr>
          <w:lang w:val="es-ES_tradnl"/>
        </w:rPr>
      </w:pPr>
      <w:r w:rsidRPr="00461774">
        <w:rPr>
          <w:lang w:val="es-ES_tradnl"/>
        </w:rPr>
        <w:t xml:space="preserve">Se puede acometer la revisión del sistema de comunicación y rendición de cuentas a los beneficiarios de manera aislada o como parte de la revisión de todo el programa. Antes de implementar el plan, </w:t>
      </w:r>
      <w:r w:rsidRPr="00461774">
        <w:rPr>
          <w:lang w:val="es-ES_tradnl"/>
        </w:rPr>
        <w:t xml:space="preserve">el </w:t>
      </w:r>
      <w:bookmarkStart w:id="0" w:name="_GoBack"/>
      <w:bookmarkEnd w:id="0"/>
      <w:r w:rsidRPr="00461774">
        <w:rPr>
          <w:lang w:val="es-ES_tradnl"/>
        </w:rPr>
        <w:t xml:space="preserve">equipo debe decidir cómo y cuándo se debe revisar el plan de comunicación y rendición de cuentas a los beneficiarios. Esto recuerda al personal la importancia de ir aprendiendo y mejorando a lo largo del tiempo. </w:t>
      </w:r>
    </w:p>
    <w:tbl>
      <w:tblPr>
        <w:tblStyle w:val="TableGray"/>
        <w:tblW w:w="0" w:type="auto"/>
        <w:tblInd w:w="142" w:type="dxa"/>
        <w:tblLayout w:type="fixed"/>
        <w:tblLook w:val="04A0" w:firstRow="1" w:lastRow="0" w:firstColumn="1" w:lastColumn="0" w:noHBand="0" w:noVBand="1"/>
      </w:tblPr>
      <w:tblGrid>
        <w:gridCol w:w="9639"/>
      </w:tblGrid>
      <w:tr w:rsidR="00E17798" w:rsidRPr="00461774" w14:paraId="2E5C7701" w14:textId="77777777" w:rsidTr="000E1B37">
        <w:tc>
          <w:tcPr>
            <w:tcW w:w="9639" w:type="dxa"/>
          </w:tcPr>
          <w:p w14:paraId="39DB83E6" w14:textId="7F4531B9" w:rsidR="00E17798" w:rsidRPr="00461774" w:rsidRDefault="00461774" w:rsidP="000E1B37">
            <w:pPr>
              <w:pStyle w:val="RefTitre"/>
              <w:keepNext/>
              <w:rPr>
                <w:lang w:val="es-ES_tradnl"/>
              </w:rPr>
            </w:pPr>
            <w:r w:rsidRPr="00461774">
              <w:rPr>
                <w:lang w:val="es-ES_tradnl"/>
              </w:rPr>
              <w:t>DOCUMENT</w:t>
            </w:r>
            <w:r w:rsidRPr="00461774">
              <w:rPr>
                <w:lang w:val="es-ES_tradnl"/>
              </w:rPr>
              <w:t>O</w:t>
            </w:r>
            <w:r w:rsidRPr="00461774">
              <w:rPr>
                <w:lang w:val="es-ES_tradnl"/>
              </w:rPr>
              <w:t>S</w:t>
            </w:r>
            <w:r w:rsidRPr="00461774">
              <w:rPr>
                <w:lang w:val="es-ES_tradnl"/>
              </w:rPr>
              <w:t xml:space="preserve"> DE </w:t>
            </w:r>
            <w:r w:rsidR="00E17798" w:rsidRPr="00461774">
              <w:rPr>
                <w:lang w:val="es-ES_tradnl"/>
              </w:rPr>
              <w:t>REFERENC</w:t>
            </w:r>
            <w:r w:rsidRPr="00461774">
              <w:rPr>
                <w:lang w:val="es-ES_tradnl"/>
              </w:rPr>
              <w:t>IA</w:t>
            </w:r>
            <w:r w:rsidR="00E17798" w:rsidRPr="00461774">
              <w:rPr>
                <w:lang w:val="es-ES_tradnl"/>
              </w:rPr>
              <w:t xml:space="preserve"> </w:t>
            </w:r>
          </w:p>
          <w:p w14:paraId="355FF150" w14:textId="77777777" w:rsidR="00E17798" w:rsidRPr="00461774" w:rsidRDefault="00E17798" w:rsidP="000E1B37">
            <w:pPr>
              <w:pStyle w:val="RefItem1"/>
              <w:keepNext/>
              <w:rPr>
                <w:color w:val="0000FF"/>
                <w:u w:val="single"/>
                <w:lang w:val="es-ES_tradnl"/>
              </w:rPr>
            </w:pPr>
            <w:proofErr w:type="spellStart"/>
            <w:r w:rsidRPr="00461774">
              <w:rPr>
                <w:lang w:val="es-ES_tradnl"/>
              </w:rPr>
              <w:t>Beneficiary</w:t>
            </w:r>
            <w:proofErr w:type="spellEnd"/>
            <w:r w:rsidRPr="00461774">
              <w:rPr>
                <w:lang w:val="es-ES_tradnl"/>
              </w:rPr>
              <w:t xml:space="preserve"> </w:t>
            </w:r>
            <w:proofErr w:type="spellStart"/>
            <w:r w:rsidRPr="00461774">
              <w:rPr>
                <w:lang w:val="es-ES_tradnl"/>
              </w:rPr>
              <w:t>Communication</w:t>
            </w:r>
            <w:proofErr w:type="spellEnd"/>
            <w:r w:rsidRPr="00461774">
              <w:rPr>
                <w:lang w:val="es-ES_tradnl"/>
              </w:rPr>
              <w:t xml:space="preserve"> and </w:t>
            </w:r>
            <w:proofErr w:type="spellStart"/>
            <w:r w:rsidRPr="00461774">
              <w:rPr>
                <w:lang w:val="es-ES_tradnl"/>
              </w:rPr>
              <w:t>Accountability</w:t>
            </w:r>
            <w:proofErr w:type="spellEnd"/>
            <w:r w:rsidRPr="00461774">
              <w:rPr>
                <w:lang w:val="es-ES_tradnl"/>
              </w:rPr>
              <w:t xml:space="preserve"> (IFRC) </w:t>
            </w:r>
            <w:hyperlink r:id="rId7" w:history="1">
              <w:r w:rsidRPr="00461774">
                <w:rPr>
                  <w:rStyle w:val="Hyperlink"/>
                  <w:rFonts w:eastAsia="Times New Roman"/>
                  <w:szCs w:val="22"/>
                  <w:lang w:val="es-ES_tradnl"/>
                </w:rPr>
                <w:t>htpp://www.ifrc.org/PageFiles/94411/IFRC%20BCA%20Lesson%20Learned%20doc_final.pdf</w:t>
              </w:r>
            </w:hyperlink>
          </w:p>
          <w:p w14:paraId="3CB94CF9" w14:textId="77777777" w:rsidR="00E17798" w:rsidRPr="00461774" w:rsidRDefault="00E17798" w:rsidP="000E1B37">
            <w:pPr>
              <w:pStyle w:val="RefItem1"/>
              <w:keepNext/>
              <w:rPr>
                <w:color w:val="0000FF"/>
                <w:lang w:val="es-ES_tradnl"/>
              </w:rPr>
            </w:pPr>
            <w:proofErr w:type="spellStart"/>
            <w:r w:rsidRPr="00461774">
              <w:rPr>
                <w:lang w:val="es-ES_tradnl"/>
              </w:rPr>
              <w:t>Communicating</w:t>
            </w:r>
            <w:proofErr w:type="spellEnd"/>
            <w:r w:rsidRPr="00461774">
              <w:rPr>
                <w:lang w:val="es-ES_tradnl"/>
              </w:rPr>
              <w:t xml:space="preserve"> cash: A </w:t>
            </w:r>
            <w:proofErr w:type="spellStart"/>
            <w:r w:rsidRPr="00461774">
              <w:rPr>
                <w:lang w:val="es-ES_tradnl"/>
              </w:rPr>
              <w:t>field</w:t>
            </w:r>
            <w:proofErr w:type="spellEnd"/>
            <w:r w:rsidRPr="00461774">
              <w:rPr>
                <w:lang w:val="es-ES_tradnl"/>
              </w:rPr>
              <w:t xml:space="preserve"> </w:t>
            </w:r>
            <w:proofErr w:type="spellStart"/>
            <w:r w:rsidRPr="00461774">
              <w:rPr>
                <w:lang w:val="es-ES_tradnl"/>
              </w:rPr>
              <w:t>guide</w:t>
            </w:r>
            <w:proofErr w:type="spellEnd"/>
            <w:r w:rsidRPr="00461774">
              <w:rPr>
                <w:lang w:val="es-ES_tradnl"/>
              </w:rPr>
              <w:t xml:space="preserve"> to </w:t>
            </w:r>
            <w:proofErr w:type="spellStart"/>
            <w:r w:rsidRPr="00461774">
              <w:rPr>
                <w:lang w:val="es-ES_tradnl"/>
              </w:rPr>
              <w:t>beneficiary</w:t>
            </w:r>
            <w:proofErr w:type="spellEnd"/>
            <w:r w:rsidRPr="00461774">
              <w:rPr>
                <w:lang w:val="es-ES_tradnl"/>
              </w:rPr>
              <w:t xml:space="preserve"> </w:t>
            </w:r>
            <w:proofErr w:type="spellStart"/>
            <w:r w:rsidRPr="00461774">
              <w:rPr>
                <w:lang w:val="es-ES_tradnl"/>
              </w:rPr>
              <w:t>communications</w:t>
            </w:r>
            <w:proofErr w:type="spellEnd"/>
            <w:r w:rsidRPr="00461774">
              <w:rPr>
                <w:lang w:val="es-ES_tradnl"/>
              </w:rPr>
              <w:t xml:space="preserve"> in cash transfer </w:t>
            </w:r>
            <w:proofErr w:type="spellStart"/>
            <w:r w:rsidRPr="00461774">
              <w:rPr>
                <w:lang w:val="es-ES_tradnl"/>
              </w:rPr>
              <w:t>programming</w:t>
            </w:r>
            <w:proofErr w:type="spellEnd"/>
            <w:r w:rsidRPr="00461774">
              <w:rPr>
                <w:lang w:val="es-ES_tradnl"/>
              </w:rPr>
              <w:t xml:space="preserve">. </w:t>
            </w:r>
            <w:proofErr w:type="spellStart"/>
            <w:r w:rsidRPr="00461774">
              <w:rPr>
                <w:lang w:val="es-ES_tradnl"/>
              </w:rPr>
              <w:t>CaLP</w:t>
            </w:r>
            <w:proofErr w:type="spellEnd"/>
            <w:r w:rsidRPr="00461774">
              <w:rPr>
                <w:lang w:val="es-ES_tradnl"/>
              </w:rPr>
              <w:t xml:space="preserve"> (2011)</w:t>
            </w:r>
            <w:r w:rsidRPr="00461774">
              <w:rPr>
                <w:color w:val="0000FF"/>
                <w:lang w:val="es-ES_tradnl"/>
              </w:rPr>
              <w:t xml:space="preserve"> </w:t>
            </w:r>
            <w:hyperlink r:id="rId8" w:history="1">
              <w:r w:rsidRPr="00461774">
                <w:rPr>
                  <w:rStyle w:val="Hyperlink"/>
                  <w:rFonts w:eastAsia="Times New Roman"/>
                  <w:szCs w:val="22"/>
                  <w:lang w:val="es-ES_tradnl"/>
                </w:rPr>
                <w:t>htpp://www.cashlearning.org/resources/library/28-communicating-cash-a-field-guide-to-beneficiary-communications-in-cash-transfer-programmeming-screen-version</w:t>
              </w:r>
            </w:hyperlink>
          </w:p>
          <w:p w14:paraId="2BCACE2A" w14:textId="77777777" w:rsidR="00E17798" w:rsidRPr="00461774" w:rsidRDefault="00E17798" w:rsidP="000E1B37">
            <w:pPr>
              <w:pStyle w:val="RefItem1"/>
              <w:keepNext/>
              <w:rPr>
                <w:lang w:val="es-ES_tradnl"/>
              </w:rPr>
            </w:pPr>
            <w:proofErr w:type="spellStart"/>
            <w:r w:rsidRPr="00461774">
              <w:rPr>
                <w:lang w:val="es-ES_tradnl"/>
              </w:rPr>
              <w:t>Develop</w:t>
            </w:r>
            <w:proofErr w:type="spellEnd"/>
            <w:r w:rsidRPr="00461774">
              <w:rPr>
                <w:lang w:val="es-ES_tradnl"/>
              </w:rPr>
              <w:t xml:space="preserve"> a </w:t>
            </w:r>
            <w:proofErr w:type="spellStart"/>
            <w:r w:rsidRPr="00461774">
              <w:rPr>
                <w:lang w:val="es-ES_tradnl"/>
              </w:rPr>
              <w:t>communication</w:t>
            </w:r>
            <w:proofErr w:type="spellEnd"/>
            <w:r w:rsidRPr="00461774">
              <w:rPr>
                <w:lang w:val="es-ES_tradnl"/>
              </w:rPr>
              <w:t xml:space="preserve"> plan in </w:t>
            </w:r>
            <w:proofErr w:type="spellStart"/>
            <w:r w:rsidRPr="00461774">
              <w:rPr>
                <w:lang w:val="es-ES_tradnl"/>
              </w:rPr>
              <w:t>nine</w:t>
            </w:r>
            <w:proofErr w:type="spellEnd"/>
            <w:r w:rsidRPr="00461774">
              <w:rPr>
                <w:lang w:val="es-ES_tradnl"/>
              </w:rPr>
              <w:t xml:space="preserve"> </w:t>
            </w:r>
            <w:proofErr w:type="spellStart"/>
            <w:r w:rsidRPr="00461774">
              <w:rPr>
                <w:lang w:val="es-ES_tradnl"/>
              </w:rPr>
              <w:t>steps</w:t>
            </w:r>
            <w:proofErr w:type="spellEnd"/>
            <w:r w:rsidRPr="00461774">
              <w:rPr>
                <w:lang w:val="es-ES_tradnl"/>
              </w:rPr>
              <w:t xml:space="preserve">. </w:t>
            </w:r>
            <w:proofErr w:type="spellStart"/>
            <w:r w:rsidRPr="00461774">
              <w:rPr>
                <w:lang w:val="es-ES_tradnl"/>
              </w:rPr>
              <w:t>Communication</w:t>
            </w:r>
            <w:proofErr w:type="spellEnd"/>
            <w:r w:rsidRPr="00461774">
              <w:rPr>
                <w:lang w:val="es-ES_tradnl"/>
              </w:rPr>
              <w:t xml:space="preserve"> </w:t>
            </w:r>
            <w:proofErr w:type="spellStart"/>
            <w:r w:rsidRPr="00461774">
              <w:rPr>
                <w:lang w:val="es-ES_tradnl"/>
              </w:rPr>
              <w:t>toolbox</w:t>
            </w:r>
            <w:proofErr w:type="spellEnd"/>
            <w:r w:rsidRPr="00461774">
              <w:rPr>
                <w:lang w:val="es-ES_tradnl"/>
              </w:rPr>
              <w:t xml:space="preserve"> CRS. </w:t>
            </w:r>
            <w:hyperlink r:id="rId9" w:history="1">
              <w:r w:rsidRPr="00461774">
                <w:rPr>
                  <w:rStyle w:val="Hyperlink"/>
                  <w:rFonts w:eastAsia="Times New Roman"/>
                  <w:szCs w:val="22"/>
                  <w:lang w:val="es-ES_tradnl"/>
                </w:rPr>
                <w:t>htpp://www.crsprogrammequality.org/storage/pubs/general/communication-toolbox-template-develop-a-communication-plan.pdf</w:t>
              </w:r>
            </w:hyperlink>
            <w:r w:rsidRPr="00461774">
              <w:rPr>
                <w:lang w:val="es-ES_tradnl"/>
              </w:rPr>
              <w:t xml:space="preserve"> </w:t>
            </w:r>
          </w:p>
          <w:p w14:paraId="6A648C04" w14:textId="1605C911" w:rsidR="00E17798" w:rsidRPr="00461774" w:rsidRDefault="00E17798" w:rsidP="000E1B37">
            <w:pPr>
              <w:pStyle w:val="RefItem1"/>
              <w:keepNext/>
              <w:rPr>
                <w:lang w:val="es-ES_tradnl"/>
              </w:rPr>
            </w:pPr>
            <w:proofErr w:type="spellStart"/>
            <w:r w:rsidRPr="00461774">
              <w:rPr>
                <w:lang w:val="es-ES_tradnl"/>
              </w:rPr>
              <w:t>Setting</w:t>
            </w:r>
            <w:proofErr w:type="spellEnd"/>
            <w:r w:rsidRPr="00461774">
              <w:rPr>
                <w:lang w:val="es-ES_tradnl"/>
              </w:rPr>
              <w:t xml:space="preserve"> up </w:t>
            </w:r>
            <w:proofErr w:type="spellStart"/>
            <w:r w:rsidRPr="00461774">
              <w:rPr>
                <w:lang w:val="es-ES_tradnl"/>
              </w:rPr>
              <w:t>Complaints</w:t>
            </w:r>
            <w:proofErr w:type="spellEnd"/>
            <w:r w:rsidRPr="00461774">
              <w:rPr>
                <w:lang w:val="es-ES_tradnl"/>
              </w:rPr>
              <w:t xml:space="preserve"> Response </w:t>
            </w:r>
            <w:proofErr w:type="spellStart"/>
            <w:r w:rsidRPr="00461774">
              <w:rPr>
                <w:lang w:val="es-ES_tradnl"/>
              </w:rPr>
              <w:t>Mechanisms</w:t>
            </w:r>
            <w:proofErr w:type="spellEnd"/>
            <w:r w:rsidRPr="00461774">
              <w:rPr>
                <w:lang w:val="es-ES_tradnl"/>
              </w:rPr>
              <w:t xml:space="preserve"> (</w:t>
            </w:r>
            <w:proofErr w:type="spellStart"/>
            <w:r w:rsidRPr="00461774">
              <w:rPr>
                <w:lang w:val="es-ES_tradnl"/>
              </w:rPr>
              <w:t>Save</w:t>
            </w:r>
            <w:proofErr w:type="spellEnd"/>
            <w:r w:rsidRPr="00461774">
              <w:rPr>
                <w:lang w:val="es-ES_tradnl"/>
              </w:rPr>
              <w:t xml:space="preserve"> </w:t>
            </w:r>
            <w:proofErr w:type="spellStart"/>
            <w:r w:rsidRPr="00461774">
              <w:rPr>
                <w:lang w:val="es-ES_tradnl"/>
              </w:rPr>
              <w:t>the</w:t>
            </w:r>
            <w:proofErr w:type="spellEnd"/>
            <w:r w:rsidRPr="00461774">
              <w:rPr>
                <w:lang w:val="es-ES_tradnl"/>
              </w:rPr>
              <w:t xml:space="preserve"> </w:t>
            </w:r>
            <w:proofErr w:type="spellStart"/>
            <w:r w:rsidRPr="00461774">
              <w:rPr>
                <w:lang w:val="es-ES_tradnl"/>
              </w:rPr>
              <w:t>Children</w:t>
            </w:r>
            <w:proofErr w:type="spellEnd"/>
            <w:r w:rsidRPr="00461774">
              <w:rPr>
                <w:lang w:val="es-ES_tradnl"/>
              </w:rPr>
              <w:t xml:space="preserve"> International)  </w:t>
            </w:r>
            <w:hyperlink r:id="rId10" w:history="1">
              <w:r w:rsidRPr="00461774">
                <w:rPr>
                  <w:rStyle w:val="Hyperlink"/>
                  <w:rFonts w:eastAsia="Times New Roman"/>
                  <w:szCs w:val="22"/>
                  <w:lang w:val="es-ES_tradnl"/>
                </w:rPr>
                <w:t>htpp://www.qualityandaccountabilitynetwork.care2share.wikispaces.net/file/view/2011+SCF+CRM+guide+FINAL.pdf</w:t>
              </w:r>
            </w:hyperlink>
          </w:p>
        </w:tc>
      </w:tr>
    </w:tbl>
    <w:p w14:paraId="5798A4CE" w14:textId="77777777" w:rsidR="00E17798" w:rsidRPr="00461774" w:rsidRDefault="00E17798" w:rsidP="00C17CED">
      <w:pPr>
        <w:rPr>
          <w:lang w:val="es-ES_tradnl"/>
        </w:rPr>
      </w:pPr>
    </w:p>
    <w:sectPr w:rsidR="00E17798" w:rsidRPr="00461774" w:rsidSect="00CF28AF">
      <w:headerReference w:type="default" r:id="rId11"/>
      <w:footerReference w:type="even" r:id="rId12"/>
      <w:footerReference w:type="default" r:id="rId13"/>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9EAD" w14:textId="77777777" w:rsidR="005964BD" w:rsidRDefault="005964BD">
      <w:pPr>
        <w:spacing w:after="0"/>
      </w:pPr>
      <w:r>
        <w:separator/>
      </w:r>
    </w:p>
  </w:endnote>
  <w:endnote w:type="continuationSeparator" w:id="0">
    <w:p w14:paraId="0155DDAB" w14:textId="77777777" w:rsidR="005964BD" w:rsidRDefault="0059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DD19" w14:textId="77777777" w:rsidR="007F0BF8" w:rsidRDefault="001C4B5C" w:rsidP="004C0A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54F5DB" w14:textId="77777777" w:rsidR="007F0BF8" w:rsidRDefault="005964BD" w:rsidP="00530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F03E" w14:textId="1A2B0884" w:rsidR="00CF28AF" w:rsidRPr="00B45C74" w:rsidRDefault="00CF28A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61774">
      <w:rPr>
        <w:b/>
        <w:noProof/>
        <w:color w:val="808080" w:themeColor="background1" w:themeShade="80"/>
        <w:sz w:val="18"/>
        <w:szCs w:val="18"/>
      </w:rPr>
      <w:t>2</w:t>
    </w:r>
    <w:r w:rsidRPr="00B45C74">
      <w:rPr>
        <w:b/>
        <w:color w:val="808080" w:themeColor="background1" w:themeShade="80"/>
        <w:sz w:val="18"/>
        <w:szCs w:val="18"/>
      </w:rPr>
      <w:fldChar w:fldCharType="end"/>
    </w:r>
  </w:p>
  <w:p w14:paraId="65693258" w14:textId="13F3C112" w:rsidR="00CF28AF" w:rsidRPr="00CF28AF" w:rsidRDefault="00E123DA" w:rsidP="00ED1B2B">
    <w:pPr>
      <w:pStyle w:val="Footer"/>
      <w:rPr>
        <w:b/>
      </w:rPr>
    </w:pPr>
    <w:proofErr w:type="spellStart"/>
    <w:r>
      <w:rPr>
        <w:b/>
      </w:rPr>
      <w:t>Módulo</w:t>
    </w:r>
    <w:proofErr w:type="spellEnd"/>
    <w:r w:rsidR="00CF28AF" w:rsidRPr="00107E15">
      <w:rPr>
        <w:b/>
      </w:rPr>
      <w:t xml:space="preserve"> </w:t>
    </w:r>
    <w:r w:rsidR="00CF28AF">
      <w:rPr>
        <w:b/>
      </w:rPr>
      <w:t>1</w:t>
    </w:r>
    <w:r w:rsidR="00CF28AF" w:rsidRPr="00107E15">
      <w:rPr>
        <w:b/>
      </w:rPr>
      <w:t>.</w:t>
    </w:r>
    <w:r w:rsidR="00CF28AF" w:rsidRPr="00107E15">
      <w:t xml:space="preserve"> </w:t>
    </w:r>
    <w:proofErr w:type="spellStart"/>
    <w:r>
      <w:t>Etapa</w:t>
    </w:r>
    <w:proofErr w:type="spellEnd"/>
    <w:r w:rsidR="00CF28AF" w:rsidRPr="00107E15">
      <w:t xml:space="preserve"> </w:t>
    </w:r>
    <w:r w:rsidR="00CF28AF">
      <w:t>2</w:t>
    </w:r>
    <w:r w:rsidR="00CF28AF" w:rsidRPr="00107E15">
      <w:t>.</w:t>
    </w:r>
    <w:r>
      <w:t xml:space="preserve"> Sub-</w:t>
    </w:r>
    <w:proofErr w:type="spellStart"/>
    <w:r>
      <w:t>etapa</w:t>
    </w:r>
    <w:proofErr w:type="spellEnd"/>
    <w:r w:rsidR="00CF28AF">
      <w:t xml:space="preserve"> 12. </w:t>
    </w:r>
    <w:r w:rsidR="00CF28AF" w:rsidRPr="00CF28AF">
      <w:rPr>
        <w:b/>
      </w:rPr>
      <w:fldChar w:fldCharType="begin"/>
    </w:r>
    <w:r w:rsidR="00CF28AF" w:rsidRPr="00CF28AF">
      <w:rPr>
        <w:b/>
      </w:rPr>
      <w:instrText xml:space="preserve"> STYLEREF  H1 \t  \* MERGEFORMAT </w:instrText>
    </w:r>
    <w:r w:rsidR="00CF28AF" w:rsidRPr="00CF28AF">
      <w:rPr>
        <w:b/>
      </w:rPr>
      <w:fldChar w:fldCharType="separate"/>
    </w:r>
    <w:r w:rsidR="00461774" w:rsidRPr="00461774">
      <w:rPr>
        <w:bCs/>
        <w:noProof/>
      </w:rPr>
      <w:t>Hoja de ruta para la comunicación</w:t>
    </w:r>
    <w:r w:rsidR="00461774">
      <w:rPr>
        <w:b/>
        <w:noProof/>
      </w:rPr>
      <w:t xml:space="preserve"> y rendición de cuentas con los beneficiarios</w:t>
    </w:r>
    <w:r w:rsidR="00CF28AF" w:rsidRPr="00CF28A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B729" w14:textId="77777777" w:rsidR="005964BD" w:rsidRDefault="005964BD">
      <w:pPr>
        <w:spacing w:after="0"/>
      </w:pPr>
      <w:r>
        <w:separator/>
      </w:r>
    </w:p>
  </w:footnote>
  <w:footnote w:type="continuationSeparator" w:id="0">
    <w:p w14:paraId="4B44FF97" w14:textId="77777777" w:rsidR="005964BD" w:rsidRDefault="0059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D8EE" w14:textId="77777777" w:rsidR="00B42920" w:rsidRPr="00C746A5" w:rsidRDefault="00B42920" w:rsidP="00B42920">
    <w:pPr>
      <w:pStyle w:val="Header"/>
      <w:rPr>
        <w:szCs w:val="16"/>
        <w:lang w:val="es-ES"/>
      </w:rPr>
    </w:pPr>
    <w:r w:rsidRPr="00C746A5">
      <w:rPr>
        <w:rStyle w:val="Pantone485"/>
        <w:lang w:val="es-ES"/>
      </w:rPr>
      <w:t xml:space="preserve">Movimiento Internacional </w:t>
    </w:r>
    <w:r>
      <w:rPr>
        <w:rStyle w:val="Pantone485"/>
        <w:lang w:val="es-ES"/>
      </w:rPr>
      <w:t xml:space="preserve">de </w:t>
    </w:r>
    <w:r w:rsidRPr="00C746A5">
      <w:rPr>
        <w:rStyle w:val="Pantone485"/>
        <w:lang w:val="es-ES"/>
      </w:rPr>
      <w:t xml:space="preserve">la Cruz Roja y </w:t>
    </w:r>
    <w:r>
      <w:rPr>
        <w:rStyle w:val="Pantone485"/>
        <w:lang w:val="es-ES"/>
      </w:rPr>
      <w:t xml:space="preserve">de </w:t>
    </w:r>
    <w:r w:rsidRPr="00C746A5">
      <w:rPr>
        <w:rStyle w:val="Pantone485"/>
        <w:lang w:val="es-ES"/>
      </w:rPr>
      <w:t>la Media Luna Roja</w:t>
    </w:r>
    <w:r w:rsidRPr="00C746A5">
      <w:rPr>
        <w:rFonts w:cs="Caecilia-Light"/>
        <w:color w:val="FF0000"/>
        <w:szCs w:val="16"/>
        <w:lang w:val="es-ES"/>
      </w:rPr>
      <w:t xml:space="preserve"> </w:t>
    </w:r>
    <w:r w:rsidRPr="00C746A5">
      <w:rPr>
        <w:rStyle w:val="PageNumber"/>
        <w:bCs/>
        <w:szCs w:val="16"/>
        <w:lang w:val="es-ES"/>
      </w:rPr>
      <w:t>I</w:t>
    </w:r>
    <w:r w:rsidRPr="00C746A5">
      <w:rPr>
        <w:rStyle w:val="PageNumber"/>
        <w:color w:val="FF0000"/>
        <w:szCs w:val="16"/>
        <w:lang w:val="es-ES"/>
      </w:rPr>
      <w:t xml:space="preserve"> </w:t>
    </w:r>
    <w:r w:rsidRPr="00C746A5">
      <w:rPr>
        <w:b/>
        <w:szCs w:val="16"/>
        <w:lang w:val="es-ES"/>
      </w:rPr>
      <w:t>C</w:t>
    </w:r>
    <w:r>
      <w:rPr>
        <w:b/>
        <w:szCs w:val="16"/>
        <w:lang w:val="es-ES"/>
      </w:rPr>
      <w:t>aja de Herramientas para PTE en emergencias</w:t>
    </w:r>
  </w:p>
  <w:p w14:paraId="3E2D27E5" w14:textId="16F8EC27" w:rsidR="00CF28AF" w:rsidRPr="00B42920" w:rsidRDefault="00CF28AF" w:rsidP="00B42920">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0592B"/>
    <w:multiLevelType w:val="hybridMultilevel"/>
    <w:tmpl w:val="1CAAFBA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embedSystemFonts/>
  <w:proofState w:spelling="clean" w:grammar="clean"/>
  <w:attachedTemplate r:id="rId1"/>
  <w:linkStyles/>
  <w:stylePaneSortMethod w:val="000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0"/>
    <w:rsid w:val="00014E3A"/>
    <w:rsid w:val="000261C4"/>
    <w:rsid w:val="00030CA0"/>
    <w:rsid w:val="00037FF1"/>
    <w:rsid w:val="00040318"/>
    <w:rsid w:val="000E1B37"/>
    <w:rsid w:val="001B75BF"/>
    <w:rsid w:val="001C4B5C"/>
    <w:rsid w:val="001F45CB"/>
    <w:rsid w:val="002F0E02"/>
    <w:rsid w:val="00302500"/>
    <w:rsid w:val="00311419"/>
    <w:rsid w:val="0032571C"/>
    <w:rsid w:val="00363991"/>
    <w:rsid w:val="003C6647"/>
    <w:rsid w:val="003F5DAD"/>
    <w:rsid w:val="00461774"/>
    <w:rsid w:val="004A7836"/>
    <w:rsid w:val="004C0344"/>
    <w:rsid w:val="005655C5"/>
    <w:rsid w:val="005964BD"/>
    <w:rsid w:val="00612A1C"/>
    <w:rsid w:val="00655A89"/>
    <w:rsid w:val="006E3C2D"/>
    <w:rsid w:val="00703EE2"/>
    <w:rsid w:val="00704D0B"/>
    <w:rsid w:val="007525F6"/>
    <w:rsid w:val="00753AB5"/>
    <w:rsid w:val="007544E5"/>
    <w:rsid w:val="008229AE"/>
    <w:rsid w:val="008401E0"/>
    <w:rsid w:val="008E663A"/>
    <w:rsid w:val="00994917"/>
    <w:rsid w:val="009D2F70"/>
    <w:rsid w:val="00A06B3A"/>
    <w:rsid w:val="00A07774"/>
    <w:rsid w:val="00AA2968"/>
    <w:rsid w:val="00B070C0"/>
    <w:rsid w:val="00B42920"/>
    <w:rsid w:val="00B44945"/>
    <w:rsid w:val="00BA5CC9"/>
    <w:rsid w:val="00BC33D4"/>
    <w:rsid w:val="00C04C4A"/>
    <w:rsid w:val="00C36062"/>
    <w:rsid w:val="00CB29AF"/>
    <w:rsid w:val="00CF28AF"/>
    <w:rsid w:val="00D025B2"/>
    <w:rsid w:val="00D33DE8"/>
    <w:rsid w:val="00D97680"/>
    <w:rsid w:val="00E123DA"/>
    <w:rsid w:val="00E17798"/>
    <w:rsid w:val="00E313E4"/>
    <w:rsid w:val="00E91D4B"/>
    <w:rsid w:val="00F60746"/>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9CB40"/>
  <w15:docId w15:val="{98AB5C8D-CF47-4689-BEB2-628143CD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ArialMT"/>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D4"/>
    <w:pPr>
      <w:spacing w:after="120"/>
      <w:jc w:val="both"/>
    </w:pPr>
    <w:rPr>
      <w:rFonts w:ascii="Arial" w:hAnsi="Arial" w:cs="Times New Roman"/>
      <w:sz w:val="20"/>
      <w:szCs w:val="20"/>
    </w:rPr>
  </w:style>
  <w:style w:type="paragraph" w:styleId="Heading1">
    <w:name w:val="heading 1"/>
    <w:basedOn w:val="H1"/>
    <w:next w:val="Normal"/>
    <w:link w:val="Heading1Char"/>
    <w:uiPriority w:val="9"/>
    <w:rsid w:val="00BC33D4"/>
  </w:style>
  <w:style w:type="paragraph" w:styleId="Heading2">
    <w:name w:val="heading 2"/>
    <w:basedOn w:val="Normal"/>
    <w:next w:val="Normal"/>
    <w:link w:val="Heading2Char"/>
    <w:autoRedefine/>
    <w:uiPriority w:val="9"/>
    <w:unhideWhenUsed/>
    <w:qFormat/>
    <w:rsid w:val="00BC33D4"/>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BC33D4"/>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3D4"/>
    <w:pPr>
      <w:widowControl w:val="0"/>
      <w:autoSpaceDE w:val="0"/>
      <w:autoSpaceDN w:val="0"/>
      <w:adjustRightInd w:val="0"/>
    </w:pPr>
    <w:rPr>
      <w:rFonts w:ascii="Arial" w:hAnsi="Arial" w:cs="Arial"/>
      <w:color w:val="000000"/>
    </w:rPr>
  </w:style>
  <w:style w:type="paragraph" w:customStyle="1" w:styleId="Pa13">
    <w:name w:val="Pa13"/>
    <w:basedOn w:val="Default"/>
    <w:next w:val="Default"/>
    <w:uiPriority w:val="99"/>
    <w:rsid w:val="009D2F70"/>
    <w:pPr>
      <w:spacing w:line="241" w:lineRule="atLeast"/>
    </w:pPr>
    <w:rPr>
      <w:rFonts w:cs="Times New Roman"/>
      <w:color w:val="auto"/>
    </w:rPr>
  </w:style>
  <w:style w:type="paragraph" w:customStyle="1" w:styleId="Pa4">
    <w:name w:val="Pa4"/>
    <w:basedOn w:val="Default"/>
    <w:next w:val="Default"/>
    <w:uiPriority w:val="99"/>
    <w:rsid w:val="009D2F70"/>
    <w:pPr>
      <w:spacing w:line="401" w:lineRule="atLeast"/>
    </w:pPr>
    <w:rPr>
      <w:rFonts w:cs="Times New Roman"/>
      <w:color w:val="auto"/>
    </w:rPr>
  </w:style>
  <w:style w:type="paragraph" w:customStyle="1" w:styleId="Pa3">
    <w:name w:val="Pa3"/>
    <w:basedOn w:val="Default"/>
    <w:next w:val="Default"/>
    <w:uiPriority w:val="99"/>
    <w:rsid w:val="009D2F70"/>
    <w:pPr>
      <w:spacing w:line="221" w:lineRule="atLeast"/>
    </w:pPr>
    <w:rPr>
      <w:rFonts w:cs="Times New Roman"/>
      <w:color w:val="auto"/>
    </w:rPr>
  </w:style>
  <w:style w:type="character" w:customStyle="1" w:styleId="A5">
    <w:name w:val="A5"/>
    <w:uiPriority w:val="99"/>
    <w:rsid w:val="009D2F70"/>
    <w:rPr>
      <w:rFonts w:ascii="Franklin Gothic Book" w:hAnsi="Franklin Gothic Book" w:cs="Franklin Gothic Book"/>
      <w:color w:val="000000"/>
      <w:sz w:val="19"/>
      <w:szCs w:val="19"/>
    </w:rPr>
  </w:style>
  <w:style w:type="paragraph" w:styleId="ListParagraph">
    <w:name w:val="List Paragraph"/>
    <w:basedOn w:val="Normal"/>
    <w:link w:val="ListParagraphChar"/>
    <w:uiPriority w:val="34"/>
    <w:qFormat/>
    <w:rsid w:val="00BC33D4"/>
    <w:pPr>
      <w:spacing w:after="240"/>
      <w:ind w:left="720"/>
      <w:contextualSpacing/>
    </w:pPr>
    <w:rPr>
      <w:rFonts w:eastAsiaTheme="minorHAnsi" w:cstheme="minorBidi"/>
      <w:szCs w:val="22"/>
    </w:rPr>
  </w:style>
  <w:style w:type="paragraph" w:customStyle="1" w:styleId="Pa11">
    <w:name w:val="Pa11"/>
    <w:basedOn w:val="Default"/>
    <w:next w:val="Default"/>
    <w:uiPriority w:val="99"/>
    <w:rsid w:val="00366671"/>
    <w:pPr>
      <w:spacing w:line="281" w:lineRule="atLeast"/>
    </w:pPr>
    <w:rPr>
      <w:rFonts w:ascii="Franklin Gothic Demi" w:hAnsi="Franklin Gothic Demi" w:cs="Times New Roman"/>
      <w:color w:val="auto"/>
    </w:rPr>
  </w:style>
  <w:style w:type="table" w:styleId="TableGrid">
    <w:name w:val="Table Grid"/>
    <w:basedOn w:val="TableNormal"/>
    <w:uiPriority w:val="59"/>
    <w:rsid w:val="00BC33D4"/>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33D4"/>
    <w:pPr>
      <w:spacing w:after="0"/>
    </w:pPr>
    <w:rPr>
      <w:sz w:val="16"/>
      <w:szCs w:val="22"/>
    </w:rPr>
  </w:style>
  <w:style w:type="character" w:customStyle="1" w:styleId="FootnoteTextChar">
    <w:name w:val="Footnote Text Char"/>
    <w:basedOn w:val="DefaultParagraphFont"/>
    <w:link w:val="FootnoteText"/>
    <w:uiPriority w:val="99"/>
    <w:rsid w:val="00BC33D4"/>
    <w:rPr>
      <w:rFonts w:ascii="Arial" w:hAnsi="Arial" w:cs="Times New Roman"/>
      <w:sz w:val="16"/>
      <w:szCs w:val="22"/>
    </w:rPr>
  </w:style>
  <w:style w:type="character" w:styleId="FootnoteReference">
    <w:name w:val="footnote reference"/>
    <w:basedOn w:val="DefaultParagraphFont"/>
    <w:uiPriority w:val="99"/>
    <w:unhideWhenUsed/>
    <w:rsid w:val="00BC33D4"/>
    <w:rPr>
      <w:vertAlign w:val="superscript"/>
    </w:rPr>
  </w:style>
  <w:style w:type="character" w:styleId="CommentReference">
    <w:name w:val="annotation reference"/>
    <w:basedOn w:val="DefaultParagraphFont"/>
    <w:uiPriority w:val="99"/>
    <w:semiHidden/>
    <w:unhideWhenUsed/>
    <w:rsid w:val="00BC33D4"/>
    <w:rPr>
      <w:sz w:val="18"/>
      <w:szCs w:val="18"/>
    </w:rPr>
  </w:style>
  <w:style w:type="paragraph" w:styleId="CommentText">
    <w:name w:val="annotation text"/>
    <w:basedOn w:val="Normal"/>
    <w:link w:val="CommentTextChar"/>
    <w:semiHidden/>
    <w:unhideWhenUsed/>
    <w:rsid w:val="00220F43"/>
  </w:style>
  <w:style w:type="character" w:customStyle="1" w:styleId="CommentTextChar">
    <w:name w:val="Comment Text Char"/>
    <w:basedOn w:val="DefaultParagraphFont"/>
    <w:link w:val="CommentText"/>
    <w:semiHidden/>
    <w:rsid w:val="00220F43"/>
    <w:rPr>
      <w:sz w:val="20"/>
      <w:szCs w:val="20"/>
      <w:lang w:val="en-GB"/>
    </w:rPr>
  </w:style>
  <w:style w:type="paragraph" w:styleId="CommentSubject">
    <w:name w:val="annotation subject"/>
    <w:basedOn w:val="Normal"/>
    <w:link w:val="CommentSubjectChar"/>
    <w:uiPriority w:val="99"/>
    <w:semiHidden/>
    <w:unhideWhenUsed/>
    <w:rsid w:val="00BC33D4"/>
    <w:rPr>
      <w:b/>
      <w:bCs/>
    </w:rPr>
  </w:style>
  <w:style w:type="character" w:customStyle="1" w:styleId="CommentSubjectChar">
    <w:name w:val="Comment Subject Char"/>
    <w:basedOn w:val="DefaultParagraphFont"/>
    <w:link w:val="CommentSubject"/>
    <w:uiPriority w:val="99"/>
    <w:semiHidden/>
    <w:rsid w:val="00BC33D4"/>
    <w:rPr>
      <w:rFonts w:ascii="Arial" w:hAnsi="Arial" w:cs="Times New Roman"/>
      <w:b/>
      <w:bCs/>
      <w:sz w:val="20"/>
      <w:szCs w:val="20"/>
    </w:rPr>
  </w:style>
  <w:style w:type="paragraph" w:styleId="BalloonText">
    <w:name w:val="Balloon Text"/>
    <w:basedOn w:val="Normal"/>
    <w:link w:val="BalloonTextChar"/>
    <w:uiPriority w:val="99"/>
    <w:semiHidden/>
    <w:unhideWhenUsed/>
    <w:rsid w:val="00BC33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3D4"/>
    <w:rPr>
      <w:rFonts w:ascii="Lucida Grande" w:hAnsi="Lucida Grande" w:cs="Lucida Grande"/>
      <w:sz w:val="18"/>
      <w:szCs w:val="18"/>
    </w:rPr>
  </w:style>
  <w:style w:type="character" w:styleId="Hyperlink">
    <w:name w:val="Hyperlink"/>
    <w:basedOn w:val="DefaultParagraphFont"/>
    <w:uiPriority w:val="99"/>
    <w:unhideWhenUsed/>
    <w:rsid w:val="00BC33D4"/>
    <w:rPr>
      <w:color w:val="0000FF" w:themeColor="hyperlink"/>
      <w:u w:val="single"/>
    </w:rPr>
  </w:style>
  <w:style w:type="paragraph" w:styleId="Header">
    <w:name w:val="header"/>
    <w:basedOn w:val="Normal"/>
    <w:link w:val="HeaderChar"/>
    <w:uiPriority w:val="99"/>
    <w:unhideWhenUsed/>
    <w:rsid w:val="00BC33D4"/>
    <w:pPr>
      <w:spacing w:after="0" w:line="288" w:lineRule="auto"/>
      <w:jc w:val="left"/>
    </w:pPr>
    <w:rPr>
      <w:sz w:val="16"/>
    </w:rPr>
  </w:style>
  <w:style w:type="character" w:customStyle="1" w:styleId="HeaderChar">
    <w:name w:val="Header Char"/>
    <w:basedOn w:val="DefaultParagraphFont"/>
    <w:link w:val="Header"/>
    <w:uiPriority w:val="99"/>
    <w:rsid w:val="00BC33D4"/>
    <w:rPr>
      <w:rFonts w:ascii="Arial" w:hAnsi="Arial" w:cs="Times New Roman"/>
      <w:sz w:val="16"/>
      <w:szCs w:val="20"/>
    </w:rPr>
  </w:style>
  <w:style w:type="paragraph" w:styleId="Footer">
    <w:name w:val="footer"/>
    <w:basedOn w:val="Normal"/>
    <w:link w:val="FooterChar"/>
    <w:uiPriority w:val="99"/>
    <w:unhideWhenUsed/>
    <w:rsid w:val="00BC33D4"/>
    <w:pPr>
      <w:spacing w:after="0"/>
      <w:jc w:val="left"/>
    </w:pPr>
    <w:rPr>
      <w:sz w:val="16"/>
      <w:szCs w:val="18"/>
    </w:rPr>
  </w:style>
  <w:style w:type="character" w:customStyle="1" w:styleId="FooterChar">
    <w:name w:val="Footer Char"/>
    <w:basedOn w:val="DefaultParagraphFont"/>
    <w:link w:val="Footer"/>
    <w:uiPriority w:val="99"/>
    <w:rsid w:val="00BC33D4"/>
    <w:rPr>
      <w:rFonts w:ascii="Arial" w:hAnsi="Arial" w:cs="Times New Roman"/>
      <w:sz w:val="16"/>
      <w:szCs w:val="18"/>
    </w:rPr>
  </w:style>
  <w:style w:type="character" w:styleId="PageNumber">
    <w:name w:val="page number"/>
    <w:basedOn w:val="DefaultParagraphFont"/>
    <w:uiPriority w:val="99"/>
    <w:unhideWhenUsed/>
    <w:rsid w:val="00BC33D4"/>
    <w:rPr>
      <w:b/>
    </w:rPr>
  </w:style>
  <w:style w:type="character" w:styleId="FollowedHyperlink">
    <w:name w:val="FollowedHyperlink"/>
    <w:basedOn w:val="DefaultParagraphFont"/>
    <w:uiPriority w:val="99"/>
    <w:unhideWhenUsed/>
    <w:rsid w:val="00BC33D4"/>
    <w:rPr>
      <w:color w:val="800080" w:themeColor="followedHyperlink"/>
      <w:u w:val="single"/>
    </w:rPr>
  </w:style>
  <w:style w:type="character" w:customStyle="1" w:styleId="Heading1Char">
    <w:name w:val="Heading 1 Char"/>
    <w:basedOn w:val="DefaultParagraphFont"/>
    <w:link w:val="Heading1"/>
    <w:uiPriority w:val="9"/>
    <w:rsid w:val="00BC33D4"/>
    <w:rPr>
      <w:rFonts w:ascii="Arial" w:hAnsi="Arial" w:cs="Times New Roman"/>
      <w:b/>
      <w:sz w:val="40"/>
      <w:szCs w:val="52"/>
    </w:rPr>
  </w:style>
  <w:style w:type="character" w:customStyle="1" w:styleId="Heading2Char">
    <w:name w:val="Heading 2 Char"/>
    <w:basedOn w:val="DefaultParagraphFont"/>
    <w:link w:val="Heading2"/>
    <w:uiPriority w:val="9"/>
    <w:rsid w:val="00BC33D4"/>
    <w:rPr>
      <w:rFonts w:ascii="Arial" w:hAnsi="Arial" w:cs="Times New Roman"/>
      <w:b/>
      <w:caps/>
      <w:szCs w:val="26"/>
    </w:rPr>
  </w:style>
  <w:style w:type="character" w:customStyle="1" w:styleId="Heading3Char">
    <w:name w:val="Heading 3 Char"/>
    <w:basedOn w:val="DefaultParagraphFont"/>
    <w:link w:val="Heading3"/>
    <w:uiPriority w:val="9"/>
    <w:rsid w:val="00BC33D4"/>
    <w:rPr>
      <w:rFonts w:ascii="Arial" w:hAnsi="Arial" w:cs="Times New Roman"/>
      <w:b/>
      <w:sz w:val="22"/>
    </w:rPr>
  </w:style>
  <w:style w:type="character" w:customStyle="1" w:styleId="ListParagraphChar">
    <w:name w:val="List Paragraph Char"/>
    <w:basedOn w:val="DefaultParagraphFont"/>
    <w:link w:val="ListParagraph"/>
    <w:uiPriority w:val="34"/>
    <w:rsid w:val="00BC33D4"/>
    <w:rPr>
      <w:rFonts w:ascii="Arial" w:eastAsiaTheme="minorHAnsi" w:hAnsi="Arial" w:cstheme="minorBidi"/>
      <w:sz w:val="20"/>
      <w:szCs w:val="22"/>
    </w:rPr>
  </w:style>
  <w:style w:type="paragraph" w:styleId="Revision">
    <w:name w:val="Revision"/>
    <w:hidden/>
    <w:uiPriority w:val="99"/>
    <w:semiHidden/>
    <w:rsid w:val="00BC33D4"/>
    <w:rPr>
      <w:rFonts w:ascii="Arial" w:hAnsi="Arial" w:cs="Arial"/>
      <w:sz w:val="21"/>
      <w:szCs w:val="21"/>
    </w:rPr>
  </w:style>
  <w:style w:type="paragraph" w:customStyle="1" w:styleId="BasicParagraph">
    <w:name w:val="[Basic Paragraph]"/>
    <w:basedOn w:val="Normal"/>
    <w:uiPriority w:val="99"/>
    <w:rsid w:val="00BC33D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C33D4"/>
    <w:pPr>
      <w:spacing w:before="360" w:after="240"/>
      <w:jc w:val="left"/>
      <w:outlineLvl w:val="0"/>
    </w:pPr>
    <w:rPr>
      <w:b/>
      <w:sz w:val="40"/>
      <w:szCs w:val="52"/>
    </w:rPr>
  </w:style>
  <w:style w:type="paragraph" w:customStyle="1" w:styleId="Bullet1">
    <w:name w:val="Bullet 1"/>
    <w:basedOn w:val="Normal"/>
    <w:autoRedefine/>
    <w:rsid w:val="00BC33D4"/>
    <w:pPr>
      <w:numPr>
        <w:numId w:val="2"/>
      </w:numPr>
      <w:spacing w:before="60"/>
      <w:jc w:val="left"/>
    </w:pPr>
    <w:rPr>
      <w:rFonts w:eastAsia="Times New Roman"/>
      <w:color w:val="000000"/>
    </w:rPr>
  </w:style>
  <w:style w:type="paragraph" w:customStyle="1" w:styleId="RefItem1">
    <w:name w:val="Ref Item 1"/>
    <w:basedOn w:val="Normal"/>
    <w:rsid w:val="00BC33D4"/>
    <w:pPr>
      <w:jc w:val="left"/>
    </w:pPr>
    <w:rPr>
      <w:color w:val="000000"/>
      <w:szCs w:val="24"/>
      <w:lang w:eastAsia="it-IT"/>
    </w:rPr>
  </w:style>
  <w:style w:type="paragraph" w:customStyle="1" w:styleId="RefTitre">
    <w:name w:val="Ref Titre"/>
    <w:basedOn w:val="Normal"/>
    <w:rsid w:val="00BC33D4"/>
    <w:pPr>
      <w:jc w:val="left"/>
    </w:pPr>
    <w:rPr>
      <w:rFonts w:eastAsia="Times New Roman"/>
      <w:b/>
      <w:bCs/>
      <w:sz w:val="26"/>
      <w:szCs w:val="26"/>
    </w:rPr>
  </w:style>
  <w:style w:type="paragraph" w:customStyle="1" w:styleId="Header1">
    <w:name w:val="Header 1"/>
    <w:basedOn w:val="Header"/>
    <w:rsid w:val="00BC33D4"/>
    <w:rPr>
      <w:b/>
      <w:sz w:val="24"/>
      <w:szCs w:val="24"/>
    </w:rPr>
  </w:style>
  <w:style w:type="character" w:customStyle="1" w:styleId="Pantone485">
    <w:name w:val="Pantone 485"/>
    <w:basedOn w:val="DefaultParagraphFont"/>
    <w:uiPriority w:val="1"/>
    <w:qFormat/>
    <w:rsid w:val="00BC33D4"/>
    <w:rPr>
      <w:rFonts w:cs="Caecilia-Light"/>
      <w:color w:val="DC281E"/>
      <w:szCs w:val="16"/>
    </w:rPr>
  </w:style>
  <w:style w:type="character" w:customStyle="1" w:styleId="H1Char">
    <w:name w:val="H1 Char"/>
    <w:basedOn w:val="DefaultParagraphFont"/>
    <w:link w:val="H1"/>
    <w:rsid w:val="00BC33D4"/>
    <w:rPr>
      <w:rFonts w:ascii="Arial" w:hAnsi="Arial" w:cs="Times New Roman"/>
      <w:b/>
      <w:sz w:val="40"/>
      <w:szCs w:val="52"/>
    </w:rPr>
  </w:style>
  <w:style w:type="table" w:customStyle="1" w:styleId="TableGray">
    <w:name w:val="Table Gray"/>
    <w:basedOn w:val="TableNormal"/>
    <w:uiPriority w:val="99"/>
    <w:rsid w:val="00BC33D4"/>
    <w:rPr>
      <w:rFonts w:asciiTheme="minorHAnsi" w:hAnsiTheme="minorHAnsi"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C33D4"/>
    <w:pPr>
      <w:numPr>
        <w:numId w:val="3"/>
      </w:numPr>
      <w:tabs>
        <w:tab w:val="left" w:pos="7230"/>
      </w:tabs>
      <w:spacing w:before="240"/>
    </w:pPr>
    <w:rPr>
      <w:rFonts w:cs="Arial"/>
    </w:rPr>
  </w:style>
  <w:style w:type="paragraph" w:customStyle="1" w:styleId="ListNumber1">
    <w:name w:val="List Number 1"/>
    <w:basedOn w:val="Normal"/>
    <w:rsid w:val="00BC33D4"/>
    <w:pPr>
      <w:numPr>
        <w:ilvl w:val="1"/>
        <w:numId w:val="4"/>
      </w:numPr>
      <w:contextualSpacing/>
    </w:pPr>
    <w:rPr>
      <w:rFonts w:eastAsiaTheme="minorHAnsi" w:cstheme="minorHAnsi"/>
      <w:szCs w:val="22"/>
    </w:rPr>
  </w:style>
  <w:style w:type="paragraph" w:customStyle="1" w:styleId="NormalNo">
    <w:name w:val="Normal + No"/>
    <w:basedOn w:val="Normal"/>
    <w:qFormat/>
    <w:rsid w:val="00BC33D4"/>
    <w:pPr>
      <w:numPr>
        <w:numId w:val="5"/>
      </w:numPr>
    </w:pPr>
    <w:rPr>
      <w:rFonts w:eastAsia="MS Mincho"/>
      <w:b/>
      <w:sz w:val="22"/>
    </w:rPr>
  </w:style>
  <w:style w:type="paragraph" w:customStyle="1" w:styleId="Bullet3">
    <w:name w:val="Bullet 3"/>
    <w:basedOn w:val="ListParagraph"/>
    <w:qFormat/>
    <w:rsid w:val="00BC33D4"/>
    <w:pPr>
      <w:numPr>
        <w:numId w:val="6"/>
      </w:numPr>
      <w:spacing w:before="120" w:after="120"/>
      <w:ind w:right="425"/>
    </w:pPr>
    <w:rPr>
      <w:rFonts w:cs="Arial"/>
      <w:i/>
      <w:iCs/>
    </w:rPr>
  </w:style>
  <w:style w:type="paragraph" w:customStyle="1" w:styleId="Indent">
    <w:name w:val="Indent"/>
    <w:basedOn w:val="Normal"/>
    <w:qFormat/>
    <w:rsid w:val="00BC33D4"/>
    <w:pPr>
      <w:ind w:left="567"/>
    </w:pPr>
    <w:rPr>
      <w:rFonts w:cs="Arial"/>
      <w:b/>
    </w:rPr>
  </w:style>
  <w:style w:type="paragraph" w:customStyle="1" w:styleId="TitreTableau">
    <w:name w:val="Titre Tableau"/>
    <w:basedOn w:val="Normal"/>
    <w:qFormat/>
    <w:rsid w:val="00BC33D4"/>
    <w:pPr>
      <w:spacing w:before="120"/>
      <w:jc w:val="center"/>
    </w:pPr>
    <w:rPr>
      <w:rFonts w:cs="Arial"/>
      <w:b/>
      <w:bCs/>
      <w:color w:val="FFFFFF" w:themeColor="background1"/>
      <w:lang w:val="en-CA"/>
    </w:rPr>
  </w:style>
  <w:style w:type="paragraph" w:customStyle="1" w:styleId="BulletTableau">
    <w:name w:val="Bullet Tableau"/>
    <w:basedOn w:val="Bullet2"/>
    <w:qFormat/>
    <w:rsid w:val="00BC33D4"/>
    <w:pPr>
      <w:keepNext/>
      <w:keepLines/>
      <w:framePr w:hSpace="141" w:wrap="around" w:vAnchor="text" w:hAnchor="margin" w:y="402"/>
      <w:numPr>
        <w:numId w:val="7"/>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4108">
      <w:bodyDiv w:val="1"/>
      <w:marLeft w:val="0"/>
      <w:marRight w:val="0"/>
      <w:marTop w:val="0"/>
      <w:marBottom w:val="0"/>
      <w:divBdr>
        <w:top w:val="none" w:sz="0" w:space="0" w:color="auto"/>
        <w:left w:val="none" w:sz="0" w:space="0" w:color="auto"/>
        <w:bottom w:val="none" w:sz="0" w:space="0" w:color="auto"/>
        <w:right w:val="none" w:sz="0" w:space="0" w:color="auto"/>
      </w:divBdr>
    </w:div>
    <w:div w:id="10362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hlearning.org/resources/library/28-communicating-cash-a-field-guide-to-beneficiary-communications-in-cash-transfer-programming-screen-vers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frc.org/PageFiles/94411/IFRC%20BCA%20Lesson%20Learned%20doc_fina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alityandaccountabilitynetwork.care2share.wikispaces.net/file/view/2011+SCF+CRM+guide+FINAL.pdf" TargetMode="External"/><Relationship Id="rId4" Type="http://schemas.openxmlformats.org/officeDocument/2006/relationships/webSettings" Target="webSettings.xml"/><Relationship Id="rId9" Type="http://schemas.openxmlformats.org/officeDocument/2006/relationships/hyperlink" Target="htpp://www.crsprogrammequality.org/storage/pubs/general/communication-toolbox-template-develop-a-communication-plan.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236</TotalTime>
  <Pages>3</Pages>
  <Words>1356</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Ines DALMAU i GUTSENS</cp:lastModifiedBy>
  <cp:revision>5</cp:revision>
  <cp:lastPrinted>2015-09-09T11:57:00Z</cp:lastPrinted>
  <dcterms:created xsi:type="dcterms:W3CDTF">2016-02-05T18:09:00Z</dcterms:created>
  <dcterms:modified xsi:type="dcterms:W3CDTF">2016-02-10T21:05:00Z</dcterms:modified>
</cp:coreProperties>
</file>