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20" w:rsidRPr="0022256F" w:rsidRDefault="00472217" w:rsidP="00D51550">
      <w:pPr>
        <w:pStyle w:val="H1"/>
        <w:rPr>
          <w:rFonts w:cs="Arial"/>
          <w:lang w:val="es-ES_tradnl"/>
        </w:rPr>
      </w:pPr>
      <w:r w:rsidRPr="0022256F">
        <w:rPr>
          <w:rFonts w:cs="Arial"/>
          <w:lang w:val="es-ES_tradnl"/>
        </w:rPr>
        <w:t>Co</w:t>
      </w:r>
      <w:r w:rsidR="00B55D8E" w:rsidRPr="0022256F">
        <w:rPr>
          <w:rFonts w:cs="Arial"/>
          <w:lang w:val="es-ES_tradnl"/>
        </w:rPr>
        <w:t>n</w:t>
      </w:r>
      <w:r w:rsidRPr="0022256F">
        <w:rPr>
          <w:rFonts w:cs="Arial"/>
          <w:lang w:val="es-ES_tradnl"/>
        </w:rPr>
        <w:t xml:space="preserve">sideraciones para fijar el valor de la transferencia </w:t>
      </w:r>
      <w:r w:rsidR="00556BA3" w:rsidRPr="0022256F">
        <w:rPr>
          <w:rFonts w:cs="Arial"/>
          <w:color w:val="4F81BD" w:themeColor="accent1"/>
          <w:lang w:val="es-ES_tradnl"/>
        </w:rPr>
        <w:t xml:space="preserve"> </w:t>
      </w:r>
    </w:p>
    <w:p w:rsidR="003952F0" w:rsidRPr="0022256F" w:rsidRDefault="00BE439B" w:rsidP="00E93B1D">
      <w:pPr>
        <w:rPr>
          <w:rFonts w:cs="Arial"/>
          <w:b/>
          <w:color w:val="4F81BD" w:themeColor="accent1"/>
          <w:lang w:val="es-ES_tradnl"/>
        </w:rPr>
      </w:pPr>
      <w:r w:rsidRPr="0022256F">
        <w:rPr>
          <w:rFonts w:cs="Arial"/>
          <w:lang w:val="es-ES_tradnl"/>
        </w:rPr>
        <w:t xml:space="preserve">Fijar el valor de la transferencia para cumplir el objetivo girará principalmente en torno a la pregunta </w:t>
      </w:r>
      <w:r w:rsidRPr="0022256F">
        <w:rPr>
          <w:rFonts w:cs="Arial"/>
          <w:b/>
          <w:lang w:val="es-ES_tradnl"/>
        </w:rPr>
        <w:t>“¿qué necesidades se espera cubrir con la transferencia de efectivo?”</w:t>
      </w:r>
      <w:r w:rsidRPr="0022256F">
        <w:rPr>
          <w:rFonts w:cs="Arial"/>
          <w:lang w:val="es-ES_tradnl"/>
        </w:rPr>
        <w:t xml:space="preserve"> </w:t>
      </w:r>
      <w:r w:rsidR="00556BA3" w:rsidRPr="0022256F">
        <w:rPr>
          <w:rFonts w:cs="Arial"/>
          <w:color w:val="4F81BD" w:themeColor="accent1"/>
          <w:lang w:val="es-ES_tradnl"/>
        </w:rPr>
        <w:t xml:space="preserve"> </w:t>
      </w:r>
    </w:p>
    <w:p w:rsidR="003952F0" w:rsidRPr="0022256F" w:rsidRDefault="00BE439B" w:rsidP="00B65F9B">
      <w:pPr>
        <w:pStyle w:val="Bullet2"/>
        <w:ind w:left="714" w:hanging="357"/>
        <w:rPr>
          <w:lang w:val="es-ES_tradnl"/>
        </w:rPr>
      </w:pPr>
      <w:r w:rsidRPr="0022256F">
        <w:rPr>
          <w:lang w:val="es-ES_tradnl"/>
        </w:rPr>
        <w:t xml:space="preserve">¿Cuánto costará a los beneficiarios comprar los bienes en los mercados locales? </w:t>
      </w:r>
      <w:r w:rsidR="00556BA3" w:rsidRPr="0022256F">
        <w:rPr>
          <w:color w:val="4F81BD" w:themeColor="accent1"/>
          <w:lang w:val="es-ES_tradnl"/>
        </w:rPr>
        <w:t xml:space="preserve"> </w:t>
      </w:r>
    </w:p>
    <w:p w:rsidR="003952F0" w:rsidRPr="0022256F" w:rsidRDefault="0022256F" w:rsidP="00B65F9B">
      <w:pPr>
        <w:pStyle w:val="Bullet2"/>
        <w:ind w:left="714" w:hanging="357"/>
        <w:rPr>
          <w:lang w:val="es-ES_tradnl"/>
        </w:rPr>
      </w:pPr>
      <w:r w:rsidRPr="0022256F">
        <w:rPr>
          <w:lang w:val="es-ES_tradnl"/>
        </w:rPr>
        <w:t>¿</w:t>
      </w:r>
      <w:r w:rsidR="00BE439B" w:rsidRPr="0022256F">
        <w:rPr>
          <w:lang w:val="es-ES_tradnl"/>
        </w:rPr>
        <w:t xml:space="preserve">Hay algún otro tipo de bienes o servicios en los que los beneficiarios pudieran gastar el efectivo disponible? </w:t>
      </w:r>
      <w:r w:rsidR="00556BA3" w:rsidRPr="0022256F">
        <w:rPr>
          <w:color w:val="4F81BD" w:themeColor="accent1"/>
          <w:lang w:val="es-ES_tradnl"/>
        </w:rPr>
        <w:t xml:space="preserve"> </w:t>
      </w:r>
    </w:p>
    <w:p w:rsidR="003952F0" w:rsidRPr="0022256F" w:rsidRDefault="00BE439B" w:rsidP="00B65F9B">
      <w:pPr>
        <w:pStyle w:val="Bullet2"/>
        <w:ind w:left="714" w:hanging="357"/>
        <w:rPr>
          <w:lang w:val="es-ES_tradnl"/>
        </w:rPr>
      </w:pPr>
      <w:r w:rsidRPr="0022256F">
        <w:rPr>
          <w:lang w:val="es-ES_tradnl"/>
        </w:rPr>
        <w:t xml:space="preserve">¿De qué pueden abastecerse los hogares con sus propios ingresos o con otras fuentes de apoyo? </w:t>
      </w:r>
      <w:r w:rsidR="00556BA3" w:rsidRPr="0022256F">
        <w:rPr>
          <w:color w:val="4F81BD" w:themeColor="accent1"/>
          <w:lang w:val="es-ES_tradnl"/>
        </w:rPr>
        <w:t xml:space="preserve"> </w:t>
      </w:r>
    </w:p>
    <w:p w:rsidR="003952F0" w:rsidRPr="0022256F" w:rsidRDefault="00BE439B" w:rsidP="00B65F9B">
      <w:pPr>
        <w:pStyle w:val="Bullet2"/>
        <w:spacing w:after="360"/>
        <w:ind w:left="714" w:hanging="357"/>
        <w:rPr>
          <w:color w:val="4F81BD" w:themeColor="accent1"/>
          <w:lang w:val="es-ES_tradnl"/>
        </w:rPr>
      </w:pPr>
      <w:r w:rsidRPr="0022256F">
        <w:rPr>
          <w:lang w:val="es-ES_tradnl"/>
        </w:rPr>
        <w:t>¿Es previsible que suban los precios durante la vida del proyecto?</w:t>
      </w:r>
      <w:r w:rsidRPr="0022256F">
        <w:rPr>
          <w:color w:val="4F81BD" w:themeColor="accent1"/>
          <w:lang w:val="es-ES_tradnl"/>
        </w:rPr>
        <w:t xml:space="preserve"> </w:t>
      </w:r>
      <w:r w:rsidR="00556BA3" w:rsidRPr="0022256F">
        <w:rPr>
          <w:color w:val="4F81BD" w:themeColor="accent1"/>
          <w:lang w:val="es-ES_tradnl"/>
        </w:rPr>
        <w:t xml:space="preserve"> </w:t>
      </w:r>
    </w:p>
    <w:tbl>
      <w:tblPr>
        <w:tblStyle w:val="Tablaconcuadrcula1"/>
        <w:tblW w:w="5000" w:type="pct"/>
        <w:tblLook w:val="04A0" w:firstRow="1" w:lastRow="0" w:firstColumn="1" w:lastColumn="0" w:noHBand="0" w:noVBand="1"/>
      </w:tblPr>
      <w:tblGrid>
        <w:gridCol w:w="1956"/>
        <w:gridCol w:w="7892"/>
      </w:tblGrid>
      <w:tr w:rsidR="00296C51" w:rsidRPr="0022256F" w:rsidTr="003A4233">
        <w:tc>
          <w:tcPr>
            <w:tcW w:w="993" w:type="pct"/>
            <w:tcBorders>
              <w:bottom w:val="single" w:sz="4" w:space="0" w:color="auto"/>
            </w:tcBorders>
            <w:shd w:val="clear" w:color="auto" w:fill="DC281E"/>
            <w:vAlign w:val="center"/>
          </w:tcPr>
          <w:p w:rsidR="00321BFC" w:rsidRPr="0022256F" w:rsidRDefault="00321BFC" w:rsidP="00BE439B">
            <w:pPr>
              <w:spacing w:before="120" w:line="276" w:lineRule="auto"/>
              <w:jc w:val="center"/>
              <w:rPr>
                <w:rFonts w:cs="Arial"/>
                <w:b/>
                <w:color w:val="FFFFFF" w:themeColor="background1"/>
                <w:sz w:val="20"/>
                <w:szCs w:val="20"/>
                <w:lang w:val="es-ES_tradnl"/>
              </w:rPr>
            </w:pPr>
            <w:r w:rsidRPr="0022256F">
              <w:rPr>
                <w:rFonts w:cs="Arial"/>
                <w:b/>
                <w:color w:val="FFFFFF" w:themeColor="background1"/>
                <w:sz w:val="20"/>
                <w:szCs w:val="20"/>
                <w:lang w:val="es-ES_tradnl"/>
              </w:rPr>
              <w:t>Modali</w:t>
            </w:r>
            <w:r w:rsidR="00BE439B" w:rsidRPr="0022256F">
              <w:rPr>
                <w:rFonts w:cs="Arial"/>
                <w:b/>
                <w:color w:val="FFFFFF" w:themeColor="background1"/>
                <w:sz w:val="20"/>
                <w:szCs w:val="20"/>
                <w:lang w:val="es-ES_tradnl"/>
              </w:rPr>
              <w:t>dad</w:t>
            </w:r>
          </w:p>
        </w:tc>
        <w:tc>
          <w:tcPr>
            <w:tcW w:w="4007" w:type="pct"/>
            <w:tcBorders>
              <w:bottom w:val="single" w:sz="4" w:space="0" w:color="auto"/>
            </w:tcBorders>
            <w:shd w:val="clear" w:color="auto" w:fill="DC281E"/>
            <w:vAlign w:val="center"/>
          </w:tcPr>
          <w:p w:rsidR="00321BFC" w:rsidRPr="0022256F" w:rsidRDefault="009142B0" w:rsidP="00BE439B">
            <w:pPr>
              <w:autoSpaceDE w:val="0"/>
              <w:autoSpaceDN w:val="0"/>
              <w:adjustRightInd w:val="0"/>
              <w:spacing w:before="120"/>
              <w:jc w:val="center"/>
              <w:rPr>
                <w:rFonts w:cs="Arial"/>
                <w:b/>
                <w:color w:val="FFFFFF" w:themeColor="background1"/>
                <w:sz w:val="20"/>
                <w:szCs w:val="20"/>
                <w:lang w:val="es-ES_tradnl"/>
              </w:rPr>
            </w:pPr>
            <w:r w:rsidRPr="0022256F">
              <w:rPr>
                <w:rFonts w:cs="Arial"/>
                <w:b/>
                <w:color w:val="FFFFFF" w:themeColor="background1"/>
                <w:sz w:val="20"/>
                <w:szCs w:val="20"/>
                <w:lang w:val="es-ES_tradnl"/>
              </w:rPr>
              <w:t>Considera</w:t>
            </w:r>
            <w:r w:rsidR="00BE439B" w:rsidRPr="0022256F">
              <w:rPr>
                <w:rFonts w:cs="Arial"/>
                <w:b/>
                <w:color w:val="FFFFFF" w:themeColor="background1"/>
                <w:sz w:val="20"/>
                <w:szCs w:val="20"/>
                <w:lang w:val="es-ES_tradnl"/>
              </w:rPr>
              <w:t>ciones</w:t>
            </w:r>
          </w:p>
        </w:tc>
      </w:tr>
      <w:tr w:rsidR="00296C51" w:rsidRPr="0022256F" w:rsidTr="003A4233">
        <w:tc>
          <w:tcPr>
            <w:tcW w:w="993" w:type="pct"/>
            <w:shd w:val="clear" w:color="auto" w:fill="A6A6A6"/>
            <w:vAlign w:val="center"/>
          </w:tcPr>
          <w:p w:rsidR="009142B0" w:rsidRPr="0022256F" w:rsidRDefault="00BE439B" w:rsidP="00556BA3">
            <w:pPr>
              <w:spacing w:before="120" w:after="60" w:line="276" w:lineRule="auto"/>
              <w:jc w:val="left"/>
              <w:rPr>
                <w:rFonts w:cs="Arial"/>
                <w:b/>
                <w:sz w:val="20"/>
                <w:szCs w:val="20"/>
                <w:lang w:val="es-ES_tradnl"/>
              </w:rPr>
            </w:pPr>
            <w:r w:rsidRPr="0022256F">
              <w:rPr>
                <w:rFonts w:cs="Arial"/>
                <w:b/>
                <w:sz w:val="20"/>
                <w:szCs w:val="20"/>
                <w:lang w:val="es-ES_tradnl"/>
              </w:rPr>
              <w:t>Genérico para todas las modalidades</w:t>
            </w:r>
            <w:r w:rsidR="00556BA3" w:rsidRPr="0022256F">
              <w:rPr>
                <w:rFonts w:cs="Arial"/>
                <w:b/>
                <w:color w:val="4F81BD" w:themeColor="accent1"/>
                <w:sz w:val="20"/>
                <w:szCs w:val="20"/>
                <w:lang w:val="es-ES_tradnl"/>
              </w:rPr>
              <w:t xml:space="preserve"> </w:t>
            </w:r>
          </w:p>
        </w:tc>
        <w:tc>
          <w:tcPr>
            <w:tcW w:w="4007" w:type="pct"/>
            <w:shd w:val="clear" w:color="auto" w:fill="E6E6E6"/>
          </w:tcPr>
          <w:p w:rsidR="006B75B1" w:rsidRPr="0022256F" w:rsidRDefault="00425703" w:rsidP="00E843C4">
            <w:pPr>
              <w:pStyle w:val="BulletTableau"/>
              <w:framePr w:wrap="around"/>
              <w:spacing w:before="144" w:after="48"/>
              <w:rPr>
                <w:color w:val="4F81BD" w:themeColor="accent1"/>
                <w:sz w:val="20"/>
                <w:szCs w:val="20"/>
                <w:lang w:val="es-ES_tradnl"/>
              </w:rPr>
            </w:pPr>
            <w:r w:rsidRPr="0022256F">
              <w:rPr>
                <w:sz w:val="20"/>
                <w:szCs w:val="20"/>
                <w:lang w:val="es-ES_tradnl" w:eastAsia="en-GB"/>
              </w:rPr>
              <w:t xml:space="preserve">Se utilizará </w:t>
            </w:r>
            <w:r w:rsidR="00087B7B" w:rsidRPr="0022256F">
              <w:rPr>
                <w:sz w:val="20"/>
                <w:szCs w:val="20"/>
                <w:lang w:val="es-ES_tradnl" w:eastAsia="en-GB"/>
              </w:rPr>
              <w:t>la evaluación</w:t>
            </w:r>
            <w:r w:rsidRPr="0022256F">
              <w:rPr>
                <w:sz w:val="20"/>
                <w:szCs w:val="20"/>
                <w:lang w:val="es-ES_tradnl" w:eastAsia="en-GB"/>
              </w:rPr>
              <w:t xml:space="preserve"> y el análisis de las opciones de respuesta para identificar la población meta y la brecha que el programa persigue cubrir. Hay que identificar </w:t>
            </w:r>
            <w:r w:rsidR="00642517" w:rsidRPr="0022256F">
              <w:rPr>
                <w:sz w:val="20"/>
                <w:szCs w:val="20"/>
                <w:lang w:val="es-ES_tradnl" w:eastAsia="en-GB"/>
              </w:rPr>
              <w:t xml:space="preserve">para </w:t>
            </w:r>
            <w:r w:rsidRPr="0022256F">
              <w:rPr>
                <w:sz w:val="20"/>
                <w:szCs w:val="20"/>
                <w:lang w:val="es-ES_tradnl" w:eastAsia="en-GB"/>
              </w:rPr>
              <w:t xml:space="preserve">qué se </w:t>
            </w:r>
            <w:r w:rsidR="00642517" w:rsidRPr="0022256F">
              <w:rPr>
                <w:sz w:val="20"/>
                <w:szCs w:val="20"/>
                <w:lang w:val="es-ES_tradnl" w:eastAsia="en-GB"/>
              </w:rPr>
              <w:t xml:space="preserve">utilizará </w:t>
            </w:r>
            <w:r w:rsidRPr="0022256F">
              <w:rPr>
                <w:sz w:val="20"/>
                <w:szCs w:val="20"/>
                <w:lang w:val="es-ES_tradnl" w:eastAsia="en-GB"/>
              </w:rPr>
              <w:t>la transferencia</w:t>
            </w:r>
            <w:r w:rsidR="00642517" w:rsidRPr="0022256F">
              <w:rPr>
                <w:sz w:val="20"/>
                <w:szCs w:val="20"/>
                <w:lang w:val="es-ES_tradnl" w:eastAsia="en-GB"/>
              </w:rPr>
              <w:t>, por ejemplo:</w:t>
            </w:r>
            <w:r w:rsidRPr="0022256F">
              <w:rPr>
                <w:color w:val="4F81BD" w:themeColor="accent1"/>
                <w:sz w:val="20"/>
                <w:szCs w:val="20"/>
                <w:lang w:val="es-ES_tradnl" w:eastAsia="en-GB"/>
              </w:rPr>
              <w:t xml:space="preserve">  </w:t>
            </w:r>
            <w:r w:rsidR="00556BA3" w:rsidRPr="0022256F">
              <w:rPr>
                <w:color w:val="4F81BD" w:themeColor="accent1"/>
                <w:sz w:val="20"/>
                <w:szCs w:val="20"/>
                <w:lang w:val="es-ES_tradnl" w:eastAsia="en-GB"/>
              </w:rPr>
              <w:t xml:space="preserve"> </w:t>
            </w:r>
          </w:p>
          <w:p w:rsidR="006B75B1" w:rsidRPr="0022256F" w:rsidRDefault="0022256F" w:rsidP="00DB3795">
            <w:pPr>
              <w:pStyle w:val="BulletTableau"/>
              <w:framePr w:wrap="around"/>
              <w:numPr>
                <w:ilvl w:val="1"/>
                <w:numId w:val="30"/>
              </w:numPr>
              <w:spacing w:before="144" w:after="48"/>
              <w:ind w:left="1077" w:hanging="357"/>
              <w:rPr>
                <w:sz w:val="20"/>
                <w:szCs w:val="20"/>
                <w:lang w:val="es-ES_tradnl"/>
              </w:rPr>
            </w:pPr>
            <w:r>
              <w:rPr>
                <w:sz w:val="20"/>
                <w:szCs w:val="20"/>
                <w:lang w:val="es-ES_tradnl"/>
              </w:rPr>
              <w:t>ne</w:t>
            </w:r>
            <w:r w:rsidR="00642517" w:rsidRPr="0022256F">
              <w:rPr>
                <w:sz w:val="20"/>
                <w:szCs w:val="20"/>
                <w:lang w:val="es-ES_tradnl"/>
              </w:rPr>
              <w:t xml:space="preserve">cesidades de consumo diarias como alimentos, agua, combustible, transporte </w:t>
            </w:r>
            <w:r w:rsidR="00556BA3" w:rsidRPr="0022256F">
              <w:rPr>
                <w:color w:val="4F81BD" w:themeColor="accent1"/>
                <w:sz w:val="20"/>
                <w:szCs w:val="20"/>
                <w:lang w:val="es-ES_tradnl"/>
              </w:rPr>
              <w:t xml:space="preserve"> </w:t>
            </w:r>
          </w:p>
          <w:p w:rsidR="009142B0" w:rsidRPr="0022256F" w:rsidRDefault="00642517" w:rsidP="00DB3795">
            <w:pPr>
              <w:pStyle w:val="BulletTableau"/>
              <w:framePr w:wrap="around"/>
              <w:numPr>
                <w:ilvl w:val="1"/>
                <w:numId w:val="30"/>
              </w:numPr>
              <w:spacing w:before="144" w:after="48"/>
              <w:ind w:left="1077" w:hanging="357"/>
              <w:rPr>
                <w:sz w:val="20"/>
                <w:szCs w:val="20"/>
                <w:lang w:val="es-ES_tradnl"/>
              </w:rPr>
            </w:pPr>
            <w:r w:rsidRPr="0022256F">
              <w:rPr>
                <w:sz w:val="20"/>
                <w:szCs w:val="20"/>
                <w:lang w:val="es-ES_tradnl"/>
              </w:rPr>
              <w:t xml:space="preserve">artículos del hogar como colchones, útiles de cocina, ropa </w:t>
            </w:r>
            <w:r w:rsidR="00556BA3" w:rsidRPr="0022256F">
              <w:rPr>
                <w:color w:val="4F81BD" w:themeColor="accent1"/>
                <w:sz w:val="20"/>
                <w:szCs w:val="20"/>
                <w:lang w:val="es-ES_tradnl"/>
              </w:rPr>
              <w:t xml:space="preserve"> </w:t>
            </w:r>
          </w:p>
          <w:p w:rsidR="0022256F" w:rsidRPr="0022256F" w:rsidRDefault="00642517" w:rsidP="0022256F">
            <w:pPr>
              <w:pStyle w:val="BulletTableau"/>
              <w:framePr w:wrap="around"/>
              <w:numPr>
                <w:ilvl w:val="1"/>
                <w:numId w:val="30"/>
              </w:numPr>
              <w:spacing w:before="144" w:after="48"/>
              <w:ind w:left="1077" w:hanging="357"/>
              <w:rPr>
                <w:sz w:val="20"/>
                <w:szCs w:val="20"/>
                <w:lang w:val="es-ES_tradnl"/>
              </w:rPr>
            </w:pPr>
            <w:r w:rsidRPr="0022256F">
              <w:rPr>
                <w:sz w:val="20"/>
                <w:szCs w:val="20"/>
                <w:lang w:val="es-ES_tradnl"/>
              </w:rPr>
              <w:t xml:space="preserve">reposición de activos de medios de vida como herramientas </w:t>
            </w:r>
            <w:r w:rsidR="00556BA3" w:rsidRPr="0022256F">
              <w:rPr>
                <w:color w:val="4F81BD" w:themeColor="accent1"/>
                <w:sz w:val="20"/>
                <w:szCs w:val="20"/>
                <w:lang w:val="es-ES_tradnl"/>
              </w:rPr>
              <w:t xml:space="preserve"> </w:t>
            </w:r>
          </w:p>
          <w:p w:rsidR="006B75B1" w:rsidRPr="0022256F" w:rsidRDefault="00250457" w:rsidP="0022256F">
            <w:pPr>
              <w:pStyle w:val="BulletTableau"/>
              <w:framePr w:wrap="around"/>
              <w:numPr>
                <w:ilvl w:val="1"/>
                <w:numId w:val="30"/>
              </w:numPr>
              <w:spacing w:before="144" w:after="48"/>
              <w:ind w:left="1077" w:hanging="357"/>
              <w:rPr>
                <w:sz w:val="20"/>
                <w:szCs w:val="20"/>
                <w:lang w:val="es-ES_tradnl"/>
              </w:rPr>
            </w:pPr>
            <w:r w:rsidRPr="0022256F">
              <w:rPr>
                <w:sz w:val="20"/>
                <w:szCs w:val="20"/>
                <w:lang w:val="es-ES_tradnl"/>
              </w:rPr>
              <w:t>materiales para</w:t>
            </w:r>
            <w:r w:rsidR="00E60B16" w:rsidRPr="0022256F">
              <w:rPr>
                <w:sz w:val="20"/>
                <w:szCs w:val="20"/>
                <w:lang w:val="es-ES_tradnl"/>
              </w:rPr>
              <w:t xml:space="preserve"> la</w:t>
            </w:r>
            <w:r w:rsidRPr="0022256F">
              <w:rPr>
                <w:sz w:val="20"/>
                <w:szCs w:val="20"/>
                <w:lang w:val="es-ES_tradnl"/>
              </w:rPr>
              <w:t xml:space="preserve"> reconstrucción básica de la vivienda </w:t>
            </w:r>
            <w:r w:rsidR="00556BA3" w:rsidRPr="0022256F">
              <w:rPr>
                <w:color w:val="4F81BD" w:themeColor="accent1"/>
                <w:sz w:val="20"/>
                <w:szCs w:val="20"/>
                <w:lang w:val="es-ES_tradnl"/>
              </w:rPr>
              <w:t xml:space="preserve"> </w:t>
            </w:r>
          </w:p>
          <w:p w:rsidR="009142B0" w:rsidRPr="0022256F" w:rsidRDefault="00250457" w:rsidP="00E843C4">
            <w:pPr>
              <w:pStyle w:val="BulletTableau"/>
              <w:framePr w:wrap="around"/>
              <w:spacing w:before="144" w:after="48"/>
              <w:rPr>
                <w:color w:val="4F81BD" w:themeColor="accent1"/>
                <w:sz w:val="20"/>
                <w:szCs w:val="20"/>
                <w:lang w:val="es-ES_tradnl" w:eastAsia="en-GB"/>
              </w:rPr>
            </w:pPr>
            <w:r w:rsidRPr="0022256F">
              <w:rPr>
                <w:sz w:val="20"/>
                <w:szCs w:val="20"/>
                <w:lang w:val="es-ES_tradnl" w:eastAsia="en-GB"/>
              </w:rPr>
              <w:t xml:space="preserve">Se analizará el gasto de la canasta básica de los hogares </w:t>
            </w:r>
            <w:r w:rsidR="00721D77" w:rsidRPr="0022256F">
              <w:rPr>
                <w:sz w:val="20"/>
                <w:szCs w:val="20"/>
                <w:lang w:val="es-ES_tradnl" w:eastAsia="en-GB"/>
              </w:rPr>
              <w:t xml:space="preserve">y se igualará el valor de la transferencia de efectivo a los gastos que el PTE persigue cubrir, ajustándolo a los precios de mercado cambiantes. </w:t>
            </w:r>
            <w:r w:rsidR="00556BA3" w:rsidRPr="0022256F">
              <w:rPr>
                <w:color w:val="4F81BD" w:themeColor="accent1"/>
                <w:sz w:val="20"/>
                <w:szCs w:val="20"/>
                <w:lang w:val="es-ES_tradnl" w:eastAsia="en-GB"/>
              </w:rPr>
              <w:t xml:space="preserve"> </w:t>
            </w:r>
          </w:p>
          <w:p w:rsidR="006B75B1" w:rsidRPr="0022256F" w:rsidRDefault="00721D77" w:rsidP="00E843C4">
            <w:pPr>
              <w:pStyle w:val="BulletTableau"/>
              <w:framePr w:wrap="around"/>
              <w:spacing w:before="144" w:after="48"/>
              <w:rPr>
                <w:sz w:val="20"/>
                <w:szCs w:val="20"/>
                <w:lang w:val="es-ES_tradnl" w:eastAsia="en-GB"/>
              </w:rPr>
            </w:pPr>
            <w:r w:rsidRPr="0022256F">
              <w:rPr>
                <w:sz w:val="20"/>
                <w:szCs w:val="20"/>
                <w:lang w:val="es-ES_tradnl"/>
              </w:rPr>
              <w:t>Se calculará el valor de la transferencia sobre la base de las estimaciones de los precios</w:t>
            </w:r>
            <w:r w:rsidR="003761F0" w:rsidRPr="0022256F">
              <w:rPr>
                <w:sz w:val="20"/>
                <w:szCs w:val="20"/>
                <w:lang w:val="es-ES_tradnl"/>
              </w:rPr>
              <w:t xml:space="preserve"> futuros</w:t>
            </w:r>
            <w:r w:rsidRPr="0022256F">
              <w:rPr>
                <w:sz w:val="20"/>
                <w:szCs w:val="20"/>
                <w:lang w:val="es-ES_tradnl"/>
              </w:rPr>
              <w:t xml:space="preserve"> para que los hogares puedan mantener el poder adquisitivo</w:t>
            </w:r>
            <w:r w:rsidR="00296C51" w:rsidRPr="0022256F">
              <w:rPr>
                <w:sz w:val="20"/>
                <w:szCs w:val="20"/>
                <w:lang w:val="es-ES_tradnl"/>
              </w:rPr>
              <w:t>.</w:t>
            </w:r>
            <w:r w:rsidRPr="0022256F">
              <w:rPr>
                <w:sz w:val="20"/>
                <w:szCs w:val="20"/>
                <w:lang w:val="es-ES_tradnl"/>
              </w:rPr>
              <w:t xml:space="preserve"> </w:t>
            </w:r>
            <w:r w:rsidR="00556BA3" w:rsidRPr="0022256F">
              <w:rPr>
                <w:color w:val="4F81BD" w:themeColor="accent1"/>
                <w:sz w:val="20"/>
                <w:szCs w:val="20"/>
                <w:lang w:val="es-ES_tradnl"/>
              </w:rPr>
              <w:t xml:space="preserve"> </w:t>
            </w:r>
          </w:p>
          <w:p w:rsidR="009C6F67" w:rsidRPr="0022256F" w:rsidRDefault="00270516" w:rsidP="00E843C4">
            <w:pPr>
              <w:pStyle w:val="BulletTableau"/>
              <w:framePr w:wrap="around"/>
              <w:spacing w:before="144" w:after="48"/>
              <w:rPr>
                <w:color w:val="4F81BD" w:themeColor="accent1"/>
                <w:sz w:val="20"/>
                <w:szCs w:val="20"/>
                <w:lang w:val="es-ES_tradnl" w:eastAsia="en-GB"/>
              </w:rPr>
            </w:pPr>
            <w:r w:rsidRPr="0022256F">
              <w:rPr>
                <w:sz w:val="20"/>
                <w:szCs w:val="20"/>
                <w:lang w:val="es-ES_tradnl" w:eastAsia="en-GB"/>
              </w:rPr>
              <w:t xml:space="preserve">Se valorará si la transferencia debe ajustarse al tamaño del hogar o si debe ser una cantidad fija (por ejemplo, 10$ por persona al mes o 50$ por hogar para alimentos, agua y combustible).  </w:t>
            </w:r>
            <w:r w:rsidR="00556BA3" w:rsidRPr="0022256F">
              <w:rPr>
                <w:color w:val="4F81BD" w:themeColor="accent1"/>
                <w:sz w:val="20"/>
                <w:szCs w:val="20"/>
                <w:lang w:val="es-ES_tradnl" w:eastAsia="en-GB"/>
              </w:rPr>
              <w:t xml:space="preserve"> </w:t>
            </w:r>
          </w:p>
          <w:p w:rsidR="002564FF" w:rsidRPr="0022256F" w:rsidRDefault="00270516" w:rsidP="00E843C4">
            <w:pPr>
              <w:pStyle w:val="BulletTableau"/>
              <w:framePr w:wrap="around"/>
              <w:spacing w:before="144" w:after="48"/>
              <w:rPr>
                <w:color w:val="4F81BD" w:themeColor="accent1"/>
                <w:sz w:val="20"/>
                <w:szCs w:val="20"/>
                <w:lang w:val="es-ES_tradnl" w:eastAsia="en-GB"/>
              </w:rPr>
            </w:pPr>
            <w:r w:rsidRPr="0022256F">
              <w:rPr>
                <w:sz w:val="20"/>
                <w:szCs w:val="20"/>
                <w:lang w:val="es-ES_tradnl" w:eastAsia="en-GB"/>
              </w:rPr>
              <w:t>Se valorarán los riesgos de seguridad asociados al pago de importes elevados de una sola vez y que los beneficiarios solo tengan que desplazarse una vez a recoger la transferencia, frente a entregas de menor cuantía pero que impliquen desplazamientos frecuentes</w:t>
            </w:r>
            <w:r w:rsidR="00D34BCA" w:rsidRPr="0022256F">
              <w:rPr>
                <w:sz w:val="20"/>
                <w:szCs w:val="20"/>
                <w:lang w:val="es-ES_tradnl" w:eastAsia="en-GB"/>
              </w:rPr>
              <w:t>.</w:t>
            </w:r>
            <w:r w:rsidRPr="0022256F">
              <w:rPr>
                <w:sz w:val="20"/>
                <w:szCs w:val="20"/>
                <w:lang w:val="es-ES_tradnl" w:eastAsia="en-GB"/>
              </w:rPr>
              <w:t xml:space="preserve"> </w:t>
            </w:r>
            <w:r w:rsidR="00556BA3" w:rsidRPr="0022256F">
              <w:rPr>
                <w:color w:val="4F81BD" w:themeColor="accent1"/>
                <w:sz w:val="20"/>
                <w:szCs w:val="20"/>
                <w:lang w:val="es-ES_tradnl" w:eastAsia="en-GB"/>
              </w:rPr>
              <w:t xml:space="preserve"> </w:t>
            </w:r>
          </w:p>
          <w:p w:rsidR="00BB76D0" w:rsidRPr="0022256F" w:rsidRDefault="0021648F" w:rsidP="00E843C4">
            <w:pPr>
              <w:pStyle w:val="BulletTableau"/>
              <w:framePr w:wrap="around"/>
              <w:spacing w:before="144" w:after="48"/>
              <w:rPr>
                <w:sz w:val="20"/>
                <w:szCs w:val="20"/>
                <w:lang w:val="es-ES_tradnl" w:eastAsia="en-GB"/>
              </w:rPr>
            </w:pPr>
            <w:r w:rsidRPr="0022256F">
              <w:rPr>
                <w:sz w:val="20"/>
                <w:szCs w:val="20"/>
                <w:lang w:val="es-ES_tradnl" w:eastAsia="en-GB"/>
              </w:rPr>
              <w:t>Se valorará la facilidad para recargar una transferencia en función del mecanismo de entrega de efectivo elegido (entregas de efectivo directo versus opciones de entrega de efectivo a través de teléfonos móviles)</w:t>
            </w:r>
            <w:r w:rsidR="00D34BCA" w:rsidRPr="0022256F">
              <w:rPr>
                <w:sz w:val="20"/>
                <w:szCs w:val="20"/>
                <w:lang w:val="es-ES_tradnl" w:eastAsia="en-GB"/>
              </w:rPr>
              <w:t>.</w:t>
            </w:r>
            <w:r w:rsidRPr="0022256F">
              <w:rPr>
                <w:sz w:val="20"/>
                <w:szCs w:val="20"/>
                <w:lang w:val="es-ES_tradnl" w:eastAsia="en-GB"/>
              </w:rPr>
              <w:t xml:space="preserve"> </w:t>
            </w:r>
            <w:r w:rsidR="00556BA3" w:rsidRPr="0022256F">
              <w:rPr>
                <w:color w:val="4F81BD" w:themeColor="accent1"/>
                <w:sz w:val="20"/>
                <w:szCs w:val="20"/>
                <w:lang w:val="es-ES_tradnl" w:eastAsia="en-GB"/>
              </w:rPr>
              <w:t xml:space="preserve"> </w:t>
            </w:r>
          </w:p>
          <w:p w:rsidR="009C6F67" w:rsidRPr="0022256F" w:rsidRDefault="0021648F" w:rsidP="00E843C4">
            <w:pPr>
              <w:pStyle w:val="BulletTableau"/>
              <w:framePr w:wrap="around"/>
              <w:spacing w:before="144" w:after="48"/>
              <w:rPr>
                <w:sz w:val="20"/>
                <w:szCs w:val="20"/>
                <w:lang w:val="es-ES_tradnl" w:eastAsia="en-GB"/>
              </w:rPr>
            </w:pPr>
            <w:r w:rsidRPr="0022256F">
              <w:rPr>
                <w:sz w:val="20"/>
                <w:szCs w:val="20"/>
                <w:lang w:val="es-ES_tradnl" w:eastAsia="en-GB"/>
              </w:rPr>
              <w:t xml:space="preserve">Se consultará y se hará partícipes a los beneficiarios, representantes comunitarios y otros actores clave para asegurar que el valor de la trasferencia responde a las expectativas y a los cambios </w:t>
            </w:r>
            <w:r w:rsidR="00FE1C24" w:rsidRPr="0022256F">
              <w:rPr>
                <w:sz w:val="20"/>
                <w:szCs w:val="20"/>
                <w:lang w:val="es-ES_tradnl" w:eastAsia="en-GB"/>
              </w:rPr>
              <w:t>en el contexto operativo</w:t>
            </w:r>
            <w:r w:rsidR="00D34BCA" w:rsidRPr="0022256F">
              <w:rPr>
                <w:sz w:val="20"/>
                <w:szCs w:val="20"/>
                <w:lang w:val="es-ES_tradnl" w:eastAsia="en-GB"/>
              </w:rPr>
              <w:t>.</w:t>
            </w:r>
            <w:r w:rsidRPr="0022256F">
              <w:rPr>
                <w:sz w:val="20"/>
                <w:szCs w:val="20"/>
                <w:lang w:val="es-ES_tradnl" w:eastAsia="en-GB"/>
              </w:rPr>
              <w:t xml:space="preserve"> </w:t>
            </w:r>
            <w:r w:rsidR="00556BA3" w:rsidRPr="0022256F">
              <w:rPr>
                <w:color w:val="4F81BD" w:themeColor="accent1"/>
                <w:sz w:val="20"/>
                <w:szCs w:val="20"/>
                <w:lang w:val="es-ES_tradnl" w:eastAsia="en-GB"/>
              </w:rPr>
              <w:t xml:space="preserve"> </w:t>
            </w:r>
          </w:p>
          <w:p w:rsidR="00743AEB" w:rsidRPr="0022256F" w:rsidRDefault="00D34BCA" w:rsidP="00556BA3">
            <w:pPr>
              <w:pStyle w:val="BulletTableau"/>
              <w:framePr w:wrap="around"/>
              <w:spacing w:before="144" w:after="48"/>
              <w:rPr>
                <w:sz w:val="20"/>
                <w:szCs w:val="20"/>
                <w:lang w:val="es-ES_tradnl" w:eastAsia="en-GB"/>
              </w:rPr>
            </w:pPr>
            <w:r w:rsidRPr="0022256F">
              <w:rPr>
                <w:sz w:val="20"/>
                <w:szCs w:val="20"/>
                <w:lang w:val="es-ES_tradnl" w:eastAsia="en-GB"/>
              </w:rPr>
              <w:t xml:space="preserve">Es necesario monitorear para determinar si el valor de la transferencia de efectivo mantiene su poder adquisitivo en el mercado local y tener un plan de contingencia para saber qué hacer en caso de inflación (aumentar el valor de la transferencia, aumentar la periodicidad de las entregas, cambiar a </w:t>
            </w:r>
            <w:r w:rsidR="00087B7B" w:rsidRPr="0022256F">
              <w:rPr>
                <w:sz w:val="20"/>
                <w:szCs w:val="20"/>
                <w:lang w:val="es-ES_tradnl" w:eastAsia="en-GB"/>
              </w:rPr>
              <w:t xml:space="preserve">entregas de producto </w:t>
            </w:r>
            <w:r w:rsidRPr="0022256F">
              <w:rPr>
                <w:sz w:val="20"/>
                <w:szCs w:val="20"/>
                <w:lang w:val="es-ES_tradnl" w:eastAsia="en-GB"/>
              </w:rPr>
              <w:t xml:space="preserve">o mediante cupones, según convenga).    </w:t>
            </w:r>
            <w:r w:rsidR="00556BA3" w:rsidRPr="0022256F">
              <w:rPr>
                <w:color w:val="4F81BD" w:themeColor="accent1"/>
                <w:sz w:val="20"/>
                <w:szCs w:val="20"/>
                <w:lang w:val="es-ES_tradnl" w:eastAsia="en-GB"/>
              </w:rPr>
              <w:t xml:space="preserve"> </w:t>
            </w:r>
          </w:p>
          <w:p w:rsidR="00556BA3" w:rsidRPr="0022256F" w:rsidRDefault="00556BA3" w:rsidP="00556BA3">
            <w:pPr>
              <w:pStyle w:val="BulletTableau"/>
              <w:framePr w:wrap="around"/>
              <w:numPr>
                <w:ilvl w:val="0"/>
                <w:numId w:val="0"/>
              </w:numPr>
              <w:spacing w:before="144" w:after="48"/>
              <w:ind w:left="720"/>
              <w:rPr>
                <w:sz w:val="20"/>
                <w:szCs w:val="20"/>
                <w:lang w:val="es-ES_tradnl" w:eastAsia="en-GB"/>
              </w:rPr>
            </w:pPr>
          </w:p>
        </w:tc>
      </w:tr>
      <w:tr w:rsidR="00296C51" w:rsidRPr="0022256F" w:rsidTr="003A4233">
        <w:tc>
          <w:tcPr>
            <w:tcW w:w="993" w:type="pct"/>
            <w:tcBorders>
              <w:bottom w:val="single" w:sz="4" w:space="0" w:color="auto"/>
            </w:tcBorders>
            <w:shd w:val="clear" w:color="auto" w:fill="A6A6A6"/>
            <w:vAlign w:val="center"/>
          </w:tcPr>
          <w:p w:rsidR="00321BFC" w:rsidRPr="0022256F" w:rsidRDefault="00296C51" w:rsidP="00556BA3">
            <w:pPr>
              <w:spacing w:before="120" w:after="60" w:line="276" w:lineRule="auto"/>
              <w:jc w:val="left"/>
              <w:rPr>
                <w:rFonts w:cs="Arial"/>
                <w:b/>
                <w:sz w:val="20"/>
                <w:szCs w:val="20"/>
                <w:lang w:val="es-ES_tradnl"/>
              </w:rPr>
            </w:pPr>
            <w:r w:rsidRPr="0022256F">
              <w:rPr>
                <w:rFonts w:cs="Arial"/>
                <w:b/>
                <w:sz w:val="20"/>
                <w:szCs w:val="20"/>
                <w:lang w:val="es-ES_tradnl"/>
              </w:rPr>
              <w:lastRenderedPageBreak/>
              <w:t>Transferencias de efectivo incondicional</w:t>
            </w:r>
            <w:r w:rsidR="00556BA3" w:rsidRPr="0022256F">
              <w:rPr>
                <w:rFonts w:cs="Arial"/>
                <w:b/>
                <w:sz w:val="20"/>
                <w:szCs w:val="20"/>
                <w:lang w:val="es-ES_tradnl"/>
              </w:rPr>
              <w:t xml:space="preserve"> </w:t>
            </w:r>
            <w:r w:rsidR="00556BA3" w:rsidRPr="0022256F">
              <w:rPr>
                <w:rFonts w:cs="Arial"/>
                <w:b/>
                <w:color w:val="4F81BD" w:themeColor="accent1"/>
                <w:sz w:val="20"/>
                <w:szCs w:val="20"/>
                <w:lang w:val="es-ES_tradnl"/>
              </w:rPr>
              <w:t xml:space="preserve"> </w:t>
            </w:r>
          </w:p>
        </w:tc>
        <w:tc>
          <w:tcPr>
            <w:tcW w:w="4007" w:type="pct"/>
            <w:shd w:val="clear" w:color="auto" w:fill="E6E6E6"/>
          </w:tcPr>
          <w:p w:rsidR="00075E48" w:rsidRPr="0022256F" w:rsidRDefault="00296C51" w:rsidP="00E843C4">
            <w:pPr>
              <w:pStyle w:val="BulletTableau"/>
              <w:framePr w:wrap="around"/>
              <w:spacing w:before="144" w:after="48"/>
              <w:rPr>
                <w:sz w:val="20"/>
                <w:szCs w:val="20"/>
                <w:lang w:val="es-ES_tradnl" w:eastAsia="en-GB"/>
              </w:rPr>
            </w:pPr>
            <w:r w:rsidRPr="0022256F">
              <w:rPr>
                <w:sz w:val="20"/>
                <w:szCs w:val="20"/>
                <w:lang w:val="es-ES_tradnl" w:eastAsia="en-GB"/>
              </w:rPr>
              <w:t>Habrá que decidir si es más conveniente para lograr los objetivos del proyecto hacer un pago único o múltiples entregas regulares y, en función de esto, fijar el valor de la transferencia (por ejemplo, un pago único de 200 $ o 4 entregas de 50$ cada 2 semanas para cubrir los gastos</w:t>
            </w:r>
            <w:r w:rsidR="00E60B16" w:rsidRPr="0022256F">
              <w:rPr>
                <w:sz w:val="20"/>
                <w:szCs w:val="20"/>
                <w:lang w:val="es-ES_tradnl" w:eastAsia="en-GB"/>
              </w:rPr>
              <w:t xml:space="preserve"> básicos</w:t>
            </w:r>
            <w:r w:rsidRPr="0022256F">
              <w:rPr>
                <w:sz w:val="20"/>
                <w:szCs w:val="20"/>
                <w:lang w:val="es-ES_tradnl" w:eastAsia="en-GB"/>
              </w:rPr>
              <w:t xml:space="preserve"> del hogar).  </w:t>
            </w:r>
            <w:r w:rsidR="00556BA3" w:rsidRPr="0022256F">
              <w:rPr>
                <w:color w:val="4F81BD" w:themeColor="accent1"/>
                <w:sz w:val="20"/>
                <w:szCs w:val="20"/>
                <w:lang w:val="es-ES_tradnl" w:eastAsia="en-GB"/>
              </w:rPr>
              <w:t xml:space="preserve"> </w:t>
            </w:r>
          </w:p>
          <w:p w:rsidR="00321BFC" w:rsidRPr="0022256F" w:rsidRDefault="007E321E" w:rsidP="00556BA3">
            <w:pPr>
              <w:pStyle w:val="BulletTableau"/>
              <w:framePr w:wrap="around"/>
              <w:spacing w:before="144" w:after="48"/>
              <w:rPr>
                <w:sz w:val="20"/>
                <w:szCs w:val="20"/>
                <w:lang w:val="es-ES_tradnl" w:eastAsia="en-GB"/>
              </w:rPr>
            </w:pPr>
            <w:r w:rsidRPr="0022256F">
              <w:rPr>
                <w:sz w:val="20"/>
                <w:szCs w:val="20"/>
                <w:lang w:val="es-ES_tradnl"/>
              </w:rPr>
              <w:t xml:space="preserve">Hay que recordar que los hogares muy endeudados pueden utilizar las ayudas para devolver deudas en lugar de para comprar los bienes para los que estaban destinadas. </w:t>
            </w:r>
            <w:r w:rsidR="00556BA3" w:rsidRPr="0022256F">
              <w:rPr>
                <w:color w:val="4F81BD" w:themeColor="accent1"/>
                <w:sz w:val="20"/>
                <w:szCs w:val="20"/>
                <w:lang w:val="es-ES_tradnl"/>
              </w:rPr>
              <w:t xml:space="preserve"> </w:t>
            </w:r>
          </w:p>
        </w:tc>
      </w:tr>
      <w:tr w:rsidR="00296C51" w:rsidRPr="0022256F" w:rsidTr="003A4233">
        <w:tc>
          <w:tcPr>
            <w:tcW w:w="993" w:type="pct"/>
            <w:shd w:val="clear" w:color="auto" w:fill="A6A6A6"/>
            <w:vAlign w:val="center"/>
          </w:tcPr>
          <w:p w:rsidR="006B75B1" w:rsidRPr="0022256F" w:rsidRDefault="00296C51" w:rsidP="00556BA3">
            <w:pPr>
              <w:keepNext/>
              <w:keepLines/>
              <w:spacing w:before="120" w:after="60" w:line="276" w:lineRule="auto"/>
              <w:jc w:val="left"/>
              <w:rPr>
                <w:rFonts w:cs="Arial"/>
                <w:b/>
                <w:sz w:val="20"/>
                <w:szCs w:val="20"/>
                <w:lang w:val="es-ES_tradnl"/>
              </w:rPr>
            </w:pPr>
            <w:r w:rsidRPr="0022256F">
              <w:rPr>
                <w:rFonts w:cs="Arial"/>
                <w:b/>
                <w:sz w:val="20"/>
                <w:szCs w:val="20"/>
                <w:lang w:val="es-ES_tradnl"/>
              </w:rPr>
              <w:t>Transferencias de efectivo condicionadas</w:t>
            </w:r>
            <w:r w:rsidR="00556BA3" w:rsidRPr="0022256F">
              <w:rPr>
                <w:rFonts w:cs="Arial"/>
                <w:b/>
                <w:sz w:val="20"/>
                <w:szCs w:val="20"/>
                <w:lang w:val="es-ES_tradnl"/>
              </w:rPr>
              <w:t xml:space="preserve"> </w:t>
            </w:r>
            <w:r w:rsidR="00556BA3" w:rsidRPr="0022256F">
              <w:rPr>
                <w:rFonts w:cs="Arial"/>
                <w:b/>
                <w:color w:val="4F81BD" w:themeColor="accent1"/>
                <w:sz w:val="20"/>
                <w:szCs w:val="20"/>
                <w:lang w:val="es-ES_tradnl"/>
              </w:rPr>
              <w:t xml:space="preserve"> </w:t>
            </w:r>
          </w:p>
        </w:tc>
        <w:tc>
          <w:tcPr>
            <w:tcW w:w="4007" w:type="pct"/>
            <w:shd w:val="clear" w:color="auto" w:fill="E6E6E6"/>
          </w:tcPr>
          <w:p w:rsidR="006B75B1" w:rsidRPr="0022256F" w:rsidRDefault="007E321E" w:rsidP="00E843C4">
            <w:pPr>
              <w:pStyle w:val="BulletTableau"/>
              <w:framePr w:wrap="around"/>
              <w:spacing w:before="144" w:after="48"/>
              <w:rPr>
                <w:sz w:val="20"/>
                <w:szCs w:val="20"/>
                <w:lang w:val="es-ES_tradnl"/>
              </w:rPr>
            </w:pPr>
            <w:r w:rsidRPr="0022256F">
              <w:rPr>
                <w:sz w:val="20"/>
                <w:szCs w:val="20"/>
                <w:lang w:val="es-ES_tradnl"/>
              </w:rPr>
              <w:t xml:space="preserve">Cuando se opta por las transferencias de efectivo condicionadas hay que tener en cuenta que el coste de los activos/materiales puede variar en función del lugar y de la actividad de medios de vida, por lo que hay que ajustar el valor de la transferencia en consecuencia. </w:t>
            </w:r>
            <w:r w:rsidR="00556BA3" w:rsidRPr="0022256F">
              <w:rPr>
                <w:color w:val="4F81BD" w:themeColor="accent1"/>
                <w:sz w:val="20"/>
                <w:szCs w:val="20"/>
                <w:lang w:val="es-ES_tradnl"/>
              </w:rPr>
              <w:t xml:space="preserve"> </w:t>
            </w:r>
          </w:p>
          <w:p w:rsidR="006B75B1" w:rsidRPr="0022256F" w:rsidRDefault="007E321E" w:rsidP="00556BA3">
            <w:pPr>
              <w:pStyle w:val="BulletTableau"/>
              <w:framePr w:wrap="around"/>
              <w:spacing w:before="144" w:after="48"/>
              <w:rPr>
                <w:sz w:val="20"/>
                <w:szCs w:val="20"/>
                <w:lang w:val="es-ES_tradnl"/>
              </w:rPr>
            </w:pPr>
            <w:r w:rsidRPr="0022256F">
              <w:rPr>
                <w:sz w:val="20"/>
                <w:szCs w:val="20"/>
                <w:lang w:val="es-ES_tradnl"/>
              </w:rPr>
              <w:t xml:space="preserve">Cuando se hagan transferencias de efectivo mediante las modalidades de efectivo directo o cupones </w:t>
            </w:r>
            <w:r w:rsidR="005A71F9" w:rsidRPr="0022256F">
              <w:rPr>
                <w:sz w:val="20"/>
                <w:szCs w:val="20"/>
                <w:lang w:val="es-ES_tradnl"/>
              </w:rPr>
              <w:t xml:space="preserve">específicamente </w:t>
            </w:r>
            <w:r w:rsidRPr="0022256F">
              <w:rPr>
                <w:sz w:val="20"/>
                <w:szCs w:val="20"/>
                <w:lang w:val="es-ES_tradnl"/>
              </w:rPr>
              <w:t>para medios de vida o</w:t>
            </w:r>
            <w:r w:rsidR="005A71F9" w:rsidRPr="0022256F">
              <w:rPr>
                <w:sz w:val="20"/>
                <w:szCs w:val="20"/>
                <w:lang w:val="es-ES_tradnl"/>
              </w:rPr>
              <w:t xml:space="preserve"> </w:t>
            </w:r>
            <w:r w:rsidR="00087B7B" w:rsidRPr="0022256F">
              <w:rPr>
                <w:sz w:val="20"/>
                <w:szCs w:val="20"/>
                <w:lang w:val="es-ES_tradnl"/>
              </w:rPr>
              <w:t>alojamiento</w:t>
            </w:r>
            <w:r w:rsidRPr="0022256F">
              <w:rPr>
                <w:sz w:val="20"/>
                <w:szCs w:val="20"/>
                <w:lang w:val="es-ES_tradnl"/>
              </w:rPr>
              <w:t xml:space="preserve">, hay que incluir el coste de los materiales, la mano de obra y el transporte. </w:t>
            </w:r>
            <w:r w:rsidR="00556BA3" w:rsidRPr="0022256F">
              <w:rPr>
                <w:color w:val="4F81BD" w:themeColor="accent1"/>
                <w:sz w:val="20"/>
                <w:szCs w:val="20"/>
                <w:lang w:val="es-ES_tradnl"/>
              </w:rPr>
              <w:t xml:space="preserve"> </w:t>
            </w:r>
          </w:p>
        </w:tc>
      </w:tr>
      <w:tr w:rsidR="00296C51" w:rsidRPr="0022256F" w:rsidTr="003A4233">
        <w:tc>
          <w:tcPr>
            <w:tcW w:w="993" w:type="pct"/>
            <w:shd w:val="clear" w:color="auto" w:fill="A6A6A6"/>
            <w:vAlign w:val="center"/>
          </w:tcPr>
          <w:p w:rsidR="00075E48" w:rsidRPr="0022256F" w:rsidRDefault="00296C51" w:rsidP="00556BA3">
            <w:pPr>
              <w:spacing w:before="120" w:after="60" w:line="276" w:lineRule="auto"/>
              <w:jc w:val="left"/>
              <w:rPr>
                <w:rFonts w:cs="Arial"/>
                <w:b/>
                <w:sz w:val="20"/>
                <w:szCs w:val="20"/>
                <w:lang w:val="es-ES_tradnl"/>
              </w:rPr>
            </w:pPr>
            <w:r w:rsidRPr="0022256F">
              <w:rPr>
                <w:rFonts w:cs="Arial"/>
                <w:b/>
                <w:sz w:val="20"/>
                <w:szCs w:val="20"/>
                <w:lang w:val="es-ES_tradnl"/>
              </w:rPr>
              <w:t xml:space="preserve">Dinero por trabajo </w:t>
            </w:r>
            <w:r w:rsidR="00556BA3" w:rsidRPr="0022256F">
              <w:rPr>
                <w:rFonts w:cs="Arial"/>
                <w:b/>
                <w:color w:val="4F81BD" w:themeColor="accent1"/>
                <w:sz w:val="20"/>
                <w:szCs w:val="20"/>
                <w:lang w:val="es-ES_tradnl"/>
              </w:rPr>
              <w:t xml:space="preserve"> </w:t>
            </w:r>
          </w:p>
        </w:tc>
        <w:tc>
          <w:tcPr>
            <w:tcW w:w="4007" w:type="pct"/>
            <w:shd w:val="clear" w:color="auto" w:fill="E6E6E6"/>
          </w:tcPr>
          <w:p w:rsidR="00075E48" w:rsidRPr="0022256F" w:rsidRDefault="005A71F9" w:rsidP="00E843C4">
            <w:pPr>
              <w:pStyle w:val="BulletTableau"/>
              <w:framePr w:wrap="around"/>
              <w:spacing w:before="144" w:after="48"/>
              <w:rPr>
                <w:color w:val="4F81BD" w:themeColor="accent1"/>
                <w:sz w:val="20"/>
                <w:szCs w:val="20"/>
                <w:lang w:val="es-ES_tradnl"/>
              </w:rPr>
            </w:pPr>
            <w:r w:rsidRPr="0022256F">
              <w:rPr>
                <w:sz w:val="20"/>
                <w:szCs w:val="20"/>
                <w:lang w:val="es-ES_tradnl"/>
              </w:rPr>
              <w:t xml:space="preserve">Los jornales deben fijarse justo por debajo de los de mercado. De esta forma las personas más vulnerables se autoseleccionarán para los trabajos, </w:t>
            </w:r>
            <w:r w:rsidR="00A9517B" w:rsidRPr="0022256F">
              <w:rPr>
                <w:sz w:val="20"/>
                <w:szCs w:val="20"/>
                <w:lang w:val="es-ES_tradnl"/>
              </w:rPr>
              <w:t xml:space="preserve">mientras que los que no lo son </w:t>
            </w:r>
            <w:r w:rsidRPr="0022256F">
              <w:rPr>
                <w:sz w:val="20"/>
                <w:szCs w:val="20"/>
                <w:lang w:val="es-ES_tradnl"/>
              </w:rPr>
              <w:t xml:space="preserve">no abandonarán los negocios locales </w:t>
            </w:r>
            <w:r w:rsidR="00A9517B" w:rsidRPr="0022256F">
              <w:rPr>
                <w:sz w:val="20"/>
                <w:szCs w:val="20"/>
                <w:lang w:val="es-ES_tradnl"/>
              </w:rPr>
              <w:t xml:space="preserve">o </w:t>
            </w:r>
            <w:r w:rsidRPr="0022256F">
              <w:rPr>
                <w:sz w:val="20"/>
                <w:szCs w:val="20"/>
                <w:lang w:val="es-ES_tradnl"/>
              </w:rPr>
              <w:t>retornarán a sus empleos</w:t>
            </w:r>
            <w:r w:rsidR="00A9517B" w:rsidRPr="0022256F">
              <w:rPr>
                <w:sz w:val="20"/>
                <w:szCs w:val="20"/>
                <w:lang w:val="es-ES_tradnl"/>
              </w:rPr>
              <w:t xml:space="preserve"> habituales</w:t>
            </w:r>
            <w:r w:rsidRPr="0022256F">
              <w:rPr>
                <w:sz w:val="20"/>
                <w:szCs w:val="20"/>
                <w:lang w:val="es-ES_tradnl"/>
              </w:rPr>
              <w:t xml:space="preserve">. </w:t>
            </w:r>
            <w:r w:rsidR="00A9517B" w:rsidRPr="0022256F">
              <w:rPr>
                <w:sz w:val="20"/>
                <w:szCs w:val="20"/>
                <w:lang w:val="es-ES_tradnl"/>
              </w:rPr>
              <w:t xml:space="preserve">Los jornales de la modalidad de dinero por trabajo casi nunca cubren más que el coste de las necesidades básicas del hogar. </w:t>
            </w:r>
            <w:r w:rsidR="00556BA3" w:rsidRPr="0022256F">
              <w:rPr>
                <w:color w:val="4F81BD" w:themeColor="accent1"/>
                <w:sz w:val="20"/>
                <w:szCs w:val="20"/>
                <w:lang w:val="es-ES_tradnl"/>
              </w:rPr>
              <w:t xml:space="preserve"> </w:t>
            </w:r>
          </w:p>
          <w:p w:rsidR="00075E48" w:rsidRPr="0022256F" w:rsidRDefault="00A9517B" w:rsidP="00E843C4">
            <w:pPr>
              <w:pStyle w:val="BulletTableau"/>
              <w:framePr w:wrap="around"/>
              <w:spacing w:before="144" w:after="48"/>
              <w:rPr>
                <w:sz w:val="20"/>
                <w:szCs w:val="20"/>
                <w:lang w:val="es-ES_tradnl"/>
              </w:rPr>
            </w:pPr>
            <w:r w:rsidRPr="0022256F">
              <w:rPr>
                <w:sz w:val="20"/>
                <w:szCs w:val="20"/>
                <w:lang w:val="es-ES_tradnl"/>
              </w:rPr>
              <w:t xml:space="preserve">Los pagos pueden variar en función del nivel de competencias que requiera el trabajo, la duración de la jornada laboral y la duración del proyecto.  </w:t>
            </w:r>
            <w:r w:rsidR="00556BA3" w:rsidRPr="0022256F">
              <w:rPr>
                <w:color w:val="4F81BD" w:themeColor="accent1"/>
                <w:sz w:val="20"/>
                <w:szCs w:val="20"/>
                <w:lang w:val="es-ES_tradnl"/>
              </w:rPr>
              <w:t xml:space="preserve"> </w:t>
            </w:r>
          </w:p>
          <w:p w:rsidR="00075E48" w:rsidRPr="0022256F" w:rsidRDefault="00A9517B" w:rsidP="00E843C4">
            <w:pPr>
              <w:pStyle w:val="BulletTableau"/>
              <w:framePr w:wrap="around"/>
              <w:spacing w:before="144" w:after="48"/>
              <w:rPr>
                <w:color w:val="4F81BD" w:themeColor="accent1"/>
                <w:sz w:val="20"/>
                <w:szCs w:val="20"/>
                <w:lang w:val="es-ES_tradnl"/>
              </w:rPr>
            </w:pPr>
            <w:r w:rsidRPr="0022256F">
              <w:rPr>
                <w:sz w:val="20"/>
                <w:szCs w:val="20"/>
                <w:lang w:val="es-ES_tradnl"/>
              </w:rPr>
              <w:t xml:space="preserve">Hay que asegurarse de que los costes de transporte hasta y desde el lugar de trabajo están cubiertos. </w:t>
            </w:r>
            <w:r w:rsidR="00556BA3" w:rsidRPr="0022256F">
              <w:rPr>
                <w:color w:val="4F81BD" w:themeColor="accent1"/>
                <w:sz w:val="20"/>
                <w:szCs w:val="20"/>
                <w:lang w:val="es-ES_tradnl"/>
              </w:rPr>
              <w:t xml:space="preserve"> </w:t>
            </w:r>
          </w:p>
          <w:p w:rsidR="00075E48" w:rsidRPr="0022256F" w:rsidRDefault="00A9517B" w:rsidP="00E843C4">
            <w:pPr>
              <w:pStyle w:val="BulletTableau"/>
              <w:framePr w:wrap="around"/>
              <w:spacing w:before="144" w:after="48"/>
              <w:rPr>
                <w:color w:val="4F81BD" w:themeColor="accent1"/>
                <w:sz w:val="20"/>
                <w:szCs w:val="20"/>
                <w:lang w:val="es-ES_tradnl"/>
              </w:rPr>
            </w:pPr>
            <w:r w:rsidRPr="0022256F">
              <w:rPr>
                <w:sz w:val="20"/>
                <w:szCs w:val="20"/>
                <w:lang w:val="es-ES_tradnl"/>
              </w:rPr>
              <w:t xml:space="preserve">Si hubiera varias organizaciones implementando programas de dinero por trabajo, hay que asegurarse de que se aplican </w:t>
            </w:r>
            <w:r w:rsidR="00E60B16" w:rsidRPr="0022256F">
              <w:rPr>
                <w:sz w:val="20"/>
                <w:szCs w:val="20"/>
                <w:lang w:val="es-ES_tradnl"/>
              </w:rPr>
              <w:t>salarios</w:t>
            </w:r>
            <w:r w:rsidRPr="0022256F">
              <w:rPr>
                <w:sz w:val="20"/>
                <w:szCs w:val="20"/>
                <w:lang w:val="es-ES_tradnl"/>
              </w:rPr>
              <w:t xml:space="preserve"> similares</w:t>
            </w:r>
            <w:r w:rsidR="00556BA3" w:rsidRPr="0022256F">
              <w:rPr>
                <w:sz w:val="20"/>
                <w:szCs w:val="20"/>
                <w:lang w:val="es-ES_tradnl"/>
              </w:rPr>
              <w:t xml:space="preserve">. </w:t>
            </w:r>
          </w:p>
          <w:p w:rsidR="00075E48" w:rsidRPr="0022256F" w:rsidRDefault="0061680C" w:rsidP="00E843C4">
            <w:pPr>
              <w:pStyle w:val="BulletTableau"/>
              <w:framePr w:wrap="around"/>
              <w:spacing w:before="144" w:after="48"/>
              <w:rPr>
                <w:sz w:val="20"/>
                <w:szCs w:val="20"/>
                <w:lang w:val="es-ES_tradnl"/>
              </w:rPr>
            </w:pPr>
            <w:r w:rsidRPr="0022256F">
              <w:rPr>
                <w:sz w:val="20"/>
                <w:szCs w:val="20"/>
                <w:lang w:val="es-ES_tradnl"/>
              </w:rPr>
              <w:t xml:space="preserve">Hay que comprobar frecuentemente que los </w:t>
            </w:r>
            <w:r w:rsidR="00E60B16" w:rsidRPr="0022256F">
              <w:rPr>
                <w:sz w:val="20"/>
                <w:szCs w:val="20"/>
                <w:lang w:val="es-ES_tradnl"/>
              </w:rPr>
              <w:t xml:space="preserve">salarios </w:t>
            </w:r>
            <w:r w:rsidRPr="0022256F">
              <w:rPr>
                <w:sz w:val="20"/>
                <w:szCs w:val="20"/>
                <w:lang w:val="es-ES_tradnl"/>
              </w:rPr>
              <w:t xml:space="preserve">de dinero por trabajo son acordes con las tarifas locales, de modo que las empresas locales pueden encontrar trabajadores. Si del monitoreo se desprende que las acciones de dinero por trabajo están provocando escasez de mano de obra, hay que considerar reducir los jornales o restringir la participación. </w:t>
            </w:r>
            <w:r w:rsidR="00556BA3" w:rsidRPr="0022256F">
              <w:rPr>
                <w:color w:val="4F81BD" w:themeColor="accent1"/>
                <w:sz w:val="20"/>
                <w:szCs w:val="20"/>
                <w:lang w:val="es-ES_tradnl"/>
              </w:rPr>
              <w:t xml:space="preserve"> </w:t>
            </w:r>
          </w:p>
          <w:p w:rsidR="00075E48" w:rsidRPr="0022256F" w:rsidRDefault="0061680C" w:rsidP="00556BA3">
            <w:pPr>
              <w:pStyle w:val="BulletTableau"/>
              <w:framePr w:wrap="around"/>
              <w:spacing w:before="144" w:after="48"/>
              <w:rPr>
                <w:sz w:val="20"/>
                <w:szCs w:val="20"/>
                <w:lang w:val="es-ES_tradnl"/>
              </w:rPr>
            </w:pPr>
            <w:r w:rsidRPr="0022256F">
              <w:rPr>
                <w:sz w:val="20"/>
                <w:szCs w:val="20"/>
                <w:lang w:val="es-ES_tradnl"/>
              </w:rPr>
              <w:t xml:space="preserve">Hay que observar la legislación local, ya que los salarios mínimos pueden estar establecidos por ley. </w:t>
            </w:r>
            <w:r w:rsidR="00556BA3" w:rsidRPr="0022256F">
              <w:rPr>
                <w:color w:val="4F81BD" w:themeColor="accent1"/>
                <w:sz w:val="20"/>
                <w:szCs w:val="20"/>
                <w:lang w:val="es-ES_tradnl"/>
              </w:rPr>
              <w:t xml:space="preserve"> </w:t>
            </w:r>
          </w:p>
        </w:tc>
      </w:tr>
    </w:tbl>
    <w:p w:rsidR="00321BFC" w:rsidRPr="0022256F" w:rsidRDefault="0061680C" w:rsidP="00E93B1D">
      <w:pPr>
        <w:spacing w:before="120"/>
        <w:jc w:val="right"/>
        <w:rPr>
          <w:rFonts w:cs="Arial"/>
          <w:sz w:val="18"/>
          <w:szCs w:val="18"/>
          <w:lang w:val="es-ES_tradnl"/>
        </w:rPr>
      </w:pPr>
      <w:bookmarkStart w:id="0" w:name="_GoBack"/>
      <w:bookmarkEnd w:id="0"/>
      <w:r w:rsidRPr="0022256F">
        <w:rPr>
          <w:rFonts w:cs="Arial"/>
          <w:sz w:val="18"/>
          <w:szCs w:val="18"/>
          <w:lang w:val="es-ES_tradnl"/>
        </w:rPr>
        <w:t xml:space="preserve">Adaptado de: </w:t>
      </w:r>
      <w:r w:rsidR="00556BA3" w:rsidRPr="0022256F">
        <w:rPr>
          <w:rFonts w:cs="Arial"/>
          <w:color w:val="4F81BD" w:themeColor="accent1"/>
          <w:sz w:val="18"/>
          <w:szCs w:val="18"/>
          <w:lang w:val="es-ES_tradnl"/>
        </w:rPr>
        <w:t xml:space="preserve"> </w:t>
      </w:r>
      <w:r w:rsidR="00E474BA" w:rsidRPr="0022256F">
        <w:rPr>
          <w:rFonts w:cs="Arial"/>
          <w:sz w:val="18"/>
          <w:szCs w:val="18"/>
          <w:lang w:val="es-ES_tradnl"/>
        </w:rPr>
        <w:t xml:space="preserve">IFRC (2007) </w:t>
      </w:r>
      <w:r w:rsidR="009142B0" w:rsidRPr="0022256F">
        <w:rPr>
          <w:rFonts w:cs="Arial"/>
          <w:sz w:val="18"/>
          <w:szCs w:val="18"/>
          <w:lang w:val="es-ES_tradnl"/>
        </w:rPr>
        <w:t xml:space="preserve">Guidelines </w:t>
      </w:r>
      <w:r w:rsidR="00E474BA" w:rsidRPr="0022256F">
        <w:rPr>
          <w:rFonts w:cs="Arial"/>
          <w:sz w:val="18"/>
          <w:szCs w:val="18"/>
          <w:lang w:val="es-ES_tradnl"/>
        </w:rPr>
        <w:t>for cash transfer programming</w:t>
      </w:r>
    </w:p>
    <w:sectPr w:rsidR="00321BFC" w:rsidRPr="0022256F" w:rsidSect="00D51550">
      <w:headerReference w:type="default" r:id="rId8"/>
      <w:footerReference w:type="even" r:id="rId9"/>
      <w:footerReference w:type="default" r:id="rId10"/>
      <w:pgSz w:w="11900" w:h="16840"/>
      <w:pgMar w:top="1134" w:right="1134" w:bottom="1134" w:left="1134"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BC8" w:rsidRDefault="00FA3BC8" w:rsidP="00EB7075">
      <w:r>
        <w:separator/>
      </w:r>
    </w:p>
  </w:endnote>
  <w:endnote w:type="continuationSeparator" w:id="0">
    <w:p w:rsidR="00FA3BC8" w:rsidRDefault="00FA3BC8" w:rsidP="00EB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80" w:rsidRDefault="003A7787" w:rsidP="00EA3AAF">
    <w:pPr>
      <w:pStyle w:val="Footer"/>
      <w:framePr w:wrap="around" w:vAnchor="text" w:hAnchor="margin" w:xAlign="right" w:y="1"/>
      <w:rPr>
        <w:rStyle w:val="PageNumber"/>
      </w:rPr>
    </w:pPr>
    <w:r>
      <w:rPr>
        <w:rStyle w:val="PageNumber"/>
      </w:rPr>
      <w:fldChar w:fldCharType="begin"/>
    </w:r>
    <w:r w:rsidR="00251B80">
      <w:rPr>
        <w:rStyle w:val="PageNumber"/>
      </w:rPr>
      <w:instrText xml:space="preserve">PAGE  </w:instrText>
    </w:r>
    <w:r>
      <w:rPr>
        <w:rStyle w:val="PageNumber"/>
      </w:rPr>
      <w:fldChar w:fldCharType="end"/>
    </w:r>
  </w:p>
  <w:p w:rsidR="00251B80" w:rsidRDefault="00251B80" w:rsidP="00EB70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550" w:rsidRPr="00B45C74" w:rsidRDefault="00D51550"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22256F">
      <w:rPr>
        <w:b/>
        <w:noProof/>
        <w:color w:val="808080" w:themeColor="background1" w:themeShade="80"/>
        <w:sz w:val="18"/>
        <w:szCs w:val="18"/>
      </w:rPr>
      <w:t>1</w:t>
    </w:r>
    <w:r w:rsidRPr="00B45C74">
      <w:rPr>
        <w:b/>
        <w:color w:val="808080" w:themeColor="background1" w:themeShade="80"/>
        <w:sz w:val="18"/>
        <w:szCs w:val="18"/>
      </w:rPr>
      <w:fldChar w:fldCharType="end"/>
    </w:r>
  </w:p>
  <w:p w:rsidR="00D51550" w:rsidRPr="00472217" w:rsidRDefault="00D51550" w:rsidP="00ED1B2B">
    <w:pPr>
      <w:pStyle w:val="Footer"/>
      <w:rPr>
        <w:lang w:val="es-ES"/>
      </w:rPr>
    </w:pPr>
    <w:r w:rsidRPr="00472217">
      <w:rPr>
        <w:b/>
        <w:lang w:val="es-ES"/>
      </w:rPr>
      <w:t>M</w:t>
    </w:r>
    <w:r w:rsidR="00472217" w:rsidRPr="00472217">
      <w:rPr>
        <w:b/>
        <w:lang w:val="es-ES"/>
      </w:rPr>
      <w:t>ó</w:t>
    </w:r>
    <w:r w:rsidRPr="00472217">
      <w:rPr>
        <w:b/>
        <w:lang w:val="es-ES"/>
      </w:rPr>
      <w:t>dul</w:t>
    </w:r>
    <w:r w:rsidR="00472217" w:rsidRPr="00472217">
      <w:rPr>
        <w:b/>
        <w:lang w:val="es-ES"/>
      </w:rPr>
      <w:t>o</w:t>
    </w:r>
    <w:r w:rsidRPr="00472217">
      <w:rPr>
        <w:b/>
        <w:lang w:val="es-ES"/>
      </w:rPr>
      <w:t xml:space="preserve"> 3.</w:t>
    </w:r>
    <w:r w:rsidRPr="00472217">
      <w:rPr>
        <w:lang w:val="es-ES"/>
      </w:rPr>
      <w:t xml:space="preserve"> </w:t>
    </w:r>
    <w:r w:rsidR="00472217" w:rsidRPr="00472217">
      <w:rPr>
        <w:lang w:val="es-ES"/>
      </w:rPr>
      <w:t>Etapa</w:t>
    </w:r>
    <w:r w:rsidRPr="00472217">
      <w:rPr>
        <w:lang w:val="es-ES"/>
      </w:rPr>
      <w:t xml:space="preserve"> 2. </w:t>
    </w:r>
    <w:r w:rsidR="00472217" w:rsidRPr="00472217">
      <w:rPr>
        <w:lang w:val="es-ES"/>
      </w:rPr>
      <w:t>Sub-etapa</w:t>
    </w:r>
    <w:r w:rsidRPr="00472217">
      <w:rPr>
        <w:lang w:val="es-ES"/>
      </w:rPr>
      <w:t xml:space="preserve"> 1.</w:t>
    </w:r>
    <w:r w:rsidR="00472217" w:rsidRPr="00472217">
      <w:rPr>
        <w:lang w:val="es-ES"/>
      </w:rPr>
      <w:t xml:space="preserve"> C</w:t>
    </w:r>
    <w:r w:rsidR="00472217">
      <w:rPr>
        <w:lang w:val="es-ES"/>
      </w:rPr>
      <w:t xml:space="preserve">onsideraciones para fijar el valor de la transferencia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BC8" w:rsidRDefault="00FA3BC8" w:rsidP="00EB7075">
      <w:r>
        <w:separator/>
      </w:r>
    </w:p>
  </w:footnote>
  <w:footnote w:type="continuationSeparator" w:id="0">
    <w:p w:rsidR="00FA3BC8" w:rsidRDefault="00FA3BC8" w:rsidP="00EB7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217" w:rsidRPr="00A01CBD" w:rsidRDefault="00472217" w:rsidP="00472217">
    <w:pPr>
      <w:pStyle w:val="Header"/>
      <w:rPr>
        <w:szCs w:val="16"/>
        <w:lang w:val="es-ES"/>
      </w:rPr>
    </w:pPr>
    <w:r w:rsidRPr="00A01CBD">
      <w:rPr>
        <w:rStyle w:val="Pantone485"/>
        <w:lang w:val="es-ES"/>
      </w:rPr>
      <w:t xml:space="preserve">Movimiento Internacional de la Cruz Roja y de la Media Luna Roja </w:t>
    </w:r>
    <w:r w:rsidRPr="00A01CBD">
      <w:rPr>
        <w:b/>
        <w:lang w:val="es-ES"/>
      </w:rPr>
      <w:t>I Caja de herramientas para PTE en emergencias</w:t>
    </w:r>
    <w:r>
      <w:rPr>
        <w:rStyle w:val="Pantone485"/>
        <w:lang w:val="es-ES"/>
      </w:rPr>
      <w:t xml:space="preserve">  </w:t>
    </w:r>
  </w:p>
  <w:p w:rsidR="00D51550" w:rsidRPr="00472217" w:rsidRDefault="00D51550" w:rsidP="00472217">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724F2"/>
    <w:multiLevelType w:val="hybridMultilevel"/>
    <w:tmpl w:val="0628A04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F2DFF"/>
    <w:multiLevelType w:val="hybridMultilevel"/>
    <w:tmpl w:val="9AEE2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5F5E"/>
    <w:multiLevelType w:val="hybridMultilevel"/>
    <w:tmpl w:val="F06CF9B6"/>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C6380B"/>
    <w:multiLevelType w:val="hybridMultilevel"/>
    <w:tmpl w:val="6360EC9E"/>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F42DA6"/>
    <w:multiLevelType w:val="hybridMultilevel"/>
    <w:tmpl w:val="910AA2F8"/>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E466826"/>
    <w:multiLevelType w:val="hybridMultilevel"/>
    <w:tmpl w:val="6FFEC100"/>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E82C45"/>
    <w:multiLevelType w:val="hybridMultilevel"/>
    <w:tmpl w:val="1B7A8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1563D"/>
    <w:multiLevelType w:val="hybridMultilevel"/>
    <w:tmpl w:val="26003378"/>
    <w:lvl w:ilvl="0" w:tplc="100C0005">
      <w:start w:val="1"/>
      <w:numFmt w:val="bullet"/>
      <w:lvlText w:val=""/>
      <w:lvlJc w:val="left"/>
      <w:pPr>
        <w:ind w:left="720" w:hanging="360"/>
      </w:pPr>
      <w:rPr>
        <w:rFonts w:ascii="Wingdings" w:hAnsi="Wingdings" w:hint="default"/>
      </w:rPr>
    </w:lvl>
    <w:lvl w:ilvl="1" w:tplc="ED4633BE">
      <w:numFmt w:val="bullet"/>
      <w:lvlText w:val=""/>
      <w:lvlJc w:val="left"/>
      <w:pPr>
        <w:ind w:left="1440" w:hanging="360"/>
      </w:pPr>
      <w:rPr>
        <w:rFonts w:ascii="Symbol" w:eastAsia="Times New Roman"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436"/>
    <w:multiLevelType w:val="hybridMultilevel"/>
    <w:tmpl w:val="51686294"/>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F551FA"/>
    <w:multiLevelType w:val="hybridMultilevel"/>
    <w:tmpl w:val="5A3C141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4434F"/>
    <w:multiLevelType w:val="hybridMultilevel"/>
    <w:tmpl w:val="CEAE82E8"/>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F5CE3"/>
    <w:multiLevelType w:val="hybridMultilevel"/>
    <w:tmpl w:val="6FEADCEC"/>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55657"/>
    <w:multiLevelType w:val="hybridMultilevel"/>
    <w:tmpl w:val="FD50915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A183F"/>
    <w:multiLevelType w:val="hybridMultilevel"/>
    <w:tmpl w:val="5A8282C6"/>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51E14CE"/>
    <w:multiLevelType w:val="hybridMultilevel"/>
    <w:tmpl w:val="35661206"/>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63E1D"/>
    <w:multiLevelType w:val="hybridMultilevel"/>
    <w:tmpl w:val="7382CDB2"/>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6F5DC7"/>
    <w:multiLevelType w:val="hybridMultilevel"/>
    <w:tmpl w:val="A8F431E6"/>
    <w:lvl w:ilvl="0" w:tplc="100C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6453FB"/>
    <w:multiLevelType w:val="hybridMultilevel"/>
    <w:tmpl w:val="134E0BFC"/>
    <w:lvl w:ilvl="0" w:tplc="A87E8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615D1"/>
    <w:multiLevelType w:val="hybridMultilevel"/>
    <w:tmpl w:val="7404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6E0584"/>
    <w:multiLevelType w:val="hybridMultilevel"/>
    <w:tmpl w:val="9606DA82"/>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66D74"/>
    <w:multiLevelType w:val="hybridMultilevel"/>
    <w:tmpl w:val="A53CA0AC"/>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0B4320"/>
    <w:multiLevelType w:val="hybridMultilevel"/>
    <w:tmpl w:val="CF0E03A4"/>
    <w:lvl w:ilvl="0" w:tplc="611CFDBE">
      <w:start w:val="1"/>
      <w:numFmt w:val="bullet"/>
      <w:lvlText w:val="•"/>
      <w:lvlJc w:val="left"/>
      <w:pPr>
        <w:ind w:left="1032" w:hanging="360"/>
      </w:pPr>
      <w:rPr>
        <w:rFonts w:ascii="Times New Roman" w:hAnsi="Times New Roman" w:cs="Times New Roman"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8" w15:restartNumberingAfterBreak="0">
    <w:nsid w:val="77485F9E"/>
    <w:multiLevelType w:val="hybridMultilevel"/>
    <w:tmpl w:val="FDCADE8E"/>
    <w:lvl w:ilvl="0" w:tplc="3000D49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BC3052"/>
    <w:multiLevelType w:val="hybridMultilevel"/>
    <w:tmpl w:val="02E6A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4"/>
  </w:num>
  <w:num w:numId="3">
    <w:abstractNumId w:val="2"/>
  </w:num>
  <w:num w:numId="4">
    <w:abstractNumId w:val="18"/>
  </w:num>
  <w:num w:numId="5">
    <w:abstractNumId w:val="23"/>
  </w:num>
  <w:num w:numId="6">
    <w:abstractNumId w:val="15"/>
  </w:num>
  <w:num w:numId="7">
    <w:abstractNumId w:val="29"/>
  </w:num>
  <w:num w:numId="8">
    <w:abstractNumId w:val="14"/>
  </w:num>
  <w:num w:numId="9">
    <w:abstractNumId w:val="28"/>
  </w:num>
  <w:num w:numId="10">
    <w:abstractNumId w:val="1"/>
  </w:num>
  <w:num w:numId="11">
    <w:abstractNumId w:val="26"/>
  </w:num>
  <w:num w:numId="12">
    <w:abstractNumId w:val="7"/>
  </w:num>
  <w:num w:numId="13">
    <w:abstractNumId w:val="25"/>
  </w:num>
  <w:num w:numId="14">
    <w:abstractNumId w:val="17"/>
  </w:num>
  <w:num w:numId="15">
    <w:abstractNumId w:val="11"/>
  </w:num>
  <w:num w:numId="16">
    <w:abstractNumId w:val="6"/>
  </w:num>
  <w:num w:numId="17">
    <w:abstractNumId w:val="3"/>
  </w:num>
  <w:num w:numId="18">
    <w:abstractNumId w:val="9"/>
  </w:num>
  <w:num w:numId="19">
    <w:abstractNumId w:val="12"/>
  </w:num>
  <w:num w:numId="20">
    <w:abstractNumId w:val="22"/>
  </w:num>
  <w:num w:numId="21">
    <w:abstractNumId w:val="27"/>
  </w:num>
  <w:num w:numId="22">
    <w:abstractNumId w:val="13"/>
  </w:num>
  <w:num w:numId="23">
    <w:abstractNumId w:val="10"/>
  </w:num>
  <w:num w:numId="24">
    <w:abstractNumId w:val="8"/>
  </w:num>
  <w:num w:numId="25">
    <w:abstractNumId w:val="0"/>
  </w:num>
  <w:num w:numId="26">
    <w:abstractNumId w:val="16"/>
  </w:num>
  <w:num w:numId="27">
    <w:abstractNumId w:val="4"/>
  </w:num>
  <w:num w:numId="28">
    <w:abstractNumId w:val="1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20"/>
    <w:rsid w:val="00052869"/>
    <w:rsid w:val="00075E48"/>
    <w:rsid w:val="00087B7B"/>
    <w:rsid w:val="00090EFE"/>
    <w:rsid w:val="0009623B"/>
    <w:rsid w:val="000A6D93"/>
    <w:rsid w:val="000B799F"/>
    <w:rsid w:val="00112ACD"/>
    <w:rsid w:val="00117901"/>
    <w:rsid w:val="001479B4"/>
    <w:rsid w:val="00170CF3"/>
    <w:rsid w:val="002014EE"/>
    <w:rsid w:val="0021648F"/>
    <w:rsid w:val="00221EED"/>
    <w:rsid w:val="0022256F"/>
    <w:rsid w:val="00250457"/>
    <w:rsid w:val="00251B80"/>
    <w:rsid w:val="002564FF"/>
    <w:rsid w:val="00270516"/>
    <w:rsid w:val="0028432F"/>
    <w:rsid w:val="00296C51"/>
    <w:rsid w:val="002A4CB2"/>
    <w:rsid w:val="002C6FB6"/>
    <w:rsid w:val="002F25B8"/>
    <w:rsid w:val="00321BFC"/>
    <w:rsid w:val="003761F0"/>
    <w:rsid w:val="003952F0"/>
    <w:rsid w:val="003A4233"/>
    <w:rsid w:val="003A7787"/>
    <w:rsid w:val="003E4D4F"/>
    <w:rsid w:val="00425703"/>
    <w:rsid w:val="00462AB9"/>
    <w:rsid w:val="00472217"/>
    <w:rsid w:val="005343E3"/>
    <w:rsid w:val="005344B1"/>
    <w:rsid w:val="00556BA3"/>
    <w:rsid w:val="005A71F9"/>
    <w:rsid w:val="005F7BB1"/>
    <w:rsid w:val="00614878"/>
    <w:rsid w:val="0061680C"/>
    <w:rsid w:val="00642517"/>
    <w:rsid w:val="006A7284"/>
    <w:rsid w:val="006B16ED"/>
    <w:rsid w:val="006B3D70"/>
    <w:rsid w:val="006B75B1"/>
    <w:rsid w:val="00721D77"/>
    <w:rsid w:val="00743AEB"/>
    <w:rsid w:val="007D5420"/>
    <w:rsid w:val="007E321E"/>
    <w:rsid w:val="007F6C03"/>
    <w:rsid w:val="00842488"/>
    <w:rsid w:val="009142B0"/>
    <w:rsid w:val="00933E34"/>
    <w:rsid w:val="00971D15"/>
    <w:rsid w:val="009C6F67"/>
    <w:rsid w:val="009D61C7"/>
    <w:rsid w:val="00A13267"/>
    <w:rsid w:val="00A43239"/>
    <w:rsid w:val="00A55B3D"/>
    <w:rsid w:val="00A9517B"/>
    <w:rsid w:val="00AA0620"/>
    <w:rsid w:val="00B20FDC"/>
    <w:rsid w:val="00B55D8E"/>
    <w:rsid w:val="00B65F9B"/>
    <w:rsid w:val="00B77EE4"/>
    <w:rsid w:val="00BB76D0"/>
    <w:rsid w:val="00BE439B"/>
    <w:rsid w:val="00C14EBD"/>
    <w:rsid w:val="00C83B4D"/>
    <w:rsid w:val="00CD72A3"/>
    <w:rsid w:val="00CF0576"/>
    <w:rsid w:val="00D34BCA"/>
    <w:rsid w:val="00D51550"/>
    <w:rsid w:val="00D554E0"/>
    <w:rsid w:val="00DB20F6"/>
    <w:rsid w:val="00DB3795"/>
    <w:rsid w:val="00DE0307"/>
    <w:rsid w:val="00E21EDD"/>
    <w:rsid w:val="00E474BA"/>
    <w:rsid w:val="00E60B16"/>
    <w:rsid w:val="00E81BF8"/>
    <w:rsid w:val="00E843C4"/>
    <w:rsid w:val="00E93B1D"/>
    <w:rsid w:val="00EA3AAF"/>
    <w:rsid w:val="00EB7075"/>
    <w:rsid w:val="00EC1628"/>
    <w:rsid w:val="00EF2E5B"/>
    <w:rsid w:val="00F21387"/>
    <w:rsid w:val="00F97D16"/>
    <w:rsid w:val="00FA3BC8"/>
    <w:rsid w:val="00FB4C74"/>
    <w:rsid w:val="00FB53FC"/>
    <w:rsid w:val="00FE1C2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4AADBC"/>
  <w15:docId w15:val="{1263779C-4293-4D27-BDB6-2B2859D5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3C4"/>
    <w:pPr>
      <w:spacing w:after="120"/>
      <w:jc w:val="both"/>
    </w:pPr>
    <w:rPr>
      <w:rFonts w:ascii="Arial" w:hAnsi="Arial" w:cs="Times New Roman"/>
    </w:rPr>
  </w:style>
  <w:style w:type="paragraph" w:styleId="Heading1">
    <w:name w:val="heading 1"/>
    <w:basedOn w:val="H1"/>
    <w:next w:val="Normal"/>
    <w:link w:val="Heading1Char"/>
    <w:uiPriority w:val="9"/>
    <w:rsid w:val="00E843C4"/>
  </w:style>
  <w:style w:type="paragraph" w:styleId="Heading2">
    <w:name w:val="heading 2"/>
    <w:basedOn w:val="Normal"/>
    <w:next w:val="Normal"/>
    <w:link w:val="Heading2Char"/>
    <w:uiPriority w:val="9"/>
    <w:unhideWhenUsed/>
    <w:qFormat/>
    <w:rsid w:val="00E843C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E843C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43C4"/>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843C4"/>
    <w:pPr>
      <w:spacing w:after="240"/>
      <w:ind w:left="720"/>
      <w:contextualSpacing/>
    </w:pPr>
    <w:rPr>
      <w:rFonts w:eastAsiaTheme="minorHAnsi" w:cstheme="minorBidi"/>
      <w:szCs w:val="22"/>
    </w:rPr>
  </w:style>
  <w:style w:type="paragraph" w:styleId="Header">
    <w:name w:val="header"/>
    <w:basedOn w:val="Normal"/>
    <w:link w:val="HeaderChar"/>
    <w:uiPriority w:val="99"/>
    <w:unhideWhenUsed/>
    <w:rsid w:val="00E843C4"/>
    <w:pPr>
      <w:spacing w:after="0" w:line="288" w:lineRule="auto"/>
      <w:jc w:val="left"/>
    </w:pPr>
    <w:rPr>
      <w:sz w:val="16"/>
    </w:rPr>
  </w:style>
  <w:style w:type="character" w:customStyle="1" w:styleId="HeaderChar">
    <w:name w:val="Header Char"/>
    <w:basedOn w:val="DefaultParagraphFont"/>
    <w:link w:val="Header"/>
    <w:uiPriority w:val="99"/>
    <w:rsid w:val="00E843C4"/>
    <w:rPr>
      <w:rFonts w:ascii="Arial" w:hAnsi="Arial" w:cs="Times New Roman"/>
      <w:sz w:val="16"/>
    </w:rPr>
  </w:style>
  <w:style w:type="paragraph" w:styleId="Footer">
    <w:name w:val="footer"/>
    <w:basedOn w:val="Normal"/>
    <w:link w:val="FooterChar"/>
    <w:uiPriority w:val="99"/>
    <w:unhideWhenUsed/>
    <w:rsid w:val="00E843C4"/>
    <w:pPr>
      <w:spacing w:after="0"/>
      <w:jc w:val="left"/>
    </w:pPr>
    <w:rPr>
      <w:sz w:val="16"/>
      <w:szCs w:val="18"/>
    </w:rPr>
  </w:style>
  <w:style w:type="character" w:customStyle="1" w:styleId="FooterChar">
    <w:name w:val="Footer Char"/>
    <w:basedOn w:val="DefaultParagraphFont"/>
    <w:link w:val="Footer"/>
    <w:uiPriority w:val="99"/>
    <w:rsid w:val="00E843C4"/>
    <w:rPr>
      <w:rFonts w:ascii="Arial" w:hAnsi="Arial" w:cs="Times New Roman"/>
      <w:sz w:val="16"/>
      <w:szCs w:val="18"/>
    </w:rPr>
  </w:style>
  <w:style w:type="character" w:styleId="PageNumber">
    <w:name w:val="page number"/>
    <w:basedOn w:val="DefaultParagraphFont"/>
    <w:uiPriority w:val="99"/>
    <w:unhideWhenUsed/>
    <w:rsid w:val="00E843C4"/>
    <w:rPr>
      <w:b/>
    </w:rPr>
  </w:style>
  <w:style w:type="character" w:styleId="CommentReference">
    <w:name w:val="annotation reference"/>
    <w:basedOn w:val="DefaultParagraphFont"/>
    <w:uiPriority w:val="99"/>
    <w:semiHidden/>
    <w:unhideWhenUsed/>
    <w:rsid w:val="00E843C4"/>
    <w:rPr>
      <w:sz w:val="18"/>
      <w:szCs w:val="18"/>
    </w:rPr>
  </w:style>
  <w:style w:type="paragraph" w:styleId="CommentText">
    <w:name w:val="annotation text"/>
    <w:basedOn w:val="Normal"/>
    <w:link w:val="CommentTextChar"/>
    <w:uiPriority w:val="99"/>
    <w:semiHidden/>
    <w:unhideWhenUsed/>
    <w:rsid w:val="00C83B4D"/>
  </w:style>
  <w:style w:type="character" w:customStyle="1" w:styleId="CommentTextChar">
    <w:name w:val="Comment Text Char"/>
    <w:basedOn w:val="DefaultParagraphFont"/>
    <w:link w:val="CommentText"/>
    <w:uiPriority w:val="99"/>
    <w:semiHidden/>
    <w:rsid w:val="00C83B4D"/>
    <w:rPr>
      <w:lang w:val="en-GB"/>
    </w:rPr>
  </w:style>
  <w:style w:type="paragraph" w:styleId="CommentSubject">
    <w:name w:val="annotation subject"/>
    <w:basedOn w:val="Normal"/>
    <w:link w:val="CommentSubjectChar"/>
    <w:uiPriority w:val="99"/>
    <w:semiHidden/>
    <w:unhideWhenUsed/>
    <w:rsid w:val="00E843C4"/>
    <w:rPr>
      <w:b/>
      <w:bCs/>
    </w:rPr>
  </w:style>
  <w:style w:type="character" w:customStyle="1" w:styleId="CommentSubjectChar">
    <w:name w:val="Comment Subject Char"/>
    <w:basedOn w:val="DefaultParagraphFont"/>
    <w:link w:val="CommentSubject"/>
    <w:uiPriority w:val="99"/>
    <w:semiHidden/>
    <w:rsid w:val="00E843C4"/>
    <w:rPr>
      <w:rFonts w:ascii="Arial" w:hAnsi="Arial" w:cs="Times New Roman"/>
      <w:b/>
      <w:bCs/>
    </w:rPr>
  </w:style>
  <w:style w:type="paragraph" w:styleId="BalloonText">
    <w:name w:val="Balloon Text"/>
    <w:basedOn w:val="Normal"/>
    <w:link w:val="BalloonTextChar"/>
    <w:uiPriority w:val="99"/>
    <w:semiHidden/>
    <w:unhideWhenUsed/>
    <w:rsid w:val="00E843C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3C4"/>
    <w:rPr>
      <w:rFonts w:ascii="Lucida Grande" w:hAnsi="Lucida Grande" w:cs="Lucida Grande"/>
      <w:sz w:val="18"/>
      <w:szCs w:val="18"/>
    </w:rPr>
  </w:style>
  <w:style w:type="table" w:customStyle="1" w:styleId="Tablaconcuadrcula1">
    <w:name w:val="Tabla con cuadrícula1"/>
    <w:basedOn w:val="TableNormal"/>
    <w:next w:val="TableGrid"/>
    <w:uiPriority w:val="59"/>
    <w:rsid w:val="00321BFC"/>
    <w:pPr>
      <w:jc w:val="both"/>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3C4"/>
    <w:rPr>
      <w:color w:val="0000FF" w:themeColor="hyperlink"/>
      <w:u w:val="single"/>
    </w:rPr>
  </w:style>
  <w:style w:type="paragraph" w:styleId="NoSpacing">
    <w:name w:val="No Spacing"/>
    <w:uiPriority w:val="1"/>
    <w:qFormat/>
    <w:rsid w:val="009142B0"/>
    <w:rPr>
      <w:lang w:val="en-GB"/>
    </w:rPr>
  </w:style>
  <w:style w:type="character" w:customStyle="1" w:styleId="Heading1Char">
    <w:name w:val="Heading 1 Char"/>
    <w:basedOn w:val="DefaultParagraphFont"/>
    <w:link w:val="Heading1"/>
    <w:uiPriority w:val="9"/>
    <w:rsid w:val="00E843C4"/>
    <w:rPr>
      <w:rFonts w:ascii="Arial" w:hAnsi="Arial" w:cs="Times New Roman"/>
      <w:b/>
      <w:sz w:val="40"/>
      <w:szCs w:val="52"/>
    </w:rPr>
  </w:style>
  <w:style w:type="character" w:customStyle="1" w:styleId="Heading2Char">
    <w:name w:val="Heading 2 Char"/>
    <w:basedOn w:val="DefaultParagraphFont"/>
    <w:link w:val="Heading2"/>
    <w:uiPriority w:val="9"/>
    <w:rsid w:val="00E843C4"/>
    <w:rPr>
      <w:rFonts w:ascii="Arial" w:hAnsi="Arial" w:cs="Times New Roman"/>
      <w:b/>
      <w:caps/>
      <w:sz w:val="24"/>
      <w:szCs w:val="26"/>
    </w:rPr>
  </w:style>
  <w:style w:type="character" w:customStyle="1" w:styleId="Heading3Char">
    <w:name w:val="Heading 3 Char"/>
    <w:basedOn w:val="DefaultParagraphFont"/>
    <w:link w:val="Heading3"/>
    <w:uiPriority w:val="9"/>
    <w:rsid w:val="00E843C4"/>
    <w:rPr>
      <w:rFonts w:ascii="Arial" w:hAnsi="Arial" w:cs="Times New Roman"/>
      <w:b/>
      <w:sz w:val="22"/>
      <w:szCs w:val="24"/>
    </w:rPr>
  </w:style>
  <w:style w:type="character" w:customStyle="1" w:styleId="ListParagraphChar">
    <w:name w:val="List Paragraph Char"/>
    <w:basedOn w:val="DefaultParagraphFont"/>
    <w:link w:val="ListParagraph"/>
    <w:uiPriority w:val="34"/>
    <w:rsid w:val="00E843C4"/>
    <w:rPr>
      <w:rFonts w:ascii="Arial" w:eastAsiaTheme="minorHAnsi" w:hAnsi="Arial" w:cstheme="minorBidi"/>
      <w:szCs w:val="22"/>
    </w:rPr>
  </w:style>
  <w:style w:type="paragraph" w:customStyle="1" w:styleId="Default">
    <w:name w:val="Default"/>
    <w:rsid w:val="00E843C4"/>
    <w:pPr>
      <w:widowControl w:val="0"/>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E843C4"/>
    <w:rPr>
      <w:color w:val="800080" w:themeColor="followedHyperlink"/>
      <w:u w:val="single"/>
    </w:rPr>
  </w:style>
  <w:style w:type="paragraph" w:styleId="FootnoteText">
    <w:name w:val="footnote text"/>
    <w:basedOn w:val="Normal"/>
    <w:link w:val="FootnoteTextChar"/>
    <w:uiPriority w:val="99"/>
    <w:unhideWhenUsed/>
    <w:rsid w:val="00E843C4"/>
    <w:pPr>
      <w:spacing w:after="0"/>
    </w:pPr>
    <w:rPr>
      <w:sz w:val="16"/>
      <w:szCs w:val="22"/>
    </w:rPr>
  </w:style>
  <w:style w:type="character" w:customStyle="1" w:styleId="FootnoteTextChar">
    <w:name w:val="Footnote Text Char"/>
    <w:basedOn w:val="DefaultParagraphFont"/>
    <w:link w:val="FootnoteText"/>
    <w:uiPriority w:val="99"/>
    <w:rsid w:val="00E843C4"/>
    <w:rPr>
      <w:rFonts w:ascii="Arial" w:hAnsi="Arial" w:cs="Times New Roman"/>
      <w:sz w:val="16"/>
      <w:szCs w:val="22"/>
    </w:rPr>
  </w:style>
  <w:style w:type="character" w:styleId="FootnoteReference">
    <w:name w:val="footnote reference"/>
    <w:basedOn w:val="DefaultParagraphFont"/>
    <w:uiPriority w:val="99"/>
    <w:unhideWhenUsed/>
    <w:rsid w:val="00E843C4"/>
    <w:rPr>
      <w:vertAlign w:val="superscript"/>
    </w:rPr>
  </w:style>
  <w:style w:type="paragraph" w:styleId="Revision">
    <w:name w:val="Revision"/>
    <w:hidden/>
    <w:uiPriority w:val="99"/>
    <w:semiHidden/>
    <w:rsid w:val="00E843C4"/>
    <w:rPr>
      <w:rFonts w:ascii="Arial" w:hAnsi="Arial" w:cs="Arial"/>
      <w:sz w:val="21"/>
      <w:szCs w:val="21"/>
    </w:rPr>
  </w:style>
  <w:style w:type="paragraph" w:customStyle="1" w:styleId="BasicParagraph">
    <w:name w:val="[Basic Paragraph]"/>
    <w:basedOn w:val="Normal"/>
    <w:uiPriority w:val="99"/>
    <w:rsid w:val="00E843C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843C4"/>
    <w:pPr>
      <w:spacing w:before="360" w:after="240"/>
      <w:jc w:val="left"/>
      <w:outlineLvl w:val="0"/>
    </w:pPr>
    <w:rPr>
      <w:b/>
      <w:sz w:val="40"/>
      <w:szCs w:val="52"/>
    </w:rPr>
  </w:style>
  <w:style w:type="paragraph" w:customStyle="1" w:styleId="Bullet1">
    <w:name w:val="Bullet 1"/>
    <w:basedOn w:val="Normal"/>
    <w:rsid w:val="00E843C4"/>
    <w:pPr>
      <w:numPr>
        <w:numId w:val="27"/>
      </w:numPr>
      <w:spacing w:before="60"/>
    </w:pPr>
    <w:rPr>
      <w:rFonts w:eastAsia="Times New Roman"/>
      <w:color w:val="000000"/>
    </w:rPr>
  </w:style>
  <w:style w:type="paragraph" w:customStyle="1" w:styleId="RefItem1">
    <w:name w:val="Ref Item 1"/>
    <w:basedOn w:val="Normal"/>
    <w:rsid w:val="00E843C4"/>
    <w:pPr>
      <w:jc w:val="left"/>
    </w:pPr>
    <w:rPr>
      <w:color w:val="000000"/>
      <w:szCs w:val="24"/>
      <w:lang w:eastAsia="it-IT"/>
    </w:rPr>
  </w:style>
  <w:style w:type="paragraph" w:customStyle="1" w:styleId="RefTitre">
    <w:name w:val="Ref Titre"/>
    <w:basedOn w:val="Normal"/>
    <w:rsid w:val="00E843C4"/>
    <w:pPr>
      <w:jc w:val="left"/>
    </w:pPr>
    <w:rPr>
      <w:rFonts w:eastAsia="Times New Roman"/>
      <w:b/>
      <w:bCs/>
      <w:sz w:val="26"/>
      <w:szCs w:val="26"/>
    </w:rPr>
  </w:style>
  <w:style w:type="paragraph" w:customStyle="1" w:styleId="Header1">
    <w:name w:val="Header 1"/>
    <w:basedOn w:val="Header"/>
    <w:rsid w:val="00E843C4"/>
    <w:rPr>
      <w:b/>
      <w:sz w:val="24"/>
      <w:szCs w:val="24"/>
    </w:rPr>
  </w:style>
  <w:style w:type="character" w:customStyle="1" w:styleId="Pantone485">
    <w:name w:val="Pantone 485"/>
    <w:basedOn w:val="DefaultParagraphFont"/>
    <w:uiPriority w:val="1"/>
    <w:qFormat/>
    <w:rsid w:val="00E843C4"/>
    <w:rPr>
      <w:rFonts w:cs="Caecilia-Light"/>
      <w:color w:val="DC281E"/>
      <w:szCs w:val="16"/>
    </w:rPr>
  </w:style>
  <w:style w:type="character" w:customStyle="1" w:styleId="H1Char">
    <w:name w:val="H1 Char"/>
    <w:basedOn w:val="DefaultParagraphFont"/>
    <w:link w:val="H1"/>
    <w:rsid w:val="00E843C4"/>
    <w:rPr>
      <w:rFonts w:ascii="Arial" w:hAnsi="Arial" w:cs="Times New Roman"/>
      <w:b/>
      <w:sz w:val="40"/>
      <w:szCs w:val="52"/>
    </w:rPr>
  </w:style>
  <w:style w:type="table" w:customStyle="1" w:styleId="TableGray">
    <w:name w:val="Table Gray"/>
    <w:basedOn w:val="TableNormal"/>
    <w:uiPriority w:val="99"/>
    <w:rsid w:val="00E843C4"/>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843C4"/>
    <w:pPr>
      <w:numPr>
        <w:numId w:val="28"/>
      </w:numPr>
      <w:tabs>
        <w:tab w:val="left" w:pos="7230"/>
      </w:tabs>
      <w:spacing w:before="120" w:after="120"/>
      <w:contextualSpacing w:val="0"/>
    </w:pPr>
    <w:rPr>
      <w:rFonts w:cs="Arial"/>
    </w:rPr>
  </w:style>
  <w:style w:type="paragraph" w:customStyle="1" w:styleId="ListNumber1">
    <w:name w:val="List Number 1"/>
    <w:basedOn w:val="Normal"/>
    <w:rsid w:val="00E843C4"/>
    <w:pPr>
      <w:numPr>
        <w:ilvl w:val="1"/>
        <w:numId w:val="25"/>
      </w:numPr>
      <w:contextualSpacing/>
    </w:pPr>
    <w:rPr>
      <w:rFonts w:eastAsiaTheme="minorHAnsi" w:cstheme="minorHAnsi"/>
      <w:szCs w:val="22"/>
    </w:rPr>
  </w:style>
  <w:style w:type="paragraph" w:customStyle="1" w:styleId="NormalNo">
    <w:name w:val="Normal + No"/>
    <w:basedOn w:val="Normal"/>
    <w:qFormat/>
    <w:rsid w:val="00E843C4"/>
    <w:pPr>
      <w:numPr>
        <w:numId w:val="26"/>
      </w:numPr>
    </w:pPr>
    <w:rPr>
      <w:rFonts w:eastAsia="MS Mincho"/>
      <w:b/>
      <w:sz w:val="22"/>
    </w:rPr>
  </w:style>
  <w:style w:type="paragraph" w:customStyle="1" w:styleId="Bullet3">
    <w:name w:val="Bullet 3"/>
    <w:basedOn w:val="ListParagraph"/>
    <w:qFormat/>
    <w:rsid w:val="00E843C4"/>
    <w:pPr>
      <w:numPr>
        <w:numId w:val="29"/>
      </w:numPr>
      <w:spacing w:before="120" w:after="120"/>
      <w:ind w:right="425"/>
    </w:pPr>
    <w:rPr>
      <w:rFonts w:cs="Arial"/>
      <w:i/>
      <w:iCs/>
    </w:rPr>
  </w:style>
  <w:style w:type="paragraph" w:customStyle="1" w:styleId="Indent">
    <w:name w:val="Indent"/>
    <w:basedOn w:val="Normal"/>
    <w:qFormat/>
    <w:rsid w:val="00E843C4"/>
    <w:pPr>
      <w:ind w:left="567"/>
    </w:pPr>
    <w:rPr>
      <w:rFonts w:cs="Arial"/>
      <w:b/>
    </w:rPr>
  </w:style>
  <w:style w:type="paragraph" w:customStyle="1" w:styleId="TitreTableau">
    <w:name w:val="Titre Tableau"/>
    <w:basedOn w:val="Normal"/>
    <w:qFormat/>
    <w:rsid w:val="00E843C4"/>
    <w:pPr>
      <w:spacing w:before="120"/>
      <w:jc w:val="center"/>
    </w:pPr>
    <w:rPr>
      <w:rFonts w:cs="Arial"/>
      <w:b/>
      <w:bCs/>
      <w:color w:val="FFFFFF" w:themeColor="background1"/>
      <w:lang w:val="en-CA"/>
    </w:rPr>
  </w:style>
  <w:style w:type="paragraph" w:customStyle="1" w:styleId="BulletTableau">
    <w:name w:val="Bullet Tableau"/>
    <w:basedOn w:val="Bullet2"/>
    <w:qFormat/>
    <w:rsid w:val="00E843C4"/>
    <w:pPr>
      <w:keepNext/>
      <w:keepLines/>
      <w:framePr w:hSpace="141" w:wrap="around" w:vAnchor="text" w:hAnchor="margin" w:y="402"/>
      <w:numPr>
        <w:numId w:val="3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756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1A10-0449-4061-8DD8-21822F729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ICRC_Template.dotx</Template>
  <TotalTime>7</TotalTime>
  <Pages>1</Pages>
  <Words>792</Words>
  <Characters>4362</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Ines DALMAU i GUTSENS</cp:lastModifiedBy>
  <cp:revision>3</cp:revision>
  <cp:lastPrinted>2015-09-28T20:05:00Z</cp:lastPrinted>
  <dcterms:created xsi:type="dcterms:W3CDTF">2015-12-10T07:29:00Z</dcterms:created>
  <dcterms:modified xsi:type="dcterms:W3CDTF">2016-02-12T15:29:00Z</dcterms:modified>
</cp:coreProperties>
</file>