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20" w:rsidRPr="00E93B1D" w:rsidRDefault="00E21EDD" w:rsidP="00D51550">
      <w:pPr>
        <w:pStyle w:val="H1"/>
        <w:rPr>
          <w:rFonts w:cs="Arial"/>
        </w:rPr>
      </w:pPr>
      <w:r w:rsidRPr="00E93B1D">
        <w:rPr>
          <w:rFonts w:cs="Arial"/>
        </w:rPr>
        <w:t xml:space="preserve">What to consider when </w:t>
      </w:r>
      <w:r w:rsidR="00971D15" w:rsidRPr="00E93B1D">
        <w:rPr>
          <w:rFonts w:cs="Arial"/>
        </w:rPr>
        <w:t>setting the value</w:t>
      </w:r>
      <w:r w:rsidRPr="00E93B1D">
        <w:rPr>
          <w:rFonts w:cs="Arial"/>
        </w:rPr>
        <w:t xml:space="preserve"> of the transfe</w:t>
      </w:r>
      <w:r w:rsidR="00112ACD">
        <w:rPr>
          <w:rFonts w:cs="Arial"/>
        </w:rPr>
        <w:t>r</w:t>
      </w:r>
    </w:p>
    <w:p w:rsidR="003952F0" w:rsidRPr="00E93B1D" w:rsidRDefault="003952F0" w:rsidP="00E93B1D">
      <w:pPr>
        <w:rPr>
          <w:rFonts w:cs="Arial"/>
          <w:b/>
        </w:rPr>
      </w:pPr>
      <w:r w:rsidRPr="00E93B1D">
        <w:rPr>
          <w:rFonts w:cs="Arial"/>
        </w:rPr>
        <w:t>Setting the value of a cash transfer to meet your objective will mainly revolve around the question of “</w:t>
      </w:r>
      <w:r w:rsidRPr="00E93B1D">
        <w:rPr>
          <w:rFonts w:cs="Arial"/>
          <w:b/>
        </w:rPr>
        <w:t>what needs is the cash transfer expected to cover?”</w:t>
      </w:r>
    </w:p>
    <w:p w:rsidR="003952F0" w:rsidRPr="00E93B1D" w:rsidRDefault="003952F0" w:rsidP="00B65F9B">
      <w:pPr>
        <w:pStyle w:val="Bullet2"/>
        <w:ind w:left="714" w:hanging="357"/>
      </w:pPr>
      <w:r w:rsidRPr="00E93B1D">
        <w:t>How much will it cost for intended beneficiaries to purchase goods in local markets?</w:t>
      </w:r>
    </w:p>
    <w:p w:rsidR="003952F0" w:rsidRPr="00E93B1D" w:rsidRDefault="003952F0" w:rsidP="00B65F9B">
      <w:pPr>
        <w:pStyle w:val="Bullet2"/>
        <w:ind w:left="714" w:hanging="357"/>
      </w:pPr>
      <w:r w:rsidRPr="00E93B1D">
        <w:t>Are there any other goods and services on which households may spend available cash?</w:t>
      </w:r>
    </w:p>
    <w:p w:rsidR="003952F0" w:rsidRPr="00E93B1D" w:rsidRDefault="003952F0" w:rsidP="00B65F9B">
      <w:pPr>
        <w:pStyle w:val="Bullet2"/>
        <w:ind w:left="714" w:hanging="357"/>
      </w:pPr>
      <w:r w:rsidRPr="00E93B1D">
        <w:t>What can households provide from their own income and other sources of support?</w:t>
      </w:r>
    </w:p>
    <w:p w:rsidR="003952F0" w:rsidRPr="00E93B1D" w:rsidRDefault="003952F0" w:rsidP="00B65F9B">
      <w:pPr>
        <w:pStyle w:val="Bullet2"/>
        <w:spacing w:after="360"/>
        <w:ind w:left="714" w:hanging="357"/>
      </w:pPr>
      <w:r w:rsidRPr="00E93B1D">
        <w:t>Are prices likely</w:t>
      </w:r>
      <w:r w:rsidR="00FB4C74" w:rsidRPr="00E93B1D">
        <w:t xml:space="preserve"> to</w:t>
      </w:r>
      <w:r w:rsidRPr="00E93B1D">
        <w:t xml:space="preserve"> increase during the lifespan of the project?</w:t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1956"/>
        <w:gridCol w:w="7892"/>
      </w:tblGrid>
      <w:tr w:rsidR="00E93B1D" w:rsidRPr="00E93B1D" w:rsidTr="003A4233">
        <w:tc>
          <w:tcPr>
            <w:tcW w:w="993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321BFC" w:rsidRPr="00E93B1D" w:rsidRDefault="00321BFC" w:rsidP="00E93B1D">
            <w:pPr>
              <w:spacing w:before="120" w:line="276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E93B1D">
              <w:rPr>
                <w:rFonts w:cs="Arial"/>
                <w:b/>
                <w:color w:val="FFFFFF" w:themeColor="background1"/>
                <w:sz w:val="20"/>
                <w:szCs w:val="20"/>
              </w:rPr>
              <w:t>Modality</w:t>
            </w:r>
          </w:p>
        </w:tc>
        <w:tc>
          <w:tcPr>
            <w:tcW w:w="400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321BFC" w:rsidRPr="00E93B1D" w:rsidRDefault="009142B0" w:rsidP="00E9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E93B1D">
              <w:rPr>
                <w:rFonts w:cs="Arial"/>
                <w:b/>
                <w:color w:val="FFFFFF" w:themeColor="background1"/>
                <w:sz w:val="20"/>
                <w:szCs w:val="20"/>
              </w:rPr>
              <w:t>Considerations</w:t>
            </w:r>
          </w:p>
        </w:tc>
      </w:tr>
      <w:tr w:rsidR="009142B0" w:rsidRPr="00E93B1D" w:rsidTr="003A4233">
        <w:tc>
          <w:tcPr>
            <w:tcW w:w="993" w:type="pct"/>
            <w:shd w:val="clear" w:color="auto" w:fill="A6A6A6"/>
            <w:vAlign w:val="center"/>
          </w:tcPr>
          <w:p w:rsidR="009142B0" w:rsidRPr="00E93B1D" w:rsidRDefault="009142B0" w:rsidP="00B65F9B">
            <w:pPr>
              <w:spacing w:before="120" w:after="60" w:line="276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E93B1D">
              <w:rPr>
                <w:rFonts w:cs="Arial"/>
                <w:b/>
                <w:sz w:val="20"/>
                <w:szCs w:val="20"/>
              </w:rPr>
              <w:t>Generic to all modalities</w:t>
            </w:r>
          </w:p>
        </w:tc>
        <w:tc>
          <w:tcPr>
            <w:tcW w:w="4007" w:type="pct"/>
            <w:shd w:val="clear" w:color="auto" w:fill="E6E6E6"/>
          </w:tcPr>
          <w:p w:rsidR="006B75B1" w:rsidRPr="00E93B1D" w:rsidRDefault="009142B0" w:rsidP="00E843C4">
            <w:pPr>
              <w:pStyle w:val="BulletTableau"/>
              <w:framePr w:wrap="around"/>
              <w:spacing w:before="144" w:after="48"/>
              <w:rPr>
                <w:sz w:val="20"/>
                <w:szCs w:val="20"/>
              </w:rPr>
            </w:pPr>
            <w:r w:rsidRPr="00E93B1D">
              <w:rPr>
                <w:sz w:val="20"/>
                <w:szCs w:val="20"/>
                <w:lang w:eastAsia="en-GB"/>
              </w:rPr>
              <w:t>Use your assessment and response options analysis to identify the target population and the gap that your programme aims to fill.</w:t>
            </w:r>
            <w:r w:rsidR="006B75B1" w:rsidRPr="00E93B1D">
              <w:rPr>
                <w:sz w:val="20"/>
                <w:szCs w:val="20"/>
              </w:rPr>
              <w:t xml:space="preserve"> Identify what the transfer is intended to be used for e.g.</w:t>
            </w:r>
            <w:r w:rsidR="00DB3795">
              <w:rPr>
                <w:sz w:val="20"/>
                <w:szCs w:val="20"/>
              </w:rPr>
              <w:t>:</w:t>
            </w:r>
          </w:p>
          <w:p w:rsidR="006B75B1" w:rsidRPr="00E93B1D" w:rsidRDefault="006B75B1" w:rsidP="00DB3795">
            <w:pPr>
              <w:pStyle w:val="BulletTableau"/>
              <w:framePr w:wrap="around"/>
              <w:numPr>
                <w:ilvl w:val="1"/>
                <w:numId w:val="30"/>
              </w:numPr>
              <w:spacing w:before="144" w:after="48"/>
              <w:ind w:left="1077" w:hanging="357"/>
              <w:rPr>
                <w:sz w:val="20"/>
                <w:szCs w:val="20"/>
              </w:rPr>
            </w:pPr>
            <w:r w:rsidRPr="00E93B1D">
              <w:rPr>
                <w:sz w:val="20"/>
                <w:szCs w:val="20"/>
              </w:rPr>
              <w:t xml:space="preserve">daily consumption needs such </w:t>
            </w:r>
            <w:r w:rsidR="00DB3795">
              <w:rPr>
                <w:sz w:val="20"/>
                <w:szCs w:val="20"/>
              </w:rPr>
              <w:t>as food, water, fuel, transport</w:t>
            </w:r>
          </w:p>
          <w:p w:rsidR="009142B0" w:rsidRPr="00E93B1D" w:rsidRDefault="006B75B1" w:rsidP="00DB3795">
            <w:pPr>
              <w:pStyle w:val="BulletTableau"/>
              <w:framePr w:wrap="around"/>
              <w:numPr>
                <w:ilvl w:val="1"/>
                <w:numId w:val="30"/>
              </w:numPr>
              <w:spacing w:before="144" w:after="48"/>
              <w:ind w:left="1077" w:hanging="357"/>
              <w:rPr>
                <w:sz w:val="20"/>
                <w:szCs w:val="20"/>
              </w:rPr>
            </w:pPr>
            <w:r w:rsidRPr="00E93B1D">
              <w:rPr>
                <w:sz w:val="20"/>
                <w:szCs w:val="20"/>
              </w:rPr>
              <w:t>household goods such as mattresse</w:t>
            </w:r>
            <w:r w:rsidR="00DB3795">
              <w:rPr>
                <w:sz w:val="20"/>
                <w:szCs w:val="20"/>
              </w:rPr>
              <w:t>s, kitchen equipment, clothing</w:t>
            </w:r>
          </w:p>
          <w:p w:rsidR="006B75B1" w:rsidRPr="00E93B1D" w:rsidRDefault="006B75B1" w:rsidP="00DB3795">
            <w:pPr>
              <w:pStyle w:val="BulletTableau"/>
              <w:framePr w:wrap="around"/>
              <w:numPr>
                <w:ilvl w:val="1"/>
                <w:numId w:val="30"/>
              </w:numPr>
              <w:spacing w:before="144" w:after="48"/>
              <w:ind w:left="1077" w:hanging="357"/>
              <w:rPr>
                <w:sz w:val="20"/>
                <w:szCs w:val="20"/>
              </w:rPr>
            </w:pPr>
            <w:r w:rsidRPr="00E93B1D">
              <w:rPr>
                <w:sz w:val="20"/>
                <w:szCs w:val="20"/>
              </w:rPr>
              <w:t>livelihood asset replacements such as tools</w:t>
            </w:r>
          </w:p>
          <w:p w:rsidR="006B75B1" w:rsidRPr="00E93B1D" w:rsidRDefault="006B75B1" w:rsidP="00DB3795">
            <w:pPr>
              <w:pStyle w:val="BulletTableau"/>
              <w:framePr w:wrap="around"/>
              <w:numPr>
                <w:ilvl w:val="1"/>
                <w:numId w:val="30"/>
              </w:numPr>
              <w:spacing w:before="144" w:after="48"/>
              <w:ind w:left="1077" w:hanging="357"/>
              <w:rPr>
                <w:sz w:val="20"/>
                <w:szCs w:val="20"/>
              </w:rPr>
            </w:pPr>
            <w:r w:rsidRPr="00E93B1D">
              <w:rPr>
                <w:sz w:val="20"/>
                <w:szCs w:val="20"/>
              </w:rPr>
              <w:t>shelter materials for light reconstruction</w:t>
            </w:r>
          </w:p>
          <w:p w:rsidR="009142B0" w:rsidRPr="00E93B1D" w:rsidRDefault="009142B0" w:rsidP="00E843C4">
            <w:pPr>
              <w:pStyle w:val="BulletTableau"/>
              <w:framePr w:wrap="around"/>
              <w:spacing w:before="144" w:after="48"/>
              <w:rPr>
                <w:sz w:val="20"/>
                <w:szCs w:val="20"/>
                <w:lang w:eastAsia="en-GB"/>
              </w:rPr>
            </w:pPr>
            <w:r w:rsidRPr="00E93B1D">
              <w:rPr>
                <w:sz w:val="20"/>
                <w:szCs w:val="20"/>
                <w:lang w:eastAsia="en-GB"/>
              </w:rPr>
              <w:t>Analyse the minimum expenditure basket at household level and match the value of the cash transfer t the intended expenditures your CTP is aiming to meet, adjusting to changing market prices.</w:t>
            </w:r>
          </w:p>
          <w:p w:rsidR="006B75B1" w:rsidRPr="00E93B1D" w:rsidRDefault="006B75B1" w:rsidP="00E843C4">
            <w:pPr>
              <w:pStyle w:val="BulletTableau"/>
              <w:framePr w:wrap="around"/>
              <w:spacing w:before="144" w:after="48"/>
              <w:rPr>
                <w:sz w:val="20"/>
                <w:szCs w:val="20"/>
                <w:lang w:eastAsia="en-GB"/>
              </w:rPr>
            </w:pPr>
            <w:r w:rsidRPr="00E93B1D">
              <w:rPr>
                <w:sz w:val="20"/>
                <w:szCs w:val="20"/>
              </w:rPr>
              <w:t>Calculate the value of the transfer on the basis of predicted future prices, to ensure that households can maintain purchasing power.</w:t>
            </w:r>
          </w:p>
          <w:p w:rsidR="009C6F67" w:rsidRPr="00E93B1D" w:rsidRDefault="009C6F67" w:rsidP="00E843C4">
            <w:pPr>
              <w:pStyle w:val="BulletTableau"/>
              <w:framePr w:wrap="around"/>
              <w:spacing w:before="144" w:after="48"/>
              <w:rPr>
                <w:sz w:val="20"/>
                <w:szCs w:val="20"/>
                <w:lang w:eastAsia="en-GB"/>
              </w:rPr>
            </w:pPr>
            <w:r w:rsidRPr="00E93B1D">
              <w:rPr>
                <w:sz w:val="20"/>
                <w:szCs w:val="20"/>
                <w:lang w:eastAsia="en-GB"/>
              </w:rPr>
              <w:t>Assess whether the transfer should be adjusted to household size or be a standard amount (e.g. $10 per person per month or $50 per household for food, water and fuel costs).</w:t>
            </w:r>
          </w:p>
          <w:p w:rsidR="002564FF" w:rsidRPr="00E93B1D" w:rsidRDefault="002564FF" w:rsidP="00E843C4">
            <w:pPr>
              <w:pStyle w:val="BulletTableau"/>
              <w:framePr w:wrap="around"/>
              <w:spacing w:before="144" w:after="48"/>
              <w:rPr>
                <w:sz w:val="20"/>
                <w:szCs w:val="20"/>
                <w:lang w:eastAsia="en-GB"/>
              </w:rPr>
            </w:pPr>
            <w:r w:rsidRPr="00E93B1D">
              <w:rPr>
                <w:sz w:val="20"/>
                <w:szCs w:val="20"/>
                <w:lang w:eastAsia="en-GB"/>
              </w:rPr>
              <w:t xml:space="preserve">Assess security risks associated with large amounts being paid in one go and beneficiaries only having to go once to collect the transfer, versus options that involve </w:t>
            </w:r>
            <w:r w:rsidR="00743AEB" w:rsidRPr="00E93B1D">
              <w:rPr>
                <w:sz w:val="20"/>
                <w:szCs w:val="20"/>
                <w:lang w:eastAsia="en-GB"/>
              </w:rPr>
              <w:t>smaller amounts and more frequen</w:t>
            </w:r>
            <w:r w:rsidRPr="00E93B1D">
              <w:rPr>
                <w:sz w:val="20"/>
                <w:szCs w:val="20"/>
                <w:lang w:eastAsia="en-GB"/>
              </w:rPr>
              <w:t xml:space="preserve">t displacements. </w:t>
            </w:r>
          </w:p>
          <w:p w:rsidR="00BB76D0" w:rsidRPr="00E93B1D" w:rsidRDefault="00BB76D0" w:rsidP="00E843C4">
            <w:pPr>
              <w:pStyle w:val="BulletTableau"/>
              <w:framePr w:wrap="around"/>
              <w:spacing w:before="144" w:after="48"/>
              <w:rPr>
                <w:sz w:val="20"/>
                <w:szCs w:val="20"/>
                <w:lang w:eastAsia="en-GB"/>
              </w:rPr>
            </w:pPr>
            <w:r w:rsidRPr="00E93B1D">
              <w:rPr>
                <w:sz w:val="20"/>
                <w:szCs w:val="20"/>
                <w:lang w:eastAsia="en-GB"/>
              </w:rPr>
              <w:t>Assess how easy it would be to top-up a transfer in line with your chosen cash transfer mechanism (direct distribution of cash versus mobile money options)</w:t>
            </w:r>
          </w:p>
          <w:p w:rsidR="009C6F67" w:rsidRPr="00E93B1D" w:rsidRDefault="009142B0" w:rsidP="00E843C4">
            <w:pPr>
              <w:pStyle w:val="BulletTableau"/>
              <w:framePr w:wrap="around"/>
              <w:spacing w:before="144" w:after="48"/>
              <w:rPr>
                <w:sz w:val="20"/>
                <w:szCs w:val="20"/>
                <w:lang w:eastAsia="en-GB"/>
              </w:rPr>
            </w:pPr>
            <w:r w:rsidRPr="00E93B1D">
              <w:rPr>
                <w:sz w:val="20"/>
                <w:szCs w:val="20"/>
                <w:lang w:eastAsia="en-GB"/>
              </w:rPr>
              <w:t xml:space="preserve">Consult and involve beneficiaries, community representatives and other key stakeholders </w:t>
            </w:r>
            <w:r w:rsidR="009C6F67" w:rsidRPr="00E93B1D">
              <w:rPr>
                <w:sz w:val="20"/>
                <w:szCs w:val="20"/>
                <w:lang w:eastAsia="en-GB"/>
              </w:rPr>
              <w:t>to ensure the value of the transfer matches expectations and changes in the operating context.</w:t>
            </w:r>
          </w:p>
          <w:p w:rsidR="00743AEB" w:rsidRPr="00E93B1D" w:rsidRDefault="009142B0" w:rsidP="00E843C4">
            <w:pPr>
              <w:pStyle w:val="BulletTableau"/>
              <w:framePr w:wrap="around"/>
              <w:spacing w:before="144" w:after="48"/>
              <w:rPr>
                <w:sz w:val="20"/>
                <w:szCs w:val="20"/>
                <w:lang w:eastAsia="en-GB"/>
              </w:rPr>
            </w:pPr>
            <w:r w:rsidRPr="00E93B1D">
              <w:rPr>
                <w:sz w:val="20"/>
                <w:szCs w:val="20"/>
                <w:lang w:eastAsia="en-GB"/>
              </w:rPr>
              <w:t>Monitor to assess if the value of the cash transfer retains its purchasing power in the local market and have a contingency plan on what to do if there is inflation (increase value of transfer, increase regularity of payment, switch to in-kind or commodity vouchers as appropriate)</w:t>
            </w:r>
          </w:p>
        </w:tc>
      </w:tr>
      <w:tr w:rsidR="00321BFC" w:rsidRPr="00E93B1D" w:rsidTr="003A4233">
        <w:tc>
          <w:tcPr>
            <w:tcW w:w="993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21BFC" w:rsidRPr="00E93B1D" w:rsidRDefault="00321BFC" w:rsidP="00B65F9B">
            <w:pPr>
              <w:spacing w:before="120" w:after="60" w:line="276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E93B1D">
              <w:rPr>
                <w:rFonts w:cs="Arial"/>
                <w:b/>
                <w:sz w:val="20"/>
                <w:szCs w:val="20"/>
              </w:rPr>
              <w:t>Unconditional cash transfe</w:t>
            </w:r>
            <w:r w:rsidR="00075E48" w:rsidRPr="00E93B1D">
              <w:rPr>
                <w:rFonts w:cs="Arial"/>
                <w:b/>
                <w:sz w:val="20"/>
                <w:szCs w:val="20"/>
              </w:rPr>
              <w:t>rs</w:t>
            </w:r>
          </w:p>
        </w:tc>
        <w:tc>
          <w:tcPr>
            <w:tcW w:w="4007" w:type="pct"/>
            <w:shd w:val="clear" w:color="auto" w:fill="E6E6E6"/>
          </w:tcPr>
          <w:p w:rsidR="00075E48" w:rsidRPr="00DB3795" w:rsidRDefault="00075E48" w:rsidP="00E843C4">
            <w:pPr>
              <w:pStyle w:val="BulletTableau"/>
              <w:framePr w:wrap="around"/>
              <w:spacing w:before="144" w:after="48"/>
              <w:rPr>
                <w:sz w:val="20"/>
                <w:szCs w:val="20"/>
                <w:lang w:eastAsia="en-GB"/>
              </w:rPr>
            </w:pPr>
            <w:r w:rsidRPr="00DB3795">
              <w:rPr>
                <w:sz w:val="20"/>
                <w:szCs w:val="20"/>
                <w:lang w:eastAsia="en-GB"/>
              </w:rPr>
              <w:t>Decide whether to provide a one off payment to meet you project objective or whether multiple regular instalments are needed and set the value of the transfer accordingly (e</w:t>
            </w:r>
            <w:r w:rsidR="002564FF" w:rsidRPr="00DB3795">
              <w:rPr>
                <w:sz w:val="20"/>
                <w:szCs w:val="20"/>
                <w:lang w:eastAsia="en-GB"/>
              </w:rPr>
              <w:t>.</w:t>
            </w:r>
            <w:r w:rsidRPr="00DB3795">
              <w:rPr>
                <w:sz w:val="20"/>
                <w:szCs w:val="20"/>
                <w:lang w:eastAsia="en-GB"/>
              </w:rPr>
              <w:t>g</w:t>
            </w:r>
            <w:r w:rsidR="002564FF" w:rsidRPr="00DB3795">
              <w:rPr>
                <w:sz w:val="20"/>
                <w:szCs w:val="20"/>
                <w:lang w:eastAsia="en-GB"/>
              </w:rPr>
              <w:t>.</w:t>
            </w:r>
            <w:r w:rsidR="006B16ED" w:rsidRPr="00DB3795">
              <w:rPr>
                <w:sz w:val="20"/>
                <w:szCs w:val="20"/>
                <w:lang w:eastAsia="en-GB"/>
              </w:rPr>
              <w:t>,</w:t>
            </w:r>
            <w:r w:rsidRPr="00DB3795">
              <w:rPr>
                <w:sz w:val="20"/>
                <w:szCs w:val="20"/>
                <w:lang w:eastAsia="en-GB"/>
              </w:rPr>
              <w:t xml:space="preserve"> one off $200 payment or 4 payments of $50 every 2 weeks to</w:t>
            </w:r>
            <w:r w:rsidR="006B16ED" w:rsidRPr="00DB3795">
              <w:rPr>
                <w:sz w:val="20"/>
                <w:szCs w:val="20"/>
                <w:lang w:eastAsia="en-GB"/>
              </w:rPr>
              <w:t xml:space="preserve"> meet all household expenditure</w:t>
            </w:r>
            <w:r w:rsidRPr="00DB3795">
              <w:rPr>
                <w:sz w:val="20"/>
                <w:szCs w:val="20"/>
                <w:lang w:eastAsia="en-GB"/>
              </w:rPr>
              <w:t>).</w:t>
            </w:r>
          </w:p>
          <w:p w:rsidR="00321BFC" w:rsidRPr="00DB3795" w:rsidRDefault="00075E48" w:rsidP="00E843C4">
            <w:pPr>
              <w:pStyle w:val="BulletTableau"/>
              <w:framePr w:wrap="around"/>
              <w:spacing w:before="144" w:after="48"/>
              <w:rPr>
                <w:sz w:val="20"/>
                <w:szCs w:val="20"/>
                <w:lang w:eastAsia="en-GB"/>
              </w:rPr>
            </w:pPr>
            <w:r w:rsidRPr="00DB3795">
              <w:rPr>
                <w:sz w:val="20"/>
                <w:szCs w:val="20"/>
              </w:rPr>
              <w:t xml:space="preserve">Remember heavily indebted households may use grants to repay debts rather than to buy the goods you intended. </w:t>
            </w:r>
          </w:p>
        </w:tc>
      </w:tr>
      <w:tr w:rsidR="006B75B1" w:rsidRPr="00E93B1D" w:rsidTr="003A4233">
        <w:tc>
          <w:tcPr>
            <w:tcW w:w="993" w:type="pct"/>
            <w:shd w:val="clear" w:color="auto" w:fill="A6A6A6"/>
            <w:vAlign w:val="center"/>
          </w:tcPr>
          <w:p w:rsidR="006B75B1" w:rsidRPr="00E93B1D" w:rsidRDefault="006B75B1" w:rsidP="00B65F9B">
            <w:pPr>
              <w:keepNext/>
              <w:keepLines/>
              <w:spacing w:before="120" w:after="60" w:line="276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E93B1D">
              <w:rPr>
                <w:rFonts w:cs="Arial"/>
                <w:b/>
                <w:sz w:val="20"/>
                <w:szCs w:val="20"/>
              </w:rPr>
              <w:lastRenderedPageBreak/>
              <w:t>Conditional Cash transfers</w:t>
            </w:r>
          </w:p>
        </w:tc>
        <w:tc>
          <w:tcPr>
            <w:tcW w:w="4007" w:type="pct"/>
            <w:shd w:val="clear" w:color="auto" w:fill="E6E6E6"/>
          </w:tcPr>
          <w:p w:rsidR="006B75B1" w:rsidRPr="00DB3795" w:rsidRDefault="006B75B1" w:rsidP="00E843C4">
            <w:pPr>
              <w:pStyle w:val="BulletTableau"/>
              <w:framePr w:wrap="around"/>
              <w:spacing w:before="144" w:after="48"/>
              <w:rPr>
                <w:sz w:val="20"/>
                <w:szCs w:val="20"/>
              </w:rPr>
            </w:pPr>
            <w:r w:rsidRPr="00DB3795">
              <w:rPr>
                <w:sz w:val="20"/>
                <w:szCs w:val="20"/>
              </w:rPr>
              <w:t>When choosing conditional cash transfers, take into account the cost of assets/materials may vary by location and by livelihood activity, so adjust the value of the transfer accordingly.</w:t>
            </w:r>
          </w:p>
          <w:p w:rsidR="006B75B1" w:rsidRPr="00DB3795" w:rsidRDefault="00075E48" w:rsidP="00E843C4">
            <w:pPr>
              <w:pStyle w:val="BulletTableau"/>
              <w:framePr w:wrap="around"/>
              <w:spacing w:before="144" w:after="48"/>
              <w:rPr>
                <w:sz w:val="20"/>
                <w:szCs w:val="20"/>
              </w:rPr>
            </w:pPr>
            <w:r w:rsidRPr="00DB3795">
              <w:rPr>
                <w:sz w:val="20"/>
                <w:szCs w:val="20"/>
              </w:rPr>
              <w:t>When providing cash transfers as cash or vouchers for livelihood or shelter specific aims, include the value of the materials, labour and transport.</w:t>
            </w:r>
          </w:p>
        </w:tc>
      </w:tr>
      <w:tr w:rsidR="00075E48" w:rsidRPr="00E93B1D" w:rsidTr="003A4233">
        <w:tc>
          <w:tcPr>
            <w:tcW w:w="993" w:type="pct"/>
            <w:shd w:val="clear" w:color="auto" w:fill="A6A6A6"/>
            <w:vAlign w:val="center"/>
          </w:tcPr>
          <w:p w:rsidR="00075E48" w:rsidRPr="00E93B1D" w:rsidRDefault="00075E48" w:rsidP="00B65F9B">
            <w:pPr>
              <w:spacing w:before="120" w:after="60" w:line="276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E93B1D">
              <w:rPr>
                <w:rFonts w:cs="Arial"/>
                <w:b/>
                <w:sz w:val="20"/>
                <w:szCs w:val="20"/>
              </w:rPr>
              <w:t>Cash for Work</w:t>
            </w:r>
          </w:p>
        </w:tc>
        <w:tc>
          <w:tcPr>
            <w:tcW w:w="4007" w:type="pct"/>
            <w:shd w:val="clear" w:color="auto" w:fill="E6E6E6"/>
          </w:tcPr>
          <w:p w:rsidR="00075E48" w:rsidRPr="00DB3795" w:rsidRDefault="00075E48" w:rsidP="00E843C4">
            <w:pPr>
              <w:pStyle w:val="BulletTableau"/>
              <w:framePr w:wrap="around"/>
              <w:spacing w:before="144" w:after="48"/>
              <w:rPr>
                <w:sz w:val="20"/>
                <w:szCs w:val="20"/>
              </w:rPr>
            </w:pPr>
            <w:r w:rsidRPr="00DB3795">
              <w:rPr>
                <w:sz w:val="20"/>
                <w:szCs w:val="20"/>
              </w:rPr>
              <w:t>Daily labour rates should be set just below the usual market rate. In this way, the most vulnerable people will self-select for the jobs, others will not leave local businesses and labourers will return to their longer-term livelihood options. CFW wages will hardly ever cover more than the cost of a household’s basic needs.</w:t>
            </w:r>
          </w:p>
          <w:p w:rsidR="00075E48" w:rsidRPr="00DB3795" w:rsidRDefault="00075E48" w:rsidP="00E843C4">
            <w:pPr>
              <w:pStyle w:val="BulletTableau"/>
              <w:framePr w:wrap="around"/>
              <w:spacing w:before="144" w:after="48"/>
              <w:rPr>
                <w:sz w:val="20"/>
                <w:szCs w:val="20"/>
              </w:rPr>
            </w:pPr>
            <w:r w:rsidRPr="00DB3795">
              <w:rPr>
                <w:sz w:val="20"/>
                <w:szCs w:val="20"/>
              </w:rPr>
              <w:t>Payments can vary according to the skill level of the work, the length of the workday and the time period of the project.</w:t>
            </w:r>
          </w:p>
          <w:p w:rsidR="00075E48" w:rsidRPr="00DB3795" w:rsidRDefault="00075E48" w:rsidP="00E843C4">
            <w:pPr>
              <w:pStyle w:val="BulletTableau"/>
              <w:framePr w:wrap="around"/>
              <w:spacing w:before="144" w:after="48"/>
              <w:rPr>
                <w:sz w:val="20"/>
                <w:szCs w:val="20"/>
              </w:rPr>
            </w:pPr>
            <w:r w:rsidRPr="00DB3795">
              <w:rPr>
                <w:sz w:val="20"/>
                <w:szCs w:val="20"/>
              </w:rPr>
              <w:t>Ensure that transport costs to and from the work site are covered.</w:t>
            </w:r>
          </w:p>
          <w:p w:rsidR="00075E48" w:rsidRPr="00DB3795" w:rsidRDefault="00075E48" w:rsidP="00E843C4">
            <w:pPr>
              <w:pStyle w:val="BulletTableau"/>
              <w:framePr w:wrap="around"/>
              <w:spacing w:before="144" w:after="48"/>
              <w:rPr>
                <w:sz w:val="20"/>
                <w:szCs w:val="20"/>
              </w:rPr>
            </w:pPr>
            <w:r w:rsidRPr="00DB3795">
              <w:rPr>
                <w:sz w:val="20"/>
                <w:szCs w:val="20"/>
              </w:rPr>
              <w:t>If several organizations are implementing CFW programmes, ensure that similar wages are applied.</w:t>
            </w:r>
          </w:p>
          <w:p w:rsidR="00075E48" w:rsidRPr="00DB3795" w:rsidRDefault="00075E48" w:rsidP="00E843C4">
            <w:pPr>
              <w:pStyle w:val="BulletTableau"/>
              <w:framePr w:wrap="around"/>
              <w:spacing w:before="144" w:after="48"/>
              <w:rPr>
                <w:sz w:val="20"/>
                <w:szCs w:val="20"/>
              </w:rPr>
            </w:pPr>
            <w:r w:rsidRPr="00DB3795">
              <w:rPr>
                <w:sz w:val="20"/>
                <w:szCs w:val="20"/>
              </w:rPr>
              <w:t xml:space="preserve">Check frequently that CFW wages are in line with local rates and </w:t>
            </w:r>
            <w:proofErr w:type="gramStart"/>
            <w:r w:rsidRPr="00DB3795">
              <w:rPr>
                <w:sz w:val="20"/>
                <w:szCs w:val="20"/>
              </w:rPr>
              <w:t>that local enterprises</w:t>
            </w:r>
            <w:proofErr w:type="gramEnd"/>
            <w:r w:rsidRPr="00DB3795">
              <w:rPr>
                <w:sz w:val="20"/>
                <w:szCs w:val="20"/>
              </w:rPr>
              <w:t xml:space="preserve"> can find labourers. If monitoring suggests CFW is leading to labour shortages, consider reducing wages or restricting participation.</w:t>
            </w:r>
          </w:p>
          <w:p w:rsidR="00075E48" w:rsidRPr="00DB3795" w:rsidRDefault="00075E48" w:rsidP="00E843C4">
            <w:pPr>
              <w:pStyle w:val="BulletTableau"/>
              <w:framePr w:wrap="around"/>
              <w:spacing w:before="144" w:after="48"/>
              <w:rPr>
                <w:sz w:val="20"/>
                <w:szCs w:val="20"/>
              </w:rPr>
            </w:pPr>
            <w:r w:rsidRPr="00DB3795">
              <w:rPr>
                <w:sz w:val="20"/>
                <w:szCs w:val="20"/>
              </w:rPr>
              <w:t>Ensure you respect national legislation, as minimum wages can be defined by law.</w:t>
            </w:r>
          </w:p>
        </w:tc>
      </w:tr>
    </w:tbl>
    <w:p w:rsidR="00321BFC" w:rsidRDefault="009142B0" w:rsidP="00E93B1D">
      <w:pPr>
        <w:spacing w:before="120"/>
        <w:jc w:val="right"/>
        <w:rPr>
          <w:rFonts w:cs="Arial"/>
          <w:sz w:val="18"/>
          <w:szCs w:val="18"/>
        </w:rPr>
      </w:pPr>
      <w:bookmarkStart w:id="0" w:name="_GoBack"/>
      <w:bookmarkEnd w:id="0"/>
      <w:r w:rsidRPr="00E93B1D">
        <w:rPr>
          <w:rFonts w:cs="Arial"/>
          <w:sz w:val="18"/>
          <w:szCs w:val="18"/>
        </w:rPr>
        <w:t xml:space="preserve">Adapted </w:t>
      </w:r>
      <w:r w:rsidR="000B799F" w:rsidRPr="00E93B1D">
        <w:rPr>
          <w:rFonts w:cs="Arial"/>
          <w:sz w:val="18"/>
          <w:szCs w:val="18"/>
        </w:rPr>
        <w:t>from:</w:t>
      </w:r>
      <w:r w:rsidR="00E474BA" w:rsidRPr="00E93B1D">
        <w:rPr>
          <w:rFonts w:cs="Arial"/>
          <w:sz w:val="18"/>
          <w:szCs w:val="18"/>
        </w:rPr>
        <w:t xml:space="preserve"> IFRC (2007) </w:t>
      </w:r>
      <w:r w:rsidRPr="00E93B1D">
        <w:rPr>
          <w:rFonts w:cs="Arial"/>
          <w:sz w:val="18"/>
          <w:szCs w:val="18"/>
        </w:rPr>
        <w:t xml:space="preserve">Guidelines </w:t>
      </w:r>
      <w:r w:rsidR="00E474BA" w:rsidRPr="00E93B1D">
        <w:rPr>
          <w:rFonts w:cs="Arial"/>
          <w:sz w:val="18"/>
          <w:szCs w:val="18"/>
        </w:rPr>
        <w:t>for cash transfer programming</w:t>
      </w:r>
    </w:p>
    <w:sectPr w:rsidR="00321BFC" w:rsidSect="00D51550"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F4D9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07" w:rsidRDefault="00DE0307" w:rsidP="00EB7075">
      <w:r>
        <w:separator/>
      </w:r>
    </w:p>
  </w:endnote>
  <w:endnote w:type="continuationSeparator" w:id="0">
    <w:p w:rsidR="00DE0307" w:rsidRDefault="00DE0307" w:rsidP="00EB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B80" w:rsidRDefault="003A7787" w:rsidP="00EA3A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51B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1B80" w:rsidRDefault="00251B80" w:rsidP="00EB70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50" w:rsidRPr="00B45C74" w:rsidRDefault="00D51550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3A4233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D51550" w:rsidRPr="00D51550" w:rsidRDefault="00D51550" w:rsidP="00ED1B2B">
    <w:pPr>
      <w:pStyle w:val="Footer"/>
    </w:pPr>
    <w:r w:rsidRPr="00107E15">
      <w:rPr>
        <w:b/>
      </w:rPr>
      <w:t xml:space="preserve">Module </w:t>
    </w:r>
    <w:r>
      <w:rPr>
        <w:b/>
      </w:rPr>
      <w:t>3</w:t>
    </w:r>
    <w:r w:rsidRPr="00107E15">
      <w:rPr>
        <w:b/>
      </w:rPr>
      <w:t>.</w:t>
    </w:r>
    <w:r w:rsidRPr="00107E15">
      <w:t xml:space="preserve"> Step </w:t>
    </w:r>
    <w:r>
      <w:t>2</w:t>
    </w:r>
    <w:r w:rsidRPr="00107E15">
      <w:t>.</w:t>
    </w:r>
    <w:r>
      <w:t xml:space="preserve"> Sub-step 1. </w:t>
    </w:r>
    <w:r w:rsidR="00DE0307">
      <w:fldChar w:fldCharType="begin"/>
    </w:r>
    <w:r w:rsidR="00DE0307">
      <w:instrText xml:space="preserve"> STYLEREF  H1 \t  \* MERGEFORMAT </w:instrText>
    </w:r>
    <w:r w:rsidR="00DE0307">
      <w:fldChar w:fldCharType="separate"/>
    </w:r>
    <w:r w:rsidR="003A4233" w:rsidRPr="003A4233">
      <w:rPr>
        <w:bCs/>
        <w:noProof/>
      </w:rPr>
      <w:t>What to consider when setting the value of the</w:t>
    </w:r>
    <w:r w:rsidR="003A4233">
      <w:rPr>
        <w:noProof/>
      </w:rPr>
      <w:t xml:space="preserve"> transfer</w:t>
    </w:r>
    <w:r w:rsidR="00DE03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07" w:rsidRDefault="00DE0307" w:rsidP="00EB7075">
      <w:r>
        <w:separator/>
      </w:r>
    </w:p>
  </w:footnote>
  <w:footnote w:type="continuationSeparator" w:id="0">
    <w:p w:rsidR="00DE0307" w:rsidRDefault="00DE0307" w:rsidP="00EB7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50" w:rsidRPr="00074036" w:rsidRDefault="00D51550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724F2"/>
    <w:multiLevelType w:val="hybridMultilevel"/>
    <w:tmpl w:val="0628A046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F2DFF"/>
    <w:multiLevelType w:val="hybridMultilevel"/>
    <w:tmpl w:val="9AEE2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F5F5E"/>
    <w:multiLevelType w:val="hybridMultilevel"/>
    <w:tmpl w:val="F06CF9B6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6380B"/>
    <w:multiLevelType w:val="hybridMultilevel"/>
    <w:tmpl w:val="6360EC9E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42DA6"/>
    <w:multiLevelType w:val="hybridMultilevel"/>
    <w:tmpl w:val="910AA2F8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66826"/>
    <w:multiLevelType w:val="hybridMultilevel"/>
    <w:tmpl w:val="6FFEC100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82C45"/>
    <w:multiLevelType w:val="hybridMultilevel"/>
    <w:tmpl w:val="1B7A8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1563D"/>
    <w:multiLevelType w:val="hybridMultilevel"/>
    <w:tmpl w:val="2600337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D4633B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70436"/>
    <w:multiLevelType w:val="hybridMultilevel"/>
    <w:tmpl w:val="5168629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551FA"/>
    <w:multiLevelType w:val="hybridMultilevel"/>
    <w:tmpl w:val="5A3C141E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4434F"/>
    <w:multiLevelType w:val="hybridMultilevel"/>
    <w:tmpl w:val="CEAE82E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F5CE3"/>
    <w:multiLevelType w:val="hybridMultilevel"/>
    <w:tmpl w:val="6FEADCE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55657"/>
    <w:multiLevelType w:val="hybridMultilevel"/>
    <w:tmpl w:val="FD50915E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A183F"/>
    <w:multiLevelType w:val="hybridMultilevel"/>
    <w:tmpl w:val="5A8282C6"/>
    <w:lvl w:ilvl="0" w:tplc="A87E83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E14CE"/>
    <w:multiLevelType w:val="hybridMultilevel"/>
    <w:tmpl w:val="35661206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63E1D"/>
    <w:multiLevelType w:val="hybridMultilevel"/>
    <w:tmpl w:val="7382CDB2"/>
    <w:lvl w:ilvl="0" w:tplc="A87E83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6F5DC7"/>
    <w:multiLevelType w:val="hybridMultilevel"/>
    <w:tmpl w:val="A8F431E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6453FB"/>
    <w:multiLevelType w:val="hybridMultilevel"/>
    <w:tmpl w:val="134E0BFC"/>
    <w:lvl w:ilvl="0" w:tplc="A87E83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615D1"/>
    <w:multiLevelType w:val="hybridMultilevel"/>
    <w:tmpl w:val="74042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6E0584"/>
    <w:multiLevelType w:val="hybridMultilevel"/>
    <w:tmpl w:val="9606DA82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A66D74"/>
    <w:multiLevelType w:val="hybridMultilevel"/>
    <w:tmpl w:val="A53CA0AC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0B4320"/>
    <w:multiLevelType w:val="hybridMultilevel"/>
    <w:tmpl w:val="CF0E03A4"/>
    <w:lvl w:ilvl="0" w:tplc="611CFDBE">
      <w:start w:val="1"/>
      <w:numFmt w:val="bullet"/>
      <w:lvlText w:val="•"/>
      <w:lvlJc w:val="left"/>
      <w:pPr>
        <w:ind w:left="1032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8">
    <w:nsid w:val="77485F9E"/>
    <w:multiLevelType w:val="hybridMultilevel"/>
    <w:tmpl w:val="FDCADE8E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BC3052"/>
    <w:multiLevelType w:val="hybridMultilevel"/>
    <w:tmpl w:val="02E6A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2"/>
  </w:num>
  <w:num w:numId="4">
    <w:abstractNumId w:val="18"/>
  </w:num>
  <w:num w:numId="5">
    <w:abstractNumId w:val="23"/>
  </w:num>
  <w:num w:numId="6">
    <w:abstractNumId w:val="15"/>
  </w:num>
  <w:num w:numId="7">
    <w:abstractNumId w:val="29"/>
  </w:num>
  <w:num w:numId="8">
    <w:abstractNumId w:val="14"/>
  </w:num>
  <w:num w:numId="9">
    <w:abstractNumId w:val="28"/>
  </w:num>
  <w:num w:numId="10">
    <w:abstractNumId w:val="1"/>
  </w:num>
  <w:num w:numId="11">
    <w:abstractNumId w:val="26"/>
  </w:num>
  <w:num w:numId="12">
    <w:abstractNumId w:val="7"/>
  </w:num>
  <w:num w:numId="13">
    <w:abstractNumId w:val="25"/>
  </w:num>
  <w:num w:numId="14">
    <w:abstractNumId w:val="17"/>
  </w:num>
  <w:num w:numId="15">
    <w:abstractNumId w:val="11"/>
  </w:num>
  <w:num w:numId="16">
    <w:abstractNumId w:val="6"/>
  </w:num>
  <w:num w:numId="17">
    <w:abstractNumId w:val="3"/>
  </w:num>
  <w:num w:numId="18">
    <w:abstractNumId w:val="9"/>
  </w:num>
  <w:num w:numId="19">
    <w:abstractNumId w:val="12"/>
  </w:num>
  <w:num w:numId="20">
    <w:abstractNumId w:val="22"/>
  </w:num>
  <w:num w:numId="21">
    <w:abstractNumId w:val="27"/>
  </w:num>
  <w:num w:numId="22">
    <w:abstractNumId w:val="13"/>
  </w:num>
  <w:num w:numId="23">
    <w:abstractNumId w:val="10"/>
  </w:num>
  <w:num w:numId="24">
    <w:abstractNumId w:val="8"/>
  </w:num>
  <w:num w:numId="25">
    <w:abstractNumId w:val="0"/>
  </w:num>
  <w:num w:numId="26">
    <w:abstractNumId w:val="16"/>
  </w:num>
  <w:num w:numId="27">
    <w:abstractNumId w:val="4"/>
  </w:num>
  <w:num w:numId="28">
    <w:abstractNumId w:val="19"/>
  </w:num>
  <w:num w:numId="29">
    <w:abstractNumId w:val="21"/>
  </w:num>
  <w:num w:numId="30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ud Devred">
    <w15:presenceInfo w15:providerId="AD" w15:userId="S-1-5-21-2160216369-3329932071-3968528880-48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linkStyl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20"/>
    <w:rsid w:val="00052869"/>
    <w:rsid w:val="00075E48"/>
    <w:rsid w:val="00090EFE"/>
    <w:rsid w:val="0009623B"/>
    <w:rsid w:val="000B799F"/>
    <w:rsid w:val="00112ACD"/>
    <w:rsid w:val="00117901"/>
    <w:rsid w:val="001479B4"/>
    <w:rsid w:val="00170CF3"/>
    <w:rsid w:val="002014EE"/>
    <w:rsid w:val="00221EED"/>
    <w:rsid w:val="00251B80"/>
    <w:rsid w:val="002564FF"/>
    <w:rsid w:val="0028432F"/>
    <w:rsid w:val="002A4CB2"/>
    <w:rsid w:val="002C6FB6"/>
    <w:rsid w:val="002F25B8"/>
    <w:rsid w:val="00321BFC"/>
    <w:rsid w:val="003952F0"/>
    <w:rsid w:val="003A4233"/>
    <w:rsid w:val="003A7787"/>
    <w:rsid w:val="003E4D4F"/>
    <w:rsid w:val="005343E3"/>
    <w:rsid w:val="005344B1"/>
    <w:rsid w:val="005F7BB1"/>
    <w:rsid w:val="00614878"/>
    <w:rsid w:val="006A7284"/>
    <w:rsid w:val="006B16ED"/>
    <w:rsid w:val="006B3D70"/>
    <w:rsid w:val="006B75B1"/>
    <w:rsid w:val="00743AEB"/>
    <w:rsid w:val="007D5420"/>
    <w:rsid w:val="007F6C03"/>
    <w:rsid w:val="00842488"/>
    <w:rsid w:val="009142B0"/>
    <w:rsid w:val="00933E34"/>
    <w:rsid w:val="00971D15"/>
    <w:rsid w:val="009C6F67"/>
    <w:rsid w:val="009D61C7"/>
    <w:rsid w:val="00A13267"/>
    <w:rsid w:val="00A43239"/>
    <w:rsid w:val="00A55B3D"/>
    <w:rsid w:val="00AA0620"/>
    <w:rsid w:val="00B65F9B"/>
    <w:rsid w:val="00B77EE4"/>
    <w:rsid w:val="00BB76D0"/>
    <w:rsid w:val="00C14EBD"/>
    <w:rsid w:val="00C83B4D"/>
    <w:rsid w:val="00CD72A3"/>
    <w:rsid w:val="00D51550"/>
    <w:rsid w:val="00DB20F6"/>
    <w:rsid w:val="00DB3795"/>
    <w:rsid w:val="00DE0307"/>
    <w:rsid w:val="00E21EDD"/>
    <w:rsid w:val="00E474BA"/>
    <w:rsid w:val="00E81BF8"/>
    <w:rsid w:val="00E843C4"/>
    <w:rsid w:val="00E93B1D"/>
    <w:rsid w:val="00EA3AAF"/>
    <w:rsid w:val="00EB7075"/>
    <w:rsid w:val="00EF2E5B"/>
    <w:rsid w:val="00F97D16"/>
    <w:rsid w:val="00FB4C7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C4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E843C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3C4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43C4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E843C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843C4"/>
  </w:style>
  <w:style w:type="table" w:styleId="TableGrid">
    <w:name w:val="Table Grid"/>
    <w:basedOn w:val="TableNormal"/>
    <w:uiPriority w:val="59"/>
    <w:rsid w:val="00E843C4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843C4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E843C4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843C4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E843C4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843C4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E843C4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E843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B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B4D"/>
    <w:rPr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E843C4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843C4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3C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3C4"/>
    <w:rPr>
      <w:rFonts w:ascii="Lucida Grande" w:hAnsi="Lucida Grande" w:cs="Lucida Grande"/>
      <w:sz w:val="18"/>
      <w:szCs w:val="18"/>
    </w:rPr>
  </w:style>
  <w:style w:type="table" w:customStyle="1" w:styleId="Tablaconcuadrcula1">
    <w:name w:val="Tabla con cuadrícula1"/>
    <w:basedOn w:val="TableNormal"/>
    <w:next w:val="TableGrid"/>
    <w:uiPriority w:val="59"/>
    <w:rsid w:val="00321BFC"/>
    <w:pPr>
      <w:jc w:val="both"/>
    </w:pPr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43C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2B0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843C4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843C4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43C4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843C4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E843C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843C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843C4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43C4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E843C4"/>
    <w:rPr>
      <w:vertAlign w:val="superscript"/>
    </w:rPr>
  </w:style>
  <w:style w:type="paragraph" w:styleId="Revision">
    <w:name w:val="Revision"/>
    <w:hidden/>
    <w:uiPriority w:val="99"/>
    <w:semiHidden/>
    <w:rsid w:val="00E843C4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E843C4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E843C4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E843C4"/>
    <w:pPr>
      <w:numPr>
        <w:numId w:val="2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E843C4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E843C4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E843C4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E843C4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E843C4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E843C4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E843C4"/>
    <w:pPr>
      <w:numPr>
        <w:numId w:val="28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E843C4"/>
    <w:pPr>
      <w:numPr>
        <w:ilvl w:val="1"/>
        <w:numId w:val="2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E843C4"/>
    <w:pPr>
      <w:numPr>
        <w:numId w:val="2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E843C4"/>
    <w:pPr>
      <w:numPr>
        <w:numId w:val="2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E843C4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E843C4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843C4"/>
    <w:pPr>
      <w:keepNext/>
      <w:keepLines/>
      <w:framePr w:hSpace="141" w:wrap="around" w:vAnchor="text" w:hAnchor="margin" w:y="402"/>
      <w:numPr>
        <w:numId w:val="30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C4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E843C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3C4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43C4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E843C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843C4"/>
  </w:style>
  <w:style w:type="table" w:styleId="TableGrid">
    <w:name w:val="Table Grid"/>
    <w:basedOn w:val="TableNormal"/>
    <w:uiPriority w:val="59"/>
    <w:rsid w:val="00E843C4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843C4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E843C4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843C4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E843C4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843C4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E843C4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E843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B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B4D"/>
    <w:rPr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E843C4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843C4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3C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3C4"/>
    <w:rPr>
      <w:rFonts w:ascii="Lucida Grande" w:hAnsi="Lucida Grande" w:cs="Lucida Grande"/>
      <w:sz w:val="18"/>
      <w:szCs w:val="18"/>
    </w:rPr>
  </w:style>
  <w:style w:type="table" w:customStyle="1" w:styleId="Tablaconcuadrcula1">
    <w:name w:val="Tabla con cuadrícula1"/>
    <w:basedOn w:val="TableNormal"/>
    <w:next w:val="TableGrid"/>
    <w:uiPriority w:val="59"/>
    <w:rsid w:val="00321BFC"/>
    <w:pPr>
      <w:jc w:val="both"/>
    </w:pPr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43C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2B0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843C4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843C4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43C4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843C4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E843C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843C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843C4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43C4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E843C4"/>
    <w:rPr>
      <w:vertAlign w:val="superscript"/>
    </w:rPr>
  </w:style>
  <w:style w:type="paragraph" w:styleId="Revision">
    <w:name w:val="Revision"/>
    <w:hidden/>
    <w:uiPriority w:val="99"/>
    <w:semiHidden/>
    <w:rsid w:val="00E843C4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E843C4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E843C4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E843C4"/>
    <w:pPr>
      <w:numPr>
        <w:numId w:val="2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E843C4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E843C4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E843C4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E843C4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E843C4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E843C4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E843C4"/>
    <w:pPr>
      <w:numPr>
        <w:numId w:val="28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E843C4"/>
    <w:pPr>
      <w:numPr>
        <w:ilvl w:val="1"/>
        <w:numId w:val="2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E843C4"/>
    <w:pPr>
      <w:numPr>
        <w:numId w:val="2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E843C4"/>
    <w:pPr>
      <w:numPr>
        <w:numId w:val="2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E843C4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E843C4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843C4"/>
    <w:pPr>
      <w:keepNext/>
      <w:keepLines/>
      <w:framePr w:hSpace="141" w:wrap="around" w:vAnchor="text" w:hAnchor="margin" w:y="402"/>
      <w:numPr>
        <w:numId w:val="30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74A4B-F6C1-4911-B81D-C05EE1BD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138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Nicole Francoeur</cp:lastModifiedBy>
  <cp:revision>22</cp:revision>
  <cp:lastPrinted>2015-09-28T20:05:00Z</cp:lastPrinted>
  <dcterms:created xsi:type="dcterms:W3CDTF">2015-06-02T16:32:00Z</dcterms:created>
  <dcterms:modified xsi:type="dcterms:W3CDTF">2015-10-05T02:32:00Z</dcterms:modified>
</cp:coreProperties>
</file>