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FB82" w14:textId="7F6C473E" w:rsidR="00420E31" w:rsidRPr="00420E31" w:rsidRDefault="002E428B" w:rsidP="004D4F65">
      <w:pPr>
        <w:pStyle w:val="H1"/>
      </w:pPr>
      <w:r>
        <w:t>A</w:t>
      </w:r>
      <w:r w:rsidR="00D60BCA">
        <w:t>djust</w:t>
      </w:r>
      <w:r w:rsidR="00D7743B">
        <w:t xml:space="preserve"> </w:t>
      </w:r>
      <w:r w:rsidR="00A007E2">
        <w:t>value to</w:t>
      </w:r>
      <w:bookmarkStart w:id="0" w:name="_GoBack"/>
      <w:bookmarkEnd w:id="0"/>
      <w:r w:rsidR="002A7BB5">
        <w:t xml:space="preserve"> household size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1"/>
        <w:gridCol w:w="7787"/>
      </w:tblGrid>
      <w:tr w:rsidR="004D4F65" w:rsidRPr="004D4F65" w14:paraId="29CE4C99" w14:textId="77777777" w:rsidTr="004D4F65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22946EE0" w14:textId="07467013" w:rsidR="00510123" w:rsidRPr="004D4F65" w:rsidRDefault="00510123" w:rsidP="004D4F6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4D4F65">
              <w:rPr>
                <w:rFonts w:cs="Arial"/>
                <w:b/>
                <w:color w:val="FFFFFF" w:themeColor="background1"/>
              </w:rPr>
              <w:t>Type</w:t>
            </w:r>
            <w:r w:rsidR="00F24876" w:rsidRPr="004D4F65">
              <w:rPr>
                <w:rFonts w:cs="Arial"/>
                <w:b/>
                <w:color w:val="FFFFFF" w:themeColor="background1"/>
              </w:rPr>
              <w:t>s</w:t>
            </w:r>
            <w:r w:rsidRPr="004D4F65">
              <w:rPr>
                <w:rFonts w:cs="Arial"/>
                <w:b/>
                <w:color w:val="FFFFFF" w:themeColor="background1"/>
              </w:rPr>
              <w:t xml:space="preserve"> of value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336E4EB5" w14:textId="77777777" w:rsidR="00510123" w:rsidRPr="004D4F65" w:rsidRDefault="00510123" w:rsidP="004D4F6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4D4F65">
              <w:rPr>
                <w:rFonts w:cs="Arial"/>
                <w:b/>
                <w:color w:val="FFFFFF" w:themeColor="background1"/>
              </w:rPr>
              <w:t>Considerations</w:t>
            </w:r>
            <w:r w:rsidR="00C131BA" w:rsidRPr="004D4F65">
              <w:rPr>
                <w:rFonts w:cs="Arial"/>
                <w:b/>
                <w:color w:val="FFFFFF" w:themeColor="background1"/>
              </w:rPr>
              <w:t xml:space="preserve"> (pros and cons)</w:t>
            </w:r>
          </w:p>
        </w:tc>
      </w:tr>
      <w:tr w:rsidR="00510123" w:rsidRPr="00510123" w14:paraId="205E47EA" w14:textId="77777777" w:rsidTr="004D4F65">
        <w:tc>
          <w:tcPr>
            <w:tcW w:w="2061" w:type="dxa"/>
            <w:shd w:val="clear" w:color="auto" w:fill="A6A6A6"/>
          </w:tcPr>
          <w:p w14:paraId="6A5D5110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4D4F65">
              <w:rPr>
                <w:rFonts w:cs="Arial"/>
                <w:b/>
                <w:color w:val="000000"/>
              </w:rPr>
              <w:t xml:space="preserve">Fixed </w:t>
            </w:r>
          </w:p>
        </w:tc>
        <w:tc>
          <w:tcPr>
            <w:tcW w:w="7787" w:type="dxa"/>
            <w:shd w:val="clear" w:color="auto" w:fill="E6E6E6"/>
          </w:tcPr>
          <w:p w14:paraId="18FBB798" w14:textId="5CB71E9B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</w:t>
            </w:r>
            <w:r w:rsidR="00510123" w:rsidRPr="004D4F65">
              <w:rPr>
                <w:rFonts w:cs="Arial"/>
                <w:color w:val="000000"/>
              </w:rPr>
              <w:t>dministratively simpler,</w:t>
            </w:r>
            <w:r w:rsidR="00F24876" w:rsidRPr="004D4F65">
              <w:rPr>
                <w:rFonts w:cs="Arial"/>
                <w:color w:val="000000"/>
              </w:rPr>
              <w:t xml:space="preserve"> and, therefore</w:t>
            </w:r>
            <w:r w:rsidR="00510123" w:rsidRPr="004D4F65">
              <w:rPr>
                <w:rFonts w:cs="Arial"/>
                <w:color w:val="000000"/>
              </w:rPr>
              <w:t xml:space="preserve"> potentially increases the speed with which transfers can be made</w:t>
            </w:r>
            <w:r w:rsidR="0062568B">
              <w:rPr>
                <w:rFonts w:cs="Arial"/>
                <w:color w:val="000000"/>
              </w:rPr>
              <w:t>.</w:t>
            </w:r>
          </w:p>
          <w:p w14:paraId="0BBF0176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The value is relatively lower for larger households, and higher for smaller households.</w:t>
            </w:r>
          </w:p>
          <w:p w14:paraId="39A7CB08" w14:textId="5A1117CB" w:rsidR="00510123" w:rsidRPr="004D4F65" w:rsidRDefault="004C24AC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S</w:t>
            </w:r>
            <w:r w:rsidR="00510123" w:rsidRPr="004D4F65">
              <w:rPr>
                <w:rFonts w:cs="Arial"/>
                <w:color w:val="000000"/>
              </w:rPr>
              <w:t>taff or others involved in registration do not have the power to decide</w:t>
            </w:r>
            <w:r w:rsidR="00F24876" w:rsidRPr="004D4F65">
              <w:rPr>
                <w:rFonts w:cs="Arial"/>
                <w:color w:val="000000"/>
              </w:rPr>
              <w:t xml:space="preserve"> on</w:t>
            </w:r>
            <w:r w:rsidR="00510123" w:rsidRPr="004D4F65">
              <w:rPr>
                <w:rFonts w:cs="Arial"/>
                <w:color w:val="000000"/>
              </w:rPr>
              <w:t xml:space="preserve"> how much assistance people will receive.</w:t>
            </w:r>
          </w:p>
          <w:p w14:paraId="7524D076" w14:textId="77777777" w:rsidR="00510123" w:rsidRPr="004D4F65" w:rsidRDefault="00D26BB8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 xml:space="preserve">Beneficiaries </w:t>
            </w:r>
            <w:r w:rsidR="007A6FA7" w:rsidRPr="004D4F65">
              <w:rPr>
                <w:rFonts w:cs="Arial"/>
                <w:color w:val="000000"/>
              </w:rPr>
              <w:t>might try to</w:t>
            </w:r>
            <w:r w:rsidRPr="004D4F65">
              <w:rPr>
                <w:rFonts w:cs="Arial"/>
                <w:color w:val="000000"/>
              </w:rPr>
              <w:t xml:space="preserve"> ‘split’ their households at registration in order to receive more than one grant. </w:t>
            </w:r>
          </w:p>
        </w:tc>
      </w:tr>
      <w:tr w:rsidR="00510123" w:rsidRPr="00510123" w14:paraId="6FAB37CF" w14:textId="77777777" w:rsidTr="004D4F65">
        <w:tc>
          <w:tcPr>
            <w:tcW w:w="2061" w:type="dxa"/>
            <w:shd w:val="clear" w:color="auto" w:fill="A6A6A6"/>
          </w:tcPr>
          <w:p w14:paraId="5BF99806" w14:textId="77777777" w:rsidR="00510123" w:rsidRPr="004D4F65" w:rsidRDefault="00510123" w:rsidP="00BF6D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4D4F65">
              <w:rPr>
                <w:rFonts w:cs="Arial"/>
                <w:b/>
                <w:color w:val="000000"/>
              </w:rPr>
              <w:t>Adjusted to household size</w:t>
            </w:r>
          </w:p>
          <w:p w14:paraId="114A0AFB" w14:textId="77777777" w:rsidR="00510123" w:rsidRPr="004D4F65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787" w:type="dxa"/>
            <w:shd w:val="clear" w:color="auto" w:fill="E6E6E6"/>
          </w:tcPr>
          <w:p w14:paraId="6093E8C4" w14:textId="1B347434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</w:t>
            </w:r>
            <w:r w:rsidR="004C24AC" w:rsidRPr="004D4F65">
              <w:rPr>
                <w:rFonts w:cs="Arial"/>
                <w:color w:val="000000"/>
              </w:rPr>
              <w:t xml:space="preserve">dministratively more complex, </w:t>
            </w:r>
            <w:r w:rsidR="004C24AC" w:rsidRPr="004D4F65">
              <w:rPr>
                <w:rFonts w:cs="Arial"/>
              </w:rPr>
              <w:t>as it requires specific registration and payment procedures</w:t>
            </w:r>
            <w:r w:rsidR="004C24AC" w:rsidRPr="004D4F65">
              <w:rPr>
                <w:rFonts w:cs="Arial"/>
                <w:color w:val="000000"/>
              </w:rPr>
              <w:t>. This can delay assistance.</w:t>
            </w:r>
          </w:p>
          <w:p w14:paraId="2555A024" w14:textId="36B4E4C8" w:rsidR="004C24AC" w:rsidRPr="004D4F65" w:rsidRDefault="004C24AC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 xml:space="preserve">More indicated </w:t>
            </w:r>
            <w:r w:rsidR="00113F7F" w:rsidRPr="004D4F65">
              <w:rPr>
                <w:rFonts w:cs="Arial"/>
                <w:color w:val="000000"/>
              </w:rPr>
              <w:t xml:space="preserve">where </w:t>
            </w:r>
            <w:r w:rsidRPr="004D4F65">
              <w:rPr>
                <w:rFonts w:cs="Arial"/>
                <w:color w:val="000000"/>
              </w:rPr>
              <w:t xml:space="preserve">grants </w:t>
            </w:r>
            <w:r w:rsidR="00113F7F" w:rsidRPr="004D4F65">
              <w:rPr>
                <w:rFonts w:cs="Arial"/>
                <w:color w:val="000000"/>
              </w:rPr>
              <w:t xml:space="preserve">are </w:t>
            </w:r>
            <w:r w:rsidRPr="004D4F65">
              <w:rPr>
                <w:rFonts w:cs="Arial"/>
                <w:color w:val="000000"/>
              </w:rPr>
              <w:t>intended to meet basic needs, particularly food needs, which are related to household size (a ceiling can be set for a maximum amount).</w:t>
            </w:r>
          </w:p>
          <w:p w14:paraId="60ED3EFF" w14:textId="1C8511B4" w:rsidR="00D26BB8" w:rsidRPr="004D4F65" w:rsidRDefault="00D26BB8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Information on household sizes is not always available or reliable, particularly in emergencies.</w:t>
            </w:r>
            <w:r w:rsidR="004C24AC" w:rsidRPr="004D4F65">
              <w:rPr>
                <w:rFonts w:cs="Arial"/>
                <w:color w:val="000000"/>
              </w:rPr>
              <w:t xml:space="preserve"> An option is to start</w:t>
            </w:r>
            <w:r w:rsidR="00113F7F" w:rsidRPr="004D4F65">
              <w:rPr>
                <w:rFonts w:cs="Arial"/>
                <w:color w:val="000000"/>
              </w:rPr>
              <w:t xml:space="preserve"> the project with fixed grants </w:t>
            </w:r>
            <w:r w:rsidR="004C24AC" w:rsidRPr="004D4F65">
              <w:rPr>
                <w:rFonts w:cs="Arial"/>
                <w:color w:val="000000"/>
              </w:rPr>
              <w:t>and adjust them to household size</w:t>
            </w:r>
            <w:r w:rsidR="00113F7F" w:rsidRPr="004D4F65">
              <w:rPr>
                <w:rFonts w:cs="Arial"/>
                <w:color w:val="000000"/>
              </w:rPr>
              <w:t xml:space="preserve"> at</w:t>
            </w:r>
            <w:r w:rsidR="004C24AC" w:rsidRPr="004D4F65">
              <w:rPr>
                <w:rFonts w:cs="Arial"/>
                <w:color w:val="000000"/>
              </w:rPr>
              <w:t xml:space="preserve"> a second stage, when reliable information is available.</w:t>
            </w:r>
          </w:p>
          <w:p w14:paraId="0896A624" w14:textId="571B2F94" w:rsidR="00510123" w:rsidRPr="004D4F65" w:rsidRDefault="00510123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Households can be clustered in three or more groups (e.g.</w:t>
            </w:r>
            <w:r w:rsidR="00113F7F" w:rsidRPr="004D4F65">
              <w:rPr>
                <w:rFonts w:cs="Arial"/>
                <w:color w:val="000000"/>
              </w:rPr>
              <w:t>,</w:t>
            </w:r>
            <w:r w:rsidRPr="004D4F65">
              <w:rPr>
                <w:rFonts w:cs="Arial"/>
                <w:color w:val="000000"/>
              </w:rPr>
              <w:t xml:space="preserve"> </w:t>
            </w:r>
            <w:r w:rsidR="00113F7F" w:rsidRPr="004D4F65">
              <w:rPr>
                <w:rFonts w:cs="Arial"/>
                <w:color w:val="000000"/>
              </w:rPr>
              <w:t>small households with one to three</w:t>
            </w:r>
            <w:r w:rsidRPr="004D4F65">
              <w:rPr>
                <w:rFonts w:cs="Arial"/>
                <w:color w:val="000000"/>
              </w:rPr>
              <w:t xml:space="preserve"> members, medium households with </w:t>
            </w:r>
            <w:r w:rsidR="00113F7F" w:rsidRPr="004D4F65">
              <w:rPr>
                <w:rFonts w:cs="Arial"/>
                <w:color w:val="000000"/>
              </w:rPr>
              <w:t>four to six</w:t>
            </w:r>
            <w:r w:rsidRPr="004D4F65">
              <w:rPr>
                <w:rFonts w:cs="Arial"/>
                <w:color w:val="000000"/>
              </w:rPr>
              <w:t xml:space="preserve"> membe</w:t>
            </w:r>
            <w:r w:rsidR="00113F7F" w:rsidRPr="004D4F65">
              <w:rPr>
                <w:rFonts w:cs="Arial"/>
                <w:color w:val="000000"/>
              </w:rPr>
              <w:t xml:space="preserve">rs, and large households with seven </w:t>
            </w:r>
            <w:r w:rsidRPr="004D4F65">
              <w:rPr>
                <w:rFonts w:cs="Arial"/>
                <w:color w:val="000000"/>
              </w:rPr>
              <w:t>members or more).</w:t>
            </w:r>
          </w:p>
          <w:p w14:paraId="16705CF7" w14:textId="21030693" w:rsidR="00510123" w:rsidRPr="004D4F65" w:rsidRDefault="00113F7F" w:rsidP="00BF6DED">
            <w:pPr>
              <w:spacing w:before="120"/>
              <w:jc w:val="left"/>
              <w:rPr>
                <w:rFonts w:cs="Arial"/>
                <w:color w:val="000000"/>
              </w:rPr>
            </w:pPr>
            <w:r w:rsidRPr="004D4F65">
              <w:rPr>
                <w:rFonts w:cs="Arial"/>
                <w:color w:val="000000"/>
              </w:rPr>
              <w:t>A household</w:t>
            </w:r>
            <w:r w:rsidR="00D26BB8" w:rsidRPr="004D4F65">
              <w:rPr>
                <w:rFonts w:cs="Arial"/>
                <w:color w:val="000000"/>
              </w:rPr>
              <w:t xml:space="preserve"> </w:t>
            </w:r>
            <w:r w:rsidR="007A6FA7" w:rsidRPr="004D4F65">
              <w:rPr>
                <w:rFonts w:cs="Arial"/>
                <w:color w:val="000000"/>
              </w:rPr>
              <w:t>might try to</w:t>
            </w:r>
            <w:r w:rsidR="00D26BB8" w:rsidRPr="004D4F65">
              <w:rPr>
                <w:rFonts w:cs="Arial"/>
                <w:color w:val="000000"/>
              </w:rPr>
              <w:t xml:space="preserve"> increase </w:t>
            </w:r>
            <w:r w:rsidRPr="004D4F65">
              <w:rPr>
                <w:rFonts w:cs="Arial"/>
                <w:color w:val="000000"/>
              </w:rPr>
              <w:t xml:space="preserve">its </w:t>
            </w:r>
            <w:r w:rsidR="00D26BB8" w:rsidRPr="004D4F65">
              <w:rPr>
                <w:rFonts w:cs="Arial"/>
                <w:color w:val="000000"/>
              </w:rPr>
              <w:t>size by ‘borrowing’ children or other dependants.</w:t>
            </w:r>
          </w:p>
        </w:tc>
      </w:tr>
    </w:tbl>
    <w:p w14:paraId="1F60127F" w14:textId="70FAFB29" w:rsidR="00420E31" w:rsidRPr="00420E31" w:rsidRDefault="00420E31" w:rsidP="004D4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right"/>
        <w:rPr>
          <w:rFonts w:cs="Helvetica"/>
          <w:color w:val="000000"/>
          <w:sz w:val="18"/>
          <w:szCs w:val="16"/>
        </w:rPr>
      </w:pPr>
      <w:r w:rsidRPr="00420E31">
        <w:rPr>
          <w:rFonts w:cs="Helvetica"/>
          <w:color w:val="000000"/>
          <w:sz w:val="18"/>
          <w:szCs w:val="16"/>
        </w:rPr>
        <w:t>Adapted from</w:t>
      </w:r>
      <w:r w:rsidR="00113F7F">
        <w:rPr>
          <w:rFonts w:cs="Helvetica"/>
          <w:color w:val="000000"/>
          <w:sz w:val="18"/>
          <w:szCs w:val="16"/>
        </w:rPr>
        <w:t>: CaLP (2011) Cash transfer programming in emergencies</w:t>
      </w:r>
    </w:p>
    <w:sectPr w:rsidR="00420E31" w:rsidRPr="00420E31" w:rsidSect="004D4F6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C940" w14:textId="77777777" w:rsidR="00C8079A" w:rsidRDefault="00C8079A" w:rsidP="00874EB1">
      <w:r>
        <w:separator/>
      </w:r>
    </w:p>
  </w:endnote>
  <w:endnote w:type="continuationSeparator" w:id="0">
    <w:p w14:paraId="12EB487B" w14:textId="77777777" w:rsidR="00C8079A" w:rsidRDefault="00C8079A" w:rsidP="008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2E3F" w14:textId="77777777" w:rsidR="00874EB1" w:rsidRDefault="00874EB1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C1A21" w14:textId="77777777" w:rsidR="00874EB1" w:rsidRDefault="00874EB1" w:rsidP="00874E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B25E" w14:textId="77777777" w:rsidR="004D4F65" w:rsidRPr="00B45C74" w:rsidRDefault="004D4F6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007E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7AB8130" w14:textId="5431751C" w:rsidR="004D4F65" w:rsidRPr="003A3500" w:rsidRDefault="004D4F65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007E2" w:rsidRPr="00A007E2">
      <w:rPr>
        <w:bCs/>
        <w:noProof/>
      </w:rPr>
      <w:t>Adjust value to household size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788B" w14:textId="77777777" w:rsidR="00C8079A" w:rsidRDefault="00C8079A" w:rsidP="00874EB1">
      <w:r>
        <w:separator/>
      </w:r>
    </w:p>
  </w:footnote>
  <w:footnote w:type="continuationSeparator" w:id="0">
    <w:p w14:paraId="71A6A58E" w14:textId="77777777" w:rsidR="00C8079A" w:rsidRDefault="00C8079A" w:rsidP="0087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DFE" w14:textId="77777777" w:rsidR="004D4F65" w:rsidRPr="00074036" w:rsidRDefault="004D4F6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1"/>
    <w:rsid w:val="00113F7F"/>
    <w:rsid w:val="001D702E"/>
    <w:rsid w:val="002A7BB5"/>
    <w:rsid w:val="002E428B"/>
    <w:rsid w:val="003E5DB8"/>
    <w:rsid w:val="00420E31"/>
    <w:rsid w:val="004C24AC"/>
    <w:rsid w:val="004D4F65"/>
    <w:rsid w:val="004D71B2"/>
    <w:rsid w:val="00510123"/>
    <w:rsid w:val="00515FA7"/>
    <w:rsid w:val="00553E0E"/>
    <w:rsid w:val="00581323"/>
    <w:rsid w:val="005B4E2F"/>
    <w:rsid w:val="0062568B"/>
    <w:rsid w:val="007A6FA7"/>
    <w:rsid w:val="00874EB1"/>
    <w:rsid w:val="00A007E2"/>
    <w:rsid w:val="00BF6DED"/>
    <w:rsid w:val="00C131BA"/>
    <w:rsid w:val="00C8079A"/>
    <w:rsid w:val="00CA1AED"/>
    <w:rsid w:val="00CC0BE5"/>
    <w:rsid w:val="00D26BB8"/>
    <w:rsid w:val="00D60BCA"/>
    <w:rsid w:val="00D7743B"/>
    <w:rsid w:val="00E62935"/>
    <w:rsid w:val="00EA7B7F"/>
    <w:rsid w:val="00ED5865"/>
    <w:rsid w:val="00F24876"/>
    <w:rsid w:val="00F9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4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256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568B"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256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568B"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Nicole Francoeur</cp:lastModifiedBy>
  <cp:revision>13</cp:revision>
  <cp:lastPrinted>2015-09-28T21:45:00Z</cp:lastPrinted>
  <dcterms:created xsi:type="dcterms:W3CDTF">2014-11-20T09:25:00Z</dcterms:created>
  <dcterms:modified xsi:type="dcterms:W3CDTF">2015-10-05T01:52:00Z</dcterms:modified>
</cp:coreProperties>
</file>