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700FD" w14:textId="005040CC" w:rsidR="00D55989" w:rsidRPr="00D3171C" w:rsidRDefault="00E43738" w:rsidP="00C67FDB">
      <w:pPr>
        <w:pStyle w:val="H1"/>
        <w:rPr>
          <w:color w:val="4F81BD" w:themeColor="accent1"/>
          <w:lang w:val="es-ES"/>
        </w:rPr>
      </w:pPr>
      <w:r w:rsidRPr="00E43738">
        <w:rPr>
          <w:lang w:val="es-ES"/>
        </w:rPr>
        <w:t>Ajustar el valor de la tra</w:t>
      </w:r>
      <w:r>
        <w:rPr>
          <w:lang w:val="es-ES"/>
        </w:rPr>
        <w:t>ns</w:t>
      </w:r>
      <w:r w:rsidRPr="00E43738">
        <w:rPr>
          <w:lang w:val="es-ES"/>
        </w:rPr>
        <w:t xml:space="preserve">ferencia a </w:t>
      </w:r>
      <w:r w:rsidR="00FB155F">
        <w:rPr>
          <w:lang w:val="es-ES"/>
        </w:rPr>
        <w:t xml:space="preserve">los </w:t>
      </w:r>
      <w:r w:rsidRPr="00E43738">
        <w:rPr>
          <w:lang w:val="es-ES"/>
        </w:rPr>
        <w:t xml:space="preserve">cambios de precios </w:t>
      </w:r>
      <w:r>
        <w:rPr>
          <w:lang w:val="es-ES"/>
        </w:rPr>
        <w:t xml:space="preserve"> </w:t>
      </w:r>
      <w:r w:rsidR="00C67FDB">
        <w:rPr>
          <w:lang w:val="es-ES"/>
        </w:rPr>
        <w:t xml:space="preserve"> </w:t>
      </w:r>
    </w:p>
    <w:p w14:paraId="29E35367" w14:textId="23F701B2" w:rsidR="00D55989" w:rsidRPr="00C67FDB" w:rsidRDefault="00EA55C5" w:rsidP="00515DFC">
      <w:pPr>
        <w:rPr>
          <w:lang w:val="es-ES"/>
        </w:rPr>
      </w:pPr>
      <w:r w:rsidRPr="00EA55C5">
        <w:rPr>
          <w:lang w:val="es-ES"/>
        </w:rPr>
        <w:t>Cuando los precios alcanzan uno</w:t>
      </w:r>
      <w:r>
        <w:rPr>
          <w:lang w:val="es-ES"/>
        </w:rPr>
        <w:t>s niveles que dificultan el acc</w:t>
      </w:r>
      <w:r w:rsidRPr="00EA55C5">
        <w:rPr>
          <w:lang w:val="es-ES"/>
        </w:rPr>
        <w:t xml:space="preserve">eso de los </w:t>
      </w:r>
      <w:r>
        <w:rPr>
          <w:lang w:val="es-ES"/>
        </w:rPr>
        <w:t>beneficiario</w:t>
      </w:r>
      <w:r w:rsidRPr="00EA55C5">
        <w:rPr>
          <w:lang w:val="es-ES"/>
        </w:rPr>
        <w:t xml:space="preserve">s a los bienes y servicios esperados en el </w:t>
      </w:r>
      <w:r>
        <w:rPr>
          <w:lang w:val="es-ES"/>
        </w:rPr>
        <w:t>m</w:t>
      </w:r>
      <w:r w:rsidRPr="00EA55C5">
        <w:rPr>
          <w:lang w:val="es-ES"/>
        </w:rPr>
        <w:t xml:space="preserve">ercado local hay que </w:t>
      </w:r>
      <w:r>
        <w:rPr>
          <w:lang w:val="es-ES"/>
        </w:rPr>
        <w:t>a</w:t>
      </w:r>
      <w:r w:rsidRPr="00EA55C5">
        <w:rPr>
          <w:lang w:val="es-ES"/>
        </w:rPr>
        <w:t>justar el valor de la transferencia</w:t>
      </w:r>
      <w:r>
        <w:rPr>
          <w:lang w:val="es-ES"/>
        </w:rPr>
        <w:t xml:space="preserve">. </w:t>
      </w:r>
      <w:r w:rsidRPr="00EA55C5">
        <w:rPr>
          <w:lang w:val="es-ES"/>
        </w:rPr>
        <w:t>Esta herramienta ayuda a entender qué pasos pueden ser necesarios para ajustar el valor de la trasferencia a los cambios de precios de forma r</w:t>
      </w:r>
      <w:r>
        <w:rPr>
          <w:lang w:val="es-ES"/>
        </w:rPr>
        <w:t xml:space="preserve">ápida y eficiente. </w:t>
      </w:r>
      <w:r w:rsidR="00C67FDB" w:rsidRPr="00C67FDB">
        <w:rPr>
          <w:color w:val="4F81BD" w:themeColor="accent1"/>
          <w:lang w:val="es-ES"/>
        </w:rPr>
        <w:t xml:space="preserve"> </w:t>
      </w:r>
    </w:p>
    <w:p w14:paraId="1103592F" w14:textId="2901F79B" w:rsidR="00D55989" w:rsidRPr="00C67FDB" w:rsidRDefault="00241621" w:rsidP="00515DFC">
      <w:pPr>
        <w:pStyle w:val="Bullet2"/>
        <w:ind w:left="714" w:hanging="357"/>
        <w:rPr>
          <w:lang w:val="es-ES"/>
        </w:rPr>
      </w:pPr>
      <w:r w:rsidRPr="00241621">
        <w:rPr>
          <w:lang w:val="es-ES"/>
        </w:rPr>
        <w:t xml:space="preserve">Determinar </w:t>
      </w:r>
      <w:r>
        <w:rPr>
          <w:lang w:val="es-ES"/>
        </w:rPr>
        <w:t xml:space="preserve">con qué frecuencia </w:t>
      </w:r>
      <w:r w:rsidRPr="00241621">
        <w:rPr>
          <w:lang w:val="es-ES"/>
        </w:rPr>
        <w:t>se revisará el valor de las transferencias (men</w:t>
      </w:r>
      <w:r>
        <w:rPr>
          <w:lang w:val="es-ES"/>
        </w:rPr>
        <w:t>s</w:t>
      </w:r>
      <w:r w:rsidRPr="00241621">
        <w:rPr>
          <w:lang w:val="es-ES"/>
        </w:rPr>
        <w:t>u</w:t>
      </w:r>
      <w:r>
        <w:rPr>
          <w:lang w:val="es-ES"/>
        </w:rPr>
        <w:t>a</w:t>
      </w:r>
      <w:r w:rsidRPr="00241621">
        <w:rPr>
          <w:lang w:val="es-ES"/>
        </w:rPr>
        <w:t>l</w:t>
      </w:r>
      <w:r w:rsidR="00495709">
        <w:rPr>
          <w:lang w:val="es-ES"/>
        </w:rPr>
        <w:t>mente</w:t>
      </w:r>
      <w:r w:rsidRPr="00241621">
        <w:rPr>
          <w:lang w:val="es-ES"/>
        </w:rPr>
        <w:t>, trime</w:t>
      </w:r>
      <w:r>
        <w:rPr>
          <w:lang w:val="es-ES"/>
        </w:rPr>
        <w:t>s</w:t>
      </w:r>
      <w:r w:rsidRPr="00241621">
        <w:rPr>
          <w:lang w:val="es-ES"/>
        </w:rPr>
        <w:t>tral</w:t>
      </w:r>
      <w:r w:rsidR="00495709">
        <w:rPr>
          <w:lang w:val="es-ES"/>
        </w:rPr>
        <w:t>mente</w:t>
      </w:r>
      <w:r w:rsidRPr="00241621">
        <w:rPr>
          <w:lang w:val="es-ES"/>
        </w:rPr>
        <w:t>, etc.</w:t>
      </w:r>
      <w:r>
        <w:rPr>
          <w:lang w:val="es-ES"/>
        </w:rPr>
        <w:t xml:space="preserve">) </w:t>
      </w:r>
      <w:r w:rsidRPr="00241621">
        <w:rPr>
          <w:lang w:val="es-ES"/>
        </w:rPr>
        <w:t xml:space="preserve"> </w:t>
      </w:r>
      <w:r w:rsidR="00C67FDB" w:rsidRPr="00C67FDB">
        <w:rPr>
          <w:color w:val="4F81BD" w:themeColor="accent1"/>
          <w:lang w:val="es-ES"/>
        </w:rPr>
        <w:t xml:space="preserve"> </w:t>
      </w:r>
    </w:p>
    <w:p w14:paraId="48810D7B" w14:textId="3C90CA14" w:rsidR="00D55989" w:rsidRPr="00C67FDB" w:rsidRDefault="00241621" w:rsidP="00515DFC">
      <w:pPr>
        <w:pStyle w:val="Bullet2"/>
        <w:ind w:left="714" w:hanging="357"/>
        <w:rPr>
          <w:lang w:val="es-ES"/>
        </w:rPr>
      </w:pPr>
      <w:r w:rsidRPr="00241621">
        <w:rPr>
          <w:lang w:val="es-ES"/>
        </w:rPr>
        <w:t xml:space="preserve">Establecer niveles de corte para los precios de los principales productos básicos </w:t>
      </w:r>
      <w:r>
        <w:rPr>
          <w:lang w:val="es-ES"/>
        </w:rPr>
        <w:t xml:space="preserve">a partir de los cuales se </w:t>
      </w:r>
      <w:r w:rsidRPr="00241621">
        <w:rPr>
          <w:lang w:val="es-ES"/>
        </w:rPr>
        <w:t xml:space="preserve">activaría el ajuste del valor de la transferencia. </w:t>
      </w:r>
      <w:r w:rsidR="00C67FDB" w:rsidRPr="00C67FDB">
        <w:rPr>
          <w:color w:val="4F81BD" w:themeColor="accent1"/>
          <w:lang w:val="es-ES"/>
        </w:rPr>
        <w:t xml:space="preserve"> </w:t>
      </w:r>
    </w:p>
    <w:p w14:paraId="19EF045F" w14:textId="71FBF670" w:rsidR="00D55989" w:rsidRPr="00C67FDB" w:rsidRDefault="00241621" w:rsidP="00515DFC">
      <w:pPr>
        <w:pStyle w:val="Bullet2"/>
        <w:ind w:left="714" w:hanging="357"/>
        <w:rPr>
          <w:lang w:val="es-ES"/>
        </w:rPr>
      </w:pPr>
      <w:r w:rsidRPr="00241621">
        <w:rPr>
          <w:lang w:val="es-ES"/>
        </w:rPr>
        <w:t xml:space="preserve">Desarrollar un plan para monitorear los precios regularmente </w:t>
      </w:r>
      <w:r>
        <w:rPr>
          <w:lang w:val="es-ES"/>
        </w:rPr>
        <w:t xml:space="preserve">y comunicar los cambios de inmediato </w:t>
      </w:r>
      <w:r w:rsidRPr="00241621">
        <w:rPr>
          <w:lang w:val="es-ES"/>
        </w:rPr>
        <w:t xml:space="preserve">a los </w:t>
      </w:r>
      <w:r>
        <w:rPr>
          <w:lang w:val="es-ES"/>
        </w:rPr>
        <w:t xml:space="preserve">responsables de la toma de decisiones.  </w:t>
      </w:r>
      <w:r w:rsidR="00C67FDB" w:rsidRPr="00C67FDB">
        <w:rPr>
          <w:color w:val="4F81BD" w:themeColor="accent1"/>
          <w:lang w:val="es-ES"/>
        </w:rPr>
        <w:t xml:space="preserve"> </w:t>
      </w:r>
    </w:p>
    <w:p w14:paraId="01877E71" w14:textId="69E15B83" w:rsidR="00D55989" w:rsidRPr="00C67FDB" w:rsidRDefault="00241621" w:rsidP="00515DFC">
      <w:pPr>
        <w:pStyle w:val="Bullet2"/>
        <w:ind w:left="714" w:hanging="357"/>
        <w:rPr>
          <w:color w:val="4F81BD" w:themeColor="accent1"/>
          <w:lang w:val="es-ES"/>
        </w:rPr>
      </w:pPr>
      <w:r w:rsidRPr="00241621">
        <w:rPr>
          <w:lang w:val="es-ES"/>
        </w:rPr>
        <w:t xml:space="preserve">Presupuestar recursos para contingencias que permitan </w:t>
      </w:r>
      <w:r>
        <w:rPr>
          <w:lang w:val="es-ES"/>
        </w:rPr>
        <w:t xml:space="preserve">ajustar </w:t>
      </w:r>
      <w:r w:rsidRPr="00241621">
        <w:rPr>
          <w:lang w:val="es-ES"/>
        </w:rPr>
        <w:t>el valor de las transf</w:t>
      </w:r>
      <w:r>
        <w:rPr>
          <w:lang w:val="es-ES"/>
        </w:rPr>
        <w:t>e</w:t>
      </w:r>
      <w:r w:rsidRPr="00241621">
        <w:rPr>
          <w:lang w:val="es-ES"/>
        </w:rPr>
        <w:t>rencias</w:t>
      </w:r>
      <w:r>
        <w:rPr>
          <w:lang w:val="es-ES"/>
        </w:rPr>
        <w:t xml:space="preserve">. </w:t>
      </w:r>
      <w:r w:rsidRPr="00241621">
        <w:rPr>
          <w:lang w:val="es-ES"/>
        </w:rPr>
        <w:t xml:space="preserve">  </w:t>
      </w:r>
      <w:r w:rsidR="00C67FDB" w:rsidRPr="00C67FDB">
        <w:rPr>
          <w:color w:val="4F81BD" w:themeColor="accent1"/>
          <w:lang w:val="es-ES"/>
        </w:rPr>
        <w:t xml:space="preserve"> </w:t>
      </w:r>
    </w:p>
    <w:p w14:paraId="460A64EE" w14:textId="33536135" w:rsidR="00D55989" w:rsidRPr="00C67FDB" w:rsidRDefault="000A35F7" w:rsidP="00515DFC">
      <w:pPr>
        <w:pStyle w:val="Bullet2"/>
        <w:ind w:left="714" w:hanging="357"/>
        <w:rPr>
          <w:lang w:val="es-ES"/>
        </w:rPr>
      </w:pPr>
      <w:r w:rsidRPr="000A35F7">
        <w:rPr>
          <w:lang w:val="es-ES"/>
        </w:rPr>
        <w:t>Informar a los beneficiari</w:t>
      </w:r>
      <w:r>
        <w:rPr>
          <w:lang w:val="es-ES"/>
        </w:rPr>
        <w:t>o</w:t>
      </w:r>
      <w:r w:rsidRPr="000A35F7">
        <w:rPr>
          <w:lang w:val="es-ES"/>
        </w:rPr>
        <w:t xml:space="preserve">s sobre </w:t>
      </w:r>
      <w:r w:rsidR="00D3171C">
        <w:rPr>
          <w:lang w:val="es-ES"/>
        </w:rPr>
        <w:t>la lógica</w:t>
      </w:r>
      <w:r w:rsidR="00495709">
        <w:rPr>
          <w:lang w:val="es-ES"/>
        </w:rPr>
        <w:t xml:space="preserve"> </w:t>
      </w:r>
      <w:r w:rsidRPr="000A35F7">
        <w:rPr>
          <w:lang w:val="es-ES"/>
        </w:rPr>
        <w:t xml:space="preserve">de los posibles ajustes. </w:t>
      </w:r>
      <w:r w:rsidR="00C67FDB" w:rsidRPr="00C67FDB">
        <w:rPr>
          <w:color w:val="4F81BD" w:themeColor="accent1"/>
          <w:lang w:val="es-ES"/>
        </w:rPr>
        <w:t xml:space="preserve"> </w:t>
      </w:r>
    </w:p>
    <w:p w14:paraId="17CEDAED" w14:textId="3E84588B" w:rsidR="00D55989" w:rsidRPr="00C67FDB" w:rsidRDefault="000A35F7" w:rsidP="00515DFC">
      <w:pPr>
        <w:pStyle w:val="Bullet2"/>
        <w:ind w:left="714" w:hanging="357"/>
        <w:rPr>
          <w:color w:val="4F81BD" w:themeColor="accent1"/>
          <w:lang w:val="es-ES"/>
        </w:rPr>
      </w:pPr>
      <w:r w:rsidRPr="000A35F7">
        <w:rPr>
          <w:lang w:val="es-ES"/>
        </w:rPr>
        <w:t xml:space="preserve">Sensibilizar a la comunidad y conseguir su acuerdo cuando se </w:t>
      </w:r>
      <w:r w:rsidR="00D3171C">
        <w:rPr>
          <w:lang w:val="es-ES"/>
        </w:rPr>
        <w:t xml:space="preserve">piense </w:t>
      </w:r>
      <w:r>
        <w:rPr>
          <w:lang w:val="es-ES"/>
        </w:rPr>
        <w:t>reduci</w:t>
      </w:r>
      <w:r w:rsidRPr="000A35F7">
        <w:rPr>
          <w:lang w:val="es-ES"/>
        </w:rPr>
        <w:t>r el valor de la trasferencia</w:t>
      </w:r>
      <w:r>
        <w:rPr>
          <w:lang w:val="es-ES"/>
        </w:rPr>
        <w:t xml:space="preserve">, en el caso de caídas de los precios. </w:t>
      </w:r>
      <w:r w:rsidR="00C67FDB" w:rsidRPr="00C67FDB">
        <w:rPr>
          <w:color w:val="4F81BD" w:themeColor="accent1"/>
          <w:lang w:val="es-ES"/>
        </w:rPr>
        <w:t xml:space="preserve"> </w:t>
      </w:r>
    </w:p>
    <w:p w14:paraId="75B17A94" w14:textId="194B9407" w:rsidR="00D55989" w:rsidRPr="00C67FDB" w:rsidRDefault="000A35F7" w:rsidP="00515DFC">
      <w:pPr>
        <w:pStyle w:val="Bullet2"/>
        <w:ind w:left="714" w:hanging="357"/>
        <w:rPr>
          <w:color w:val="4F81BD" w:themeColor="accent1"/>
          <w:lang w:val="es-ES"/>
        </w:rPr>
      </w:pPr>
      <w:r w:rsidRPr="000A35F7">
        <w:rPr>
          <w:lang w:val="es-ES"/>
        </w:rPr>
        <w:t xml:space="preserve">Informar a las autoridades locales y otras agencias sobre </w:t>
      </w:r>
      <w:r w:rsidR="00D3171C">
        <w:rPr>
          <w:lang w:val="es-ES"/>
        </w:rPr>
        <w:t xml:space="preserve">la lógica </w:t>
      </w:r>
      <w:r w:rsidRPr="000A35F7">
        <w:rPr>
          <w:lang w:val="es-ES"/>
        </w:rPr>
        <w:t>de los posibles ajustes, para evitar enfoques contradictorios con otros actor</w:t>
      </w:r>
      <w:r>
        <w:rPr>
          <w:lang w:val="es-ES"/>
        </w:rPr>
        <w:t>e</w:t>
      </w:r>
      <w:r w:rsidRPr="000A35F7">
        <w:rPr>
          <w:lang w:val="es-ES"/>
        </w:rPr>
        <w:t xml:space="preserve">s </w:t>
      </w:r>
      <w:r w:rsidR="00D3171C">
        <w:rPr>
          <w:lang w:val="es-ES"/>
        </w:rPr>
        <w:t xml:space="preserve">que estén </w:t>
      </w:r>
      <w:r w:rsidRPr="000A35F7">
        <w:rPr>
          <w:lang w:val="es-ES"/>
        </w:rPr>
        <w:t xml:space="preserve">operando en la misma zona. </w:t>
      </w:r>
      <w:r w:rsidR="00C67FDB" w:rsidRPr="00C67FDB">
        <w:rPr>
          <w:color w:val="4F81BD" w:themeColor="accent1"/>
          <w:lang w:val="es-ES"/>
        </w:rPr>
        <w:t xml:space="preserve"> </w:t>
      </w:r>
    </w:p>
    <w:p w14:paraId="01DDBF13" w14:textId="0D6CADE6" w:rsidR="00D229F2" w:rsidRPr="000648AE" w:rsidRDefault="000A35F7" w:rsidP="00515DFC">
      <w:pPr>
        <w:rPr>
          <w:color w:val="4F81BD" w:themeColor="accent1"/>
          <w:lang w:val="es-ES"/>
        </w:rPr>
      </w:pPr>
      <w:r w:rsidRPr="000A35F7">
        <w:rPr>
          <w:lang w:val="es-ES"/>
        </w:rPr>
        <w:t>Hay o</w:t>
      </w:r>
      <w:r w:rsidR="00495709">
        <w:rPr>
          <w:lang w:val="es-ES"/>
        </w:rPr>
        <w:t>tras po</w:t>
      </w:r>
      <w:r w:rsidRPr="000A35F7">
        <w:rPr>
          <w:lang w:val="es-ES"/>
        </w:rPr>
        <w:t xml:space="preserve">sibles respuestas a los cambios de precios, como cambiar de modalidad, establecer acuerdos con los comerciantes y apoyar el </w:t>
      </w:r>
      <w:r>
        <w:rPr>
          <w:lang w:val="es-ES"/>
        </w:rPr>
        <w:t>m</w:t>
      </w:r>
      <w:r w:rsidRPr="000A35F7">
        <w:rPr>
          <w:lang w:val="es-ES"/>
        </w:rPr>
        <w:t>ercado.</w:t>
      </w:r>
      <w:r>
        <w:rPr>
          <w:lang w:val="es-ES"/>
        </w:rPr>
        <w:t xml:space="preserve"> </w:t>
      </w:r>
      <w:r w:rsidR="00495709" w:rsidRPr="00495709">
        <w:rPr>
          <w:lang w:val="es-ES"/>
        </w:rPr>
        <w:t xml:space="preserve">La </w:t>
      </w:r>
      <w:r w:rsidR="00495709" w:rsidRPr="000648AE">
        <w:rPr>
          <w:lang w:val="es-ES"/>
        </w:rPr>
        <w:t xml:space="preserve">herramienta Respondiendo a los cambios de precios, disponible en el módulo de monitoreo y evaluación, aborda estas respuestas alternativas. </w:t>
      </w:r>
      <w:r w:rsidR="00C67FDB" w:rsidRPr="000648AE">
        <w:rPr>
          <w:color w:val="4F81BD" w:themeColor="accent1"/>
          <w:lang w:val="es-ES"/>
        </w:rPr>
        <w:t xml:space="preserve"> </w:t>
      </w:r>
    </w:p>
    <w:p w14:paraId="32AF5169" w14:textId="73D1D92C" w:rsidR="00C62B57" w:rsidRPr="00515DFC" w:rsidRDefault="00495709" w:rsidP="00515DFC">
      <w:pPr>
        <w:spacing w:before="240"/>
        <w:jc w:val="right"/>
        <w:rPr>
          <w:sz w:val="18"/>
        </w:rPr>
      </w:pPr>
      <w:r w:rsidRPr="000648AE">
        <w:rPr>
          <w:sz w:val="18"/>
        </w:rPr>
        <w:t>Basado en</w:t>
      </w:r>
      <w:r w:rsidR="00D3171C" w:rsidRPr="000648AE">
        <w:rPr>
          <w:color w:val="4F81BD" w:themeColor="accent1"/>
          <w:sz w:val="18"/>
        </w:rPr>
        <w:t xml:space="preserve">: </w:t>
      </w:r>
      <w:r w:rsidR="00D55989" w:rsidRPr="000648AE">
        <w:rPr>
          <w:sz w:val="18"/>
        </w:rPr>
        <w:t>Ma</w:t>
      </w:r>
      <w:r w:rsidR="008D2467" w:rsidRPr="000648AE">
        <w:rPr>
          <w:sz w:val="18"/>
        </w:rPr>
        <w:t>rke</w:t>
      </w:r>
      <w:bookmarkStart w:id="0" w:name="_GoBack"/>
      <w:bookmarkEnd w:id="0"/>
      <w:r w:rsidR="008D2467" w:rsidRPr="000648AE">
        <w:rPr>
          <w:sz w:val="18"/>
        </w:rPr>
        <w:t>t Analysis Guidance (MAG)</w:t>
      </w:r>
    </w:p>
    <w:sectPr w:rsidR="00C62B57" w:rsidRPr="00515DFC" w:rsidSect="004016D9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7A21" w14:textId="77777777" w:rsidR="00322A36" w:rsidRDefault="00322A36" w:rsidP="00997A6E">
      <w:pPr>
        <w:spacing w:after="0"/>
      </w:pPr>
      <w:r>
        <w:separator/>
      </w:r>
    </w:p>
  </w:endnote>
  <w:endnote w:type="continuationSeparator" w:id="0">
    <w:p w14:paraId="43F5049E" w14:textId="77777777" w:rsidR="00322A36" w:rsidRDefault="00322A36" w:rsidP="00997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0D44" w14:textId="77777777" w:rsidR="000E3FDE" w:rsidRDefault="000E3FDE" w:rsidP="00C54F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29636" w14:textId="77777777" w:rsidR="000E3FDE" w:rsidRDefault="000E3FDE" w:rsidP="00997A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034C" w14:textId="18C1114C" w:rsidR="004016D9" w:rsidRPr="004016D9" w:rsidRDefault="004016D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016D9">
      <w:rPr>
        <w:b/>
        <w:color w:val="808080" w:themeColor="background1" w:themeShade="80"/>
        <w:sz w:val="16"/>
        <w:szCs w:val="16"/>
      </w:rPr>
      <w:fldChar w:fldCharType="begin"/>
    </w:r>
    <w:r w:rsidRPr="004016D9">
      <w:rPr>
        <w:b/>
        <w:color w:val="808080" w:themeColor="background1" w:themeShade="80"/>
        <w:sz w:val="16"/>
        <w:szCs w:val="16"/>
      </w:rPr>
      <w:instrText xml:space="preserve">PAGE  </w:instrText>
    </w:r>
    <w:r w:rsidRPr="004016D9">
      <w:rPr>
        <w:b/>
        <w:color w:val="808080" w:themeColor="background1" w:themeShade="80"/>
        <w:sz w:val="16"/>
        <w:szCs w:val="16"/>
      </w:rPr>
      <w:fldChar w:fldCharType="separate"/>
    </w:r>
    <w:r w:rsidR="000648AE">
      <w:rPr>
        <w:b/>
        <w:noProof/>
        <w:color w:val="808080" w:themeColor="background1" w:themeShade="80"/>
        <w:sz w:val="16"/>
        <w:szCs w:val="16"/>
      </w:rPr>
      <w:t>1</w:t>
    </w:r>
    <w:r w:rsidRPr="004016D9">
      <w:rPr>
        <w:b/>
        <w:color w:val="808080" w:themeColor="background1" w:themeShade="80"/>
        <w:sz w:val="16"/>
        <w:szCs w:val="16"/>
      </w:rPr>
      <w:fldChar w:fldCharType="end"/>
    </w:r>
  </w:p>
  <w:p w14:paraId="0B721AE8" w14:textId="30D35558" w:rsidR="004016D9" w:rsidRPr="004016D9" w:rsidRDefault="00E43738" w:rsidP="00ED1B2B">
    <w:pPr>
      <w:pStyle w:val="Footer"/>
      <w:rPr>
        <w:szCs w:val="16"/>
      </w:rPr>
    </w:pPr>
    <w:r>
      <w:rPr>
        <w:b/>
        <w:szCs w:val="16"/>
      </w:rPr>
      <w:t>Mó</w:t>
    </w:r>
    <w:r w:rsidR="004016D9" w:rsidRPr="004016D9">
      <w:rPr>
        <w:b/>
        <w:szCs w:val="16"/>
      </w:rPr>
      <w:t>dul</w:t>
    </w:r>
    <w:r>
      <w:rPr>
        <w:b/>
        <w:szCs w:val="16"/>
      </w:rPr>
      <w:t>o</w:t>
    </w:r>
    <w:r w:rsidR="004016D9" w:rsidRPr="004016D9">
      <w:rPr>
        <w:b/>
        <w:szCs w:val="16"/>
      </w:rPr>
      <w:t xml:space="preserve"> 3.</w:t>
    </w:r>
    <w:r w:rsidR="004016D9" w:rsidRPr="004016D9">
      <w:rPr>
        <w:szCs w:val="16"/>
      </w:rPr>
      <w:t xml:space="preserve"> </w:t>
    </w:r>
    <w:r>
      <w:rPr>
        <w:szCs w:val="16"/>
      </w:rPr>
      <w:t xml:space="preserve">Etapa </w:t>
    </w:r>
    <w:r w:rsidR="004016D9" w:rsidRPr="004016D9">
      <w:rPr>
        <w:szCs w:val="16"/>
      </w:rPr>
      <w:t>2. Sub-</w:t>
    </w:r>
    <w:r>
      <w:rPr>
        <w:szCs w:val="16"/>
      </w:rPr>
      <w:t>estapa</w:t>
    </w:r>
    <w:r w:rsidR="004016D9" w:rsidRPr="004016D9">
      <w:rPr>
        <w:szCs w:val="16"/>
      </w:rPr>
      <w:t xml:space="preserve"> 2. </w:t>
    </w:r>
    <w:r w:rsidR="004016D9" w:rsidRPr="004016D9">
      <w:rPr>
        <w:szCs w:val="16"/>
      </w:rPr>
      <w:fldChar w:fldCharType="begin"/>
    </w:r>
    <w:r w:rsidR="004016D9" w:rsidRPr="004016D9">
      <w:rPr>
        <w:szCs w:val="16"/>
      </w:rPr>
      <w:instrText xml:space="preserve"> STYLEREF  H1 \t  \* MERGEFORMAT </w:instrText>
    </w:r>
    <w:r w:rsidR="004016D9" w:rsidRPr="004016D9">
      <w:rPr>
        <w:szCs w:val="16"/>
      </w:rPr>
      <w:fldChar w:fldCharType="separate"/>
    </w:r>
    <w:r w:rsidR="000648AE" w:rsidRPr="000648AE">
      <w:rPr>
        <w:bCs/>
        <w:noProof/>
        <w:szCs w:val="16"/>
      </w:rPr>
      <w:t>Ajustar el valor de la</w:t>
    </w:r>
    <w:r w:rsidR="000648AE">
      <w:rPr>
        <w:noProof/>
        <w:szCs w:val="16"/>
      </w:rPr>
      <w:t xml:space="preserve"> transferencia a los cambios de precios</w:t>
    </w:r>
    <w:r w:rsidR="004016D9" w:rsidRPr="004016D9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7BBFD" w14:textId="77777777" w:rsidR="00322A36" w:rsidRDefault="00322A36" w:rsidP="00997A6E">
      <w:pPr>
        <w:spacing w:after="0"/>
      </w:pPr>
      <w:r>
        <w:separator/>
      </w:r>
    </w:p>
  </w:footnote>
  <w:footnote w:type="continuationSeparator" w:id="0">
    <w:p w14:paraId="78863E34" w14:textId="77777777" w:rsidR="00322A36" w:rsidRDefault="00322A36" w:rsidP="00997A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71BD" w14:textId="77777777" w:rsidR="00EA55C5" w:rsidRPr="00A01CBD" w:rsidRDefault="00EA55C5" w:rsidP="00EA55C5">
    <w:pPr>
      <w:pStyle w:val="Header"/>
      <w:rPr>
        <w:szCs w:val="16"/>
        <w:lang w:val="es-ES"/>
      </w:rPr>
    </w:pPr>
    <w:r w:rsidRPr="00A01CBD">
      <w:rPr>
        <w:rStyle w:val="Pantone485"/>
        <w:lang w:val="es-ES"/>
      </w:rPr>
      <w:t xml:space="preserve">Movimiento Internacional de la Cruz Roja y de la Media Luna Roja </w:t>
    </w:r>
    <w:r w:rsidRPr="00A01CBD">
      <w:rPr>
        <w:b/>
        <w:lang w:val="es-ES"/>
      </w:rPr>
      <w:t>I Caja de herramientas para PTE en emergencias</w:t>
    </w:r>
    <w:r>
      <w:rPr>
        <w:rStyle w:val="Pantone485"/>
        <w:lang w:val="es-ES"/>
      </w:rPr>
      <w:t xml:space="preserve">  </w:t>
    </w:r>
  </w:p>
  <w:p w14:paraId="7D015D1A" w14:textId="7B348536" w:rsidR="004016D9" w:rsidRPr="00EA55C5" w:rsidRDefault="004016D9" w:rsidP="00EA55C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D60"/>
    <w:multiLevelType w:val="hybridMultilevel"/>
    <w:tmpl w:val="10DC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1A08"/>
    <w:multiLevelType w:val="hybridMultilevel"/>
    <w:tmpl w:val="7506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9"/>
    <w:rsid w:val="000648AE"/>
    <w:rsid w:val="000A35F7"/>
    <w:rsid w:val="000E3FDE"/>
    <w:rsid w:val="00144987"/>
    <w:rsid w:val="002325BC"/>
    <w:rsid w:val="00241621"/>
    <w:rsid w:val="002818D0"/>
    <w:rsid w:val="00322A36"/>
    <w:rsid w:val="00365567"/>
    <w:rsid w:val="003F6B8F"/>
    <w:rsid w:val="004016D9"/>
    <w:rsid w:val="004644B0"/>
    <w:rsid w:val="00495709"/>
    <w:rsid w:val="004D6159"/>
    <w:rsid w:val="00515DFC"/>
    <w:rsid w:val="00556905"/>
    <w:rsid w:val="005B2245"/>
    <w:rsid w:val="0061323F"/>
    <w:rsid w:val="00655A85"/>
    <w:rsid w:val="00721D5C"/>
    <w:rsid w:val="00733D34"/>
    <w:rsid w:val="007D4050"/>
    <w:rsid w:val="00801A07"/>
    <w:rsid w:val="0080290E"/>
    <w:rsid w:val="00867E1F"/>
    <w:rsid w:val="008D2467"/>
    <w:rsid w:val="00911DAC"/>
    <w:rsid w:val="00997A6E"/>
    <w:rsid w:val="00BA40D7"/>
    <w:rsid w:val="00C54F09"/>
    <w:rsid w:val="00C62B57"/>
    <w:rsid w:val="00C67FDB"/>
    <w:rsid w:val="00CE5C07"/>
    <w:rsid w:val="00D229F2"/>
    <w:rsid w:val="00D3171C"/>
    <w:rsid w:val="00D55989"/>
    <w:rsid w:val="00DF7703"/>
    <w:rsid w:val="00E43738"/>
    <w:rsid w:val="00EA55C5"/>
    <w:rsid w:val="00F1589D"/>
    <w:rsid w:val="00F816CB"/>
    <w:rsid w:val="00F916EF"/>
    <w:rsid w:val="00FB155F"/>
    <w:rsid w:val="00FC4054"/>
    <w:rsid w:val="00FD3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EDA06"/>
  <w15:docId w15:val="{8E936CE5-367C-4898-B3F2-B936B715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AF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D33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3A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3A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33A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3AF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D33A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D33AF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D33A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33AF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D33A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D33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9D"/>
    <w:rPr>
      <w:rFonts w:cs="MyriadPro-Regular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D33A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33AF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A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3AF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D33AF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3AF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FD33AF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3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3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33A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3AF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D33AF"/>
    <w:rPr>
      <w:vertAlign w:val="superscript"/>
    </w:rPr>
  </w:style>
  <w:style w:type="paragraph" w:styleId="Revision">
    <w:name w:val="Revision"/>
    <w:hidden/>
    <w:uiPriority w:val="99"/>
    <w:semiHidden/>
    <w:rsid w:val="00FD33A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D33A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D33A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D33AF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D33A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D33A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D33A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D33A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D33A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D33AF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D33AF"/>
    <w:pPr>
      <w:numPr>
        <w:numId w:val="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D33AF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D33AF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D33AF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D33A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D33A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D33AF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DALMAU i GUTSENS</cp:lastModifiedBy>
  <cp:revision>3</cp:revision>
  <cp:lastPrinted>2015-09-28T21:52:00Z</cp:lastPrinted>
  <dcterms:created xsi:type="dcterms:W3CDTF">2015-12-10T07:41:00Z</dcterms:created>
  <dcterms:modified xsi:type="dcterms:W3CDTF">2016-02-12T15:32:00Z</dcterms:modified>
</cp:coreProperties>
</file>