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2102A" w14:textId="2F9C0D80" w:rsidR="00EC0EF9" w:rsidRPr="00E54EEA" w:rsidRDefault="00FB4FCB" w:rsidP="00996396">
      <w:pPr>
        <w:pStyle w:val="H1"/>
      </w:pPr>
      <w:r w:rsidRPr="00E54EEA">
        <w:t>CTP standard o</w:t>
      </w:r>
      <w:r w:rsidR="00F6269B" w:rsidRPr="00E54EEA">
        <w:t xml:space="preserve">perating </w:t>
      </w:r>
      <w:r w:rsidRPr="00E54EEA">
        <w:t>p</w:t>
      </w:r>
      <w:r w:rsidR="00F6269B" w:rsidRPr="00E54EEA">
        <w:t>rocedure</w:t>
      </w:r>
      <w:r w:rsidR="00FD07B2" w:rsidRPr="00E54EEA">
        <w:t>s</w:t>
      </w:r>
      <w:r w:rsidR="00F6269B" w:rsidRPr="00E54EEA">
        <w:t xml:space="preserve"> </w:t>
      </w:r>
      <w:r w:rsidRPr="00E54EEA">
        <w:t>t</w:t>
      </w:r>
      <w:r w:rsidR="00C10C17" w:rsidRPr="00E54EEA">
        <w:t>emplate</w:t>
      </w:r>
    </w:p>
    <w:p w14:paraId="7348BF49" w14:textId="0B04AC7B" w:rsidR="00C10C17" w:rsidRPr="00E54EEA" w:rsidRDefault="00FB4FCB" w:rsidP="00996396">
      <w:r w:rsidRPr="00E54EEA">
        <w:t>Standard operating p</w:t>
      </w:r>
      <w:r w:rsidR="00C10C17" w:rsidRPr="00E54EEA">
        <w:t>rocedures (SOP</w:t>
      </w:r>
      <w:r w:rsidR="007E3499" w:rsidRPr="00E54EEA">
        <w:t>s</w:t>
      </w:r>
      <w:r w:rsidR="00C10C17" w:rsidRPr="00E54EEA">
        <w:t>) are a tool to support effective prog</w:t>
      </w:r>
      <w:r w:rsidRPr="00E54EEA">
        <w:t>ramming. The elaboration of CTP-specific-</w:t>
      </w:r>
      <w:r w:rsidR="00C10C17" w:rsidRPr="00E54EEA">
        <w:t>SO</w:t>
      </w:r>
      <w:r w:rsidR="00B54D86" w:rsidRPr="00E54EEA">
        <w:t>P</w:t>
      </w:r>
      <w:r w:rsidR="00C10C17" w:rsidRPr="00E54EEA">
        <w:t>s as part of preparedness activities</w:t>
      </w:r>
      <w:r w:rsidR="007E3499" w:rsidRPr="00E54EEA">
        <w:t>,</w:t>
      </w:r>
      <w:r w:rsidR="00C10C17" w:rsidRPr="00E54EEA">
        <w:t xml:space="preserve"> will allow for a better coordinated response where everyone in the</w:t>
      </w:r>
      <w:r w:rsidRPr="00E54EEA">
        <w:t xml:space="preserve"> Red Cross Red Crescent</w:t>
      </w:r>
      <w:r w:rsidR="00C10C17" w:rsidRPr="00E54EEA">
        <w:t xml:space="preserve"> </w:t>
      </w:r>
      <w:r w:rsidR="00B54D86" w:rsidRPr="00E54EEA">
        <w:t xml:space="preserve">Movement </w:t>
      </w:r>
      <w:r w:rsidR="00C10C17" w:rsidRPr="00E54EEA">
        <w:t>will be clear of their role and responsibility. The process of elaborating SOPs is just as important as</w:t>
      </w:r>
      <w:r w:rsidRPr="00E54EEA">
        <w:t xml:space="preserve"> is</w:t>
      </w:r>
      <w:r w:rsidR="00C10C17" w:rsidRPr="00E54EEA">
        <w:t xml:space="preserve"> the final document.</w:t>
      </w:r>
      <w:r w:rsidR="00866480" w:rsidRPr="00E54EEA">
        <w:t xml:space="preserve"> While the assessment and programme design and implementation will fall </w:t>
      </w:r>
      <w:r w:rsidRPr="00E54EEA">
        <w:t xml:space="preserve">fundamentally </w:t>
      </w:r>
      <w:r w:rsidR="00866480" w:rsidRPr="00E54EEA">
        <w:t>under the responsibility of the D</w:t>
      </w:r>
      <w:r w:rsidR="007E3499" w:rsidRPr="00E54EEA">
        <w:t>isaster Management</w:t>
      </w:r>
      <w:r w:rsidR="00866480" w:rsidRPr="00E54EEA">
        <w:t xml:space="preserve"> or equivalent </w:t>
      </w:r>
      <w:r w:rsidR="007E3499" w:rsidRPr="00E54EEA">
        <w:t xml:space="preserve">emergency response </w:t>
      </w:r>
      <w:r w:rsidR="00866480" w:rsidRPr="00E54EEA">
        <w:t xml:space="preserve">team, the special skills and responsibilities of </w:t>
      </w:r>
      <w:r w:rsidRPr="00E54EEA">
        <w:t>the Logistics and F</w:t>
      </w:r>
      <w:r w:rsidR="00866480" w:rsidRPr="00E54EEA">
        <w:t>inance departments will be required in CTP.</w:t>
      </w:r>
      <w:r w:rsidR="007E3499" w:rsidRPr="00E54EEA">
        <w:t xml:space="preserve"> This means that the development of the CTP SO</w:t>
      </w:r>
      <w:r w:rsidRPr="00E54EEA">
        <w:t>Ps needs to be guided by a CTP working g</w:t>
      </w:r>
      <w:r w:rsidR="007E3499" w:rsidRPr="00E54EEA">
        <w:t>roup that represents all the main functions relevant for CTP within a Natio</w:t>
      </w:r>
      <w:r w:rsidRPr="00E54EEA">
        <w:t>nal Society. Together, the CTP working g</w:t>
      </w:r>
      <w:r w:rsidR="007E3499" w:rsidRPr="00E54EEA">
        <w:t>roup members should discuss and agree on ways of working, and elaborate CTPs endorsed by all. The dissemination of the CTP SOPs will be an important part of the National Society preparedness activities as well.</w:t>
      </w:r>
    </w:p>
    <w:p w14:paraId="3542C01C" w14:textId="7BD3DC1B" w:rsidR="00996396" w:rsidRPr="00E54EEA" w:rsidRDefault="00996396" w:rsidP="00996396">
      <w:pPr>
        <w:pStyle w:val="Heading3"/>
        <w:rPr>
          <w:highlight w:val="lightGray"/>
        </w:rPr>
      </w:pPr>
      <w:r w:rsidRPr="00E54EEA">
        <w:t>I. Summary information</w:t>
      </w:r>
    </w:p>
    <w:p w14:paraId="5CD0C4D1" w14:textId="77777777" w:rsidR="00996396" w:rsidRPr="00E54EEA" w:rsidRDefault="00996396" w:rsidP="00B8129F">
      <w:pPr>
        <w:rPr>
          <w:i/>
        </w:rPr>
      </w:pPr>
      <w:r w:rsidRPr="00E54EEA">
        <w:rPr>
          <w:b/>
        </w:rPr>
        <w:t>Title:</w:t>
      </w:r>
      <w:r w:rsidRPr="00E54EEA">
        <w:t xml:space="preserve"> CTP standard operating procedures for </w:t>
      </w:r>
      <w:r w:rsidRPr="00E54EEA">
        <w:rPr>
          <w:i/>
        </w:rPr>
        <w:t>insert the country or district or response as precisely as possible</w:t>
      </w:r>
    </w:p>
    <w:p w14:paraId="501B6D2D" w14:textId="7576DC58" w:rsidR="00996396" w:rsidRPr="00E54EEA" w:rsidRDefault="00996396" w:rsidP="00B8129F">
      <w:r w:rsidRPr="00E54EEA">
        <w:rPr>
          <w:b/>
        </w:rPr>
        <w:t>Date:</w:t>
      </w:r>
      <w:r w:rsidRPr="00E54EEA">
        <w:t xml:space="preserve"> </w:t>
      </w:r>
      <w:r w:rsidRPr="00E54EEA">
        <w:rPr>
          <w:i/>
        </w:rPr>
        <w:t>insert date finalized in case they are updated</w:t>
      </w:r>
    </w:p>
    <w:p w14:paraId="47383CBA" w14:textId="6BF01161" w:rsidR="00996396" w:rsidRPr="00E54EEA" w:rsidRDefault="00996396" w:rsidP="00B8129F">
      <w:pPr>
        <w:rPr>
          <w:i/>
        </w:rPr>
      </w:pPr>
      <w:r w:rsidRPr="00E54EEA">
        <w:rPr>
          <w:b/>
        </w:rPr>
        <w:t>Contact persons:</w:t>
      </w:r>
      <w:r w:rsidRPr="00E54EEA">
        <w:t xml:space="preserve"> </w:t>
      </w:r>
      <w:r w:rsidRPr="00E54EEA">
        <w:rPr>
          <w:i/>
        </w:rPr>
        <w:t>insert names, functions and contact details</w:t>
      </w:r>
    </w:p>
    <w:p w14:paraId="537E7C31" w14:textId="77777777" w:rsidR="00996396" w:rsidRPr="00E54EEA" w:rsidRDefault="00996396" w:rsidP="00B8129F">
      <w:pPr>
        <w:rPr>
          <w:b/>
        </w:rPr>
      </w:pPr>
      <w:r w:rsidRPr="00E54EEA">
        <w:rPr>
          <w:b/>
        </w:rPr>
        <w:t>Purpose of SOP:</w:t>
      </w:r>
    </w:p>
    <w:tbl>
      <w:tblPr>
        <w:tblStyle w:val="TableGray"/>
        <w:tblW w:w="0" w:type="auto"/>
        <w:tblLook w:val="04A0" w:firstRow="1" w:lastRow="0" w:firstColumn="1" w:lastColumn="0" w:noHBand="0" w:noVBand="1"/>
      </w:tblPr>
      <w:tblGrid>
        <w:gridCol w:w="9854"/>
      </w:tblGrid>
      <w:tr w:rsidR="00996396" w:rsidRPr="00E54EEA" w14:paraId="61670931" w14:textId="77777777" w:rsidTr="00996396">
        <w:tc>
          <w:tcPr>
            <w:tcW w:w="9854" w:type="dxa"/>
          </w:tcPr>
          <w:p w14:paraId="78635B34" w14:textId="77777777" w:rsidR="00B51F62" w:rsidRPr="00E54EEA" w:rsidRDefault="00B51F62" w:rsidP="007B3979">
            <w:pPr>
              <w:spacing w:before="20"/>
              <w:rPr>
                <w:i/>
                <w:sz w:val="18"/>
                <w:szCs w:val="18"/>
              </w:rPr>
            </w:pPr>
            <w:r w:rsidRPr="00E54EEA">
              <w:rPr>
                <w:i/>
                <w:sz w:val="18"/>
                <w:szCs w:val="18"/>
              </w:rPr>
              <w:t>For example</w:t>
            </w:r>
          </w:p>
          <w:p w14:paraId="16AECC62" w14:textId="77777777" w:rsidR="00B51F62" w:rsidRPr="00E54EEA" w:rsidRDefault="00B51F62" w:rsidP="00D61AD7">
            <w:pPr>
              <w:spacing w:before="20" w:after="20"/>
              <w:rPr>
                <w:i/>
                <w:sz w:val="18"/>
                <w:szCs w:val="18"/>
              </w:rPr>
            </w:pPr>
            <w:r w:rsidRPr="00E54EEA">
              <w:rPr>
                <w:i/>
                <w:sz w:val="18"/>
                <w:szCs w:val="18"/>
              </w:rPr>
              <w:t>To clarify the roles and responsibilities of National Society staff meme involved in emergency response involving cash transfers.</w:t>
            </w:r>
          </w:p>
          <w:p w14:paraId="4AE3940F" w14:textId="77777777" w:rsidR="00B51F62" w:rsidRPr="00E54EEA" w:rsidRDefault="00B51F62" w:rsidP="00D61AD7">
            <w:pPr>
              <w:spacing w:before="20" w:after="20"/>
              <w:rPr>
                <w:i/>
                <w:sz w:val="18"/>
                <w:szCs w:val="18"/>
              </w:rPr>
            </w:pPr>
            <w:r w:rsidRPr="00E54EEA">
              <w:rPr>
                <w:i/>
                <w:sz w:val="18"/>
                <w:szCs w:val="18"/>
              </w:rPr>
              <w:t xml:space="preserve">The aim of these standard procedures is to support and facilitate the implementation of cash transfer </w:t>
            </w:r>
            <w:proofErr w:type="spellStart"/>
            <w:r w:rsidRPr="00E54EEA">
              <w:rPr>
                <w:i/>
                <w:sz w:val="18"/>
                <w:szCs w:val="18"/>
              </w:rPr>
              <w:t>programmes</w:t>
            </w:r>
            <w:proofErr w:type="spellEnd"/>
            <w:r w:rsidRPr="00E54EEA">
              <w:rPr>
                <w:i/>
                <w:sz w:val="18"/>
                <w:szCs w:val="18"/>
              </w:rPr>
              <w:t xml:space="preserve"> by specifying the respective roles and responsibilities of the ADM, LOG and </w:t>
            </w:r>
            <w:proofErr w:type="spellStart"/>
            <w:r w:rsidRPr="00E54EEA">
              <w:rPr>
                <w:i/>
                <w:sz w:val="18"/>
                <w:szCs w:val="18"/>
              </w:rPr>
              <w:t>Programmes</w:t>
            </w:r>
            <w:proofErr w:type="spellEnd"/>
            <w:r w:rsidRPr="00E54EEA">
              <w:rPr>
                <w:i/>
                <w:sz w:val="18"/>
                <w:szCs w:val="18"/>
              </w:rPr>
              <w:t xml:space="preserve"> staff in cash transfer </w:t>
            </w:r>
            <w:proofErr w:type="spellStart"/>
            <w:r w:rsidRPr="00E54EEA">
              <w:rPr>
                <w:i/>
                <w:sz w:val="18"/>
                <w:szCs w:val="18"/>
              </w:rPr>
              <w:t>programmes</w:t>
            </w:r>
            <w:proofErr w:type="spellEnd"/>
            <w:r w:rsidRPr="00E54EEA">
              <w:rPr>
                <w:i/>
                <w:sz w:val="18"/>
                <w:szCs w:val="18"/>
              </w:rPr>
              <w:t xml:space="preserve"> and defining the processes involved and minimum requirements for documentation.</w:t>
            </w:r>
          </w:p>
          <w:p w14:paraId="009EA686" w14:textId="6834E8F6" w:rsidR="00996396" w:rsidRPr="00E54EEA" w:rsidRDefault="00B51F62" w:rsidP="00D61AD7">
            <w:pPr>
              <w:spacing w:before="20" w:after="20"/>
              <w:rPr>
                <w:b/>
                <w:sz w:val="18"/>
                <w:szCs w:val="18"/>
              </w:rPr>
            </w:pPr>
            <w:r w:rsidRPr="00E54EEA">
              <w:rPr>
                <w:i/>
                <w:sz w:val="18"/>
                <w:szCs w:val="18"/>
              </w:rPr>
              <w:t xml:space="preserve">To </w:t>
            </w:r>
            <w:r w:rsidRPr="00E54EEA">
              <w:rPr>
                <w:rFonts w:eastAsia="Calibri"/>
                <w:i/>
                <w:sz w:val="18"/>
                <w:szCs w:val="18"/>
              </w:rPr>
              <w:t xml:space="preserve"> provide a structured overvie</w:t>
            </w:r>
            <w:r w:rsidRPr="00E54EEA">
              <w:rPr>
                <w:i/>
                <w:sz w:val="18"/>
                <w:szCs w:val="18"/>
              </w:rPr>
              <w:t xml:space="preserve">w of how cash transfer </w:t>
            </w:r>
            <w:proofErr w:type="spellStart"/>
            <w:r w:rsidRPr="00E54EEA">
              <w:rPr>
                <w:i/>
                <w:sz w:val="18"/>
                <w:szCs w:val="18"/>
              </w:rPr>
              <w:t>programmes</w:t>
            </w:r>
            <w:proofErr w:type="spellEnd"/>
            <w:r w:rsidRPr="00E54EEA">
              <w:rPr>
                <w:i/>
                <w:sz w:val="18"/>
                <w:szCs w:val="18"/>
              </w:rPr>
              <w:t xml:space="preserve"> </w:t>
            </w:r>
            <w:r w:rsidRPr="00E54EEA">
              <w:rPr>
                <w:rFonts w:eastAsia="Calibri"/>
                <w:i/>
                <w:sz w:val="18"/>
                <w:szCs w:val="18"/>
              </w:rPr>
              <w:t>must be a</w:t>
            </w:r>
            <w:r w:rsidRPr="00E54EEA">
              <w:rPr>
                <w:i/>
                <w:sz w:val="18"/>
                <w:szCs w:val="18"/>
              </w:rPr>
              <w:t>dministered in emergencies</w:t>
            </w:r>
          </w:p>
        </w:tc>
      </w:tr>
    </w:tbl>
    <w:p w14:paraId="78280C80" w14:textId="77777777" w:rsidR="00996396" w:rsidRPr="00E54EEA" w:rsidRDefault="00996396" w:rsidP="00B51F62">
      <w:pPr>
        <w:spacing w:before="240"/>
        <w:rPr>
          <w:i/>
          <w:shd w:val="clear" w:color="auto" w:fill="FFFF00"/>
        </w:rPr>
      </w:pPr>
      <w:r w:rsidRPr="00E54EEA">
        <w:rPr>
          <w:b/>
        </w:rPr>
        <w:t xml:space="preserve">Target audience: </w:t>
      </w:r>
      <w:r w:rsidRPr="00E54EEA">
        <w:rPr>
          <w:i/>
        </w:rPr>
        <w:t>specify for which precise Red Cross Red Crescent audience the SOP are intended</w:t>
      </w:r>
      <w:r w:rsidRPr="00E54EEA">
        <w:rPr>
          <w:i/>
          <w:shd w:val="clear" w:color="auto" w:fill="FFFF00"/>
        </w:rPr>
        <w:t xml:space="preserve"> </w:t>
      </w:r>
    </w:p>
    <w:tbl>
      <w:tblPr>
        <w:tblStyle w:val="TableGray"/>
        <w:tblW w:w="0" w:type="auto"/>
        <w:tblLook w:val="04A0" w:firstRow="1" w:lastRow="0" w:firstColumn="1" w:lastColumn="0" w:noHBand="0" w:noVBand="1"/>
      </w:tblPr>
      <w:tblGrid>
        <w:gridCol w:w="9854"/>
      </w:tblGrid>
      <w:tr w:rsidR="00B51F62" w:rsidRPr="00E54EEA" w14:paraId="7350B03F" w14:textId="77777777" w:rsidTr="00B51F62">
        <w:tc>
          <w:tcPr>
            <w:tcW w:w="9854" w:type="dxa"/>
          </w:tcPr>
          <w:p w14:paraId="435C454B" w14:textId="77777777" w:rsidR="00B85FDA" w:rsidRPr="00E54EEA" w:rsidRDefault="00B85FDA" w:rsidP="00B85FDA">
            <w:pPr>
              <w:spacing w:before="20"/>
              <w:rPr>
                <w:i/>
                <w:sz w:val="18"/>
                <w:szCs w:val="18"/>
              </w:rPr>
            </w:pPr>
            <w:r w:rsidRPr="00E54EEA">
              <w:rPr>
                <w:i/>
                <w:sz w:val="18"/>
                <w:szCs w:val="18"/>
              </w:rPr>
              <w:t>For example</w:t>
            </w:r>
          </w:p>
          <w:p w14:paraId="3F64C5D0" w14:textId="77777777" w:rsidR="00B51F62" w:rsidRPr="00E54EEA" w:rsidRDefault="00B51F62" w:rsidP="00D61AD7">
            <w:pPr>
              <w:shd w:val="clear" w:color="auto" w:fill="D9D9D9" w:themeFill="background1" w:themeFillShade="D9"/>
              <w:spacing w:before="20" w:after="20"/>
              <w:rPr>
                <w:i/>
                <w:sz w:val="18"/>
                <w:szCs w:val="18"/>
              </w:rPr>
            </w:pPr>
            <w:r w:rsidRPr="00E54EEA">
              <w:rPr>
                <w:b/>
                <w:i/>
                <w:sz w:val="18"/>
                <w:szCs w:val="18"/>
              </w:rPr>
              <w:t>ICRC</w:t>
            </w:r>
            <w:r w:rsidRPr="00E54EEA">
              <w:rPr>
                <w:i/>
                <w:sz w:val="18"/>
                <w:szCs w:val="18"/>
              </w:rPr>
              <w:t xml:space="preserve">:  ADM, LOG and </w:t>
            </w:r>
            <w:proofErr w:type="spellStart"/>
            <w:r w:rsidRPr="00E54EEA">
              <w:rPr>
                <w:i/>
                <w:sz w:val="18"/>
                <w:szCs w:val="18"/>
              </w:rPr>
              <w:t>Ecosec</w:t>
            </w:r>
            <w:proofErr w:type="spellEnd"/>
            <w:r w:rsidRPr="00E54EEA">
              <w:rPr>
                <w:i/>
                <w:sz w:val="18"/>
                <w:szCs w:val="18"/>
              </w:rPr>
              <w:t xml:space="preserve"> </w:t>
            </w:r>
            <w:proofErr w:type="spellStart"/>
            <w:r w:rsidRPr="00E54EEA">
              <w:rPr>
                <w:i/>
                <w:sz w:val="18"/>
                <w:szCs w:val="18"/>
              </w:rPr>
              <w:t>Programmes</w:t>
            </w:r>
            <w:proofErr w:type="spellEnd"/>
            <w:r w:rsidRPr="00E54EEA">
              <w:rPr>
                <w:i/>
                <w:sz w:val="18"/>
                <w:szCs w:val="18"/>
              </w:rPr>
              <w:t xml:space="preserve"> staff in cash transfer </w:t>
            </w:r>
            <w:proofErr w:type="spellStart"/>
            <w:r w:rsidRPr="00E54EEA">
              <w:rPr>
                <w:i/>
                <w:sz w:val="18"/>
                <w:szCs w:val="18"/>
              </w:rPr>
              <w:t>programmes</w:t>
            </w:r>
            <w:proofErr w:type="spellEnd"/>
            <w:r w:rsidRPr="00E54EEA">
              <w:rPr>
                <w:i/>
                <w:sz w:val="18"/>
                <w:szCs w:val="18"/>
              </w:rPr>
              <w:t xml:space="preserve"> at country level</w:t>
            </w:r>
          </w:p>
          <w:p w14:paraId="18059355" w14:textId="77777777" w:rsidR="00B51F62" w:rsidRPr="00E54EEA" w:rsidRDefault="00B51F62" w:rsidP="009317C3">
            <w:pPr>
              <w:shd w:val="clear" w:color="auto" w:fill="D9D9D9" w:themeFill="background1" w:themeFillShade="D9"/>
              <w:spacing w:before="20" w:after="0"/>
              <w:rPr>
                <w:i/>
                <w:sz w:val="18"/>
                <w:szCs w:val="18"/>
              </w:rPr>
            </w:pPr>
            <w:r w:rsidRPr="00E54EEA">
              <w:rPr>
                <w:b/>
                <w:i/>
                <w:sz w:val="18"/>
                <w:szCs w:val="18"/>
              </w:rPr>
              <w:t xml:space="preserve">IFRC: </w:t>
            </w:r>
            <w:r w:rsidRPr="00E54EEA">
              <w:rPr>
                <w:i/>
                <w:sz w:val="18"/>
                <w:szCs w:val="18"/>
              </w:rPr>
              <w:t>Emergency support staff involved in the initial operational response decision making</w:t>
            </w:r>
            <w:r w:rsidRPr="00E54EEA">
              <w:rPr>
                <w:b/>
                <w:i/>
                <w:sz w:val="18"/>
                <w:szCs w:val="18"/>
              </w:rPr>
              <w:t xml:space="preserve"> </w:t>
            </w:r>
            <w:r w:rsidRPr="00E54EEA">
              <w:rPr>
                <w:i/>
                <w:sz w:val="18"/>
                <w:szCs w:val="18"/>
              </w:rPr>
              <w:t xml:space="preserve">Logistics, Finance, Legal, Security and </w:t>
            </w:r>
            <w:proofErr w:type="spellStart"/>
            <w:r w:rsidRPr="00E54EEA">
              <w:rPr>
                <w:i/>
                <w:sz w:val="18"/>
                <w:szCs w:val="18"/>
              </w:rPr>
              <w:t>Programmes</w:t>
            </w:r>
            <w:proofErr w:type="spellEnd"/>
            <w:r w:rsidRPr="00E54EEA">
              <w:rPr>
                <w:i/>
                <w:sz w:val="18"/>
                <w:szCs w:val="18"/>
              </w:rPr>
              <w:t>, including Operations/Project Managers/Appeal Managers</w:t>
            </w:r>
          </w:p>
          <w:p w14:paraId="0903D6B6" w14:textId="28F1E465" w:rsidR="00B51F62" w:rsidRPr="00E54EEA" w:rsidRDefault="00B51F62" w:rsidP="00D61AD7">
            <w:pPr>
              <w:spacing w:before="20" w:after="20"/>
              <w:rPr>
                <w:i/>
                <w:sz w:val="18"/>
                <w:szCs w:val="18"/>
              </w:rPr>
            </w:pPr>
            <w:r w:rsidRPr="00E54EEA">
              <w:rPr>
                <w:b/>
                <w:i/>
                <w:sz w:val="18"/>
                <w:szCs w:val="18"/>
              </w:rPr>
              <w:t>National Society:</w:t>
            </w:r>
            <w:r w:rsidRPr="00E54EEA">
              <w:rPr>
                <w:i/>
                <w:sz w:val="18"/>
                <w:szCs w:val="18"/>
              </w:rPr>
              <w:t xml:space="preserve">  Chapter staff and volunteers involved in CTP, national head quarter departments (NHQ), the Disaster Management teams and additional departments and units involved in design and response</w:t>
            </w:r>
          </w:p>
        </w:tc>
      </w:tr>
    </w:tbl>
    <w:p w14:paraId="1B4602C4" w14:textId="77777777" w:rsidR="00996396" w:rsidRPr="00E54EEA" w:rsidRDefault="00996396" w:rsidP="00B51F62">
      <w:pPr>
        <w:pStyle w:val="Heading3"/>
        <w:rPr>
          <w:highlight w:val="lightGray"/>
        </w:rPr>
      </w:pPr>
      <w:r w:rsidRPr="00E54EEA">
        <w:t>II. Brief overview of CTP in country</w:t>
      </w:r>
    </w:p>
    <w:p w14:paraId="67E4D8F7" w14:textId="77777777" w:rsidR="00996396" w:rsidRPr="00E54EEA" w:rsidRDefault="00996396" w:rsidP="00FF617E">
      <w:pPr>
        <w:rPr>
          <w:i/>
        </w:rPr>
      </w:pPr>
      <w:r w:rsidRPr="00E54EEA">
        <w:rPr>
          <w:i/>
        </w:rPr>
        <w:t>Provide a generic description of types of CTP</w:t>
      </w:r>
    </w:p>
    <w:p w14:paraId="51646BAC" w14:textId="77777777" w:rsidR="00996396" w:rsidRPr="00E54EEA" w:rsidRDefault="00996396" w:rsidP="00FF617E">
      <w:pPr>
        <w:rPr>
          <w:rFonts w:eastAsia="Calibri"/>
          <w:i/>
        </w:rPr>
      </w:pPr>
      <w:r w:rsidRPr="00E54EEA">
        <w:rPr>
          <w:i/>
        </w:rPr>
        <w:t xml:space="preserve">CTP is an effective and flexible mechanism for saving lives, protecting livelihoods and strengthening recovery from disasters and conflict. </w:t>
      </w:r>
      <w:r w:rsidRPr="00E54EEA">
        <w:rPr>
          <w:rFonts w:eastAsia="Calibri"/>
          <w:i/>
        </w:rPr>
        <w:t>CTP represents all forms of cash and voucher-based assistance. It is one of the available response options for supporting people affected by humanitarian crises. Its use is driven by the operating context. Appropriate CTP has a role as an alternative to, or to complement, in-kind assistance. CTP is not a sector in its own right; it is simply an instrument that can be used meet particular objectives in particular contexts and sectors of response.</w:t>
      </w:r>
    </w:p>
    <w:tbl>
      <w:tblPr>
        <w:tblStyle w:val="TableGray"/>
        <w:tblW w:w="0" w:type="auto"/>
        <w:jc w:val="center"/>
        <w:tblLook w:val="04A0" w:firstRow="1" w:lastRow="0" w:firstColumn="1" w:lastColumn="0" w:noHBand="0" w:noVBand="1"/>
      </w:tblPr>
      <w:tblGrid>
        <w:gridCol w:w="9854"/>
      </w:tblGrid>
      <w:tr w:rsidR="00E92C7F" w:rsidRPr="00E54EEA" w14:paraId="674BC7AE" w14:textId="77777777" w:rsidTr="00B51F62">
        <w:trPr>
          <w:jc w:val="center"/>
        </w:trPr>
        <w:tc>
          <w:tcPr>
            <w:tcW w:w="9854" w:type="dxa"/>
          </w:tcPr>
          <w:p w14:paraId="7459B496" w14:textId="77777777" w:rsidR="00B51F62" w:rsidRPr="00E54EEA" w:rsidRDefault="00B51F62" w:rsidP="009317C3">
            <w:pPr>
              <w:shd w:val="clear" w:color="auto" w:fill="D9D9D9" w:themeFill="background1" w:themeFillShade="D9"/>
              <w:rPr>
                <w:b/>
                <w:sz w:val="18"/>
                <w:szCs w:val="18"/>
              </w:rPr>
            </w:pPr>
            <w:r w:rsidRPr="00E54EEA">
              <w:rPr>
                <w:b/>
                <w:sz w:val="18"/>
                <w:szCs w:val="18"/>
              </w:rPr>
              <w:t>Types of cash transfer:</w:t>
            </w:r>
          </w:p>
          <w:p w14:paraId="3071C73E" w14:textId="77777777" w:rsidR="00B51F62" w:rsidRPr="00E54EEA" w:rsidRDefault="00B51F62" w:rsidP="009317C3">
            <w:pPr>
              <w:shd w:val="clear" w:color="auto" w:fill="D9D9D9" w:themeFill="background1" w:themeFillShade="D9"/>
              <w:spacing w:after="20"/>
              <w:rPr>
                <w:sz w:val="18"/>
                <w:szCs w:val="18"/>
              </w:rPr>
            </w:pPr>
            <w:r w:rsidRPr="00E54EEA">
              <w:rPr>
                <w:b/>
                <w:sz w:val="18"/>
                <w:szCs w:val="18"/>
              </w:rPr>
              <w:t>Unconditional cash transfers</w:t>
            </w:r>
            <w:r w:rsidRPr="00E54EEA">
              <w:rPr>
                <w:sz w:val="18"/>
                <w:szCs w:val="18"/>
              </w:rPr>
              <w:t xml:space="preserve"> (UCT) – </w:t>
            </w:r>
            <w:r w:rsidRPr="00E54EEA">
              <w:rPr>
                <w:b/>
                <w:sz w:val="18"/>
                <w:szCs w:val="18"/>
              </w:rPr>
              <w:t>are</w:t>
            </w:r>
            <w:r w:rsidRPr="00E54EEA">
              <w:rPr>
                <w:sz w:val="18"/>
                <w:szCs w:val="18"/>
              </w:rPr>
              <w:t xml:space="preserve"> given with no conditions as to how the money should be used by the beneficiaries or without specific conditions that beneficiaries should fulfil. It is assumed that, if basic needs have been identified in the assessment, the money will be used to cover these needs. They can be given as one-off payments, can be repeated or given as varying amounts over periods of several months. </w:t>
            </w:r>
          </w:p>
          <w:p w14:paraId="17F56CD1" w14:textId="77777777" w:rsidR="00B51F62" w:rsidRPr="00E54EEA" w:rsidRDefault="00B51F62" w:rsidP="009317C3">
            <w:pPr>
              <w:shd w:val="clear" w:color="auto" w:fill="D9D9D9" w:themeFill="background1" w:themeFillShade="D9"/>
              <w:spacing w:after="20"/>
              <w:rPr>
                <w:sz w:val="18"/>
                <w:szCs w:val="18"/>
              </w:rPr>
            </w:pPr>
            <w:r w:rsidRPr="00E54EEA">
              <w:rPr>
                <w:b/>
                <w:sz w:val="18"/>
                <w:szCs w:val="18"/>
              </w:rPr>
              <w:t xml:space="preserve">Conditional cash transfers </w:t>
            </w:r>
            <w:r w:rsidRPr="00E54EEA">
              <w:rPr>
                <w:sz w:val="18"/>
                <w:szCs w:val="18"/>
              </w:rPr>
              <w:t xml:space="preserve">(CCT) – are given to the recipients for a specified purpose or against specific conditions, such as starting a business, buying agricultural tools or products, attending healthcare services or sending children to </w:t>
            </w:r>
            <w:r w:rsidRPr="00E54EEA">
              <w:rPr>
                <w:sz w:val="18"/>
                <w:szCs w:val="18"/>
              </w:rPr>
              <w:lastRenderedPageBreak/>
              <w:t>school. As long as they respect the agreed purposes, the beneficiaries are free to use the amounts of cash put at their disposal to choose the type, quality or quantity of products they wish to buy.</w:t>
            </w:r>
          </w:p>
          <w:p w14:paraId="3D5C58DB" w14:textId="77777777" w:rsidR="00B51F62" w:rsidRPr="00E54EEA" w:rsidRDefault="00B51F62" w:rsidP="009317C3">
            <w:pPr>
              <w:shd w:val="clear" w:color="auto" w:fill="D9D9D9" w:themeFill="background1" w:themeFillShade="D9"/>
              <w:spacing w:after="20"/>
              <w:rPr>
                <w:sz w:val="18"/>
                <w:szCs w:val="18"/>
              </w:rPr>
            </w:pPr>
            <w:r w:rsidRPr="00E54EEA">
              <w:rPr>
                <w:b/>
                <w:sz w:val="18"/>
                <w:szCs w:val="18"/>
              </w:rPr>
              <w:t>Cash for work</w:t>
            </w:r>
            <w:r w:rsidRPr="00E54EEA">
              <w:rPr>
                <w:sz w:val="18"/>
                <w:szCs w:val="18"/>
              </w:rPr>
              <w:t xml:space="preserve"> (CFW) – Payments (in cash or vouchers) as wages for work on community or public works </w:t>
            </w:r>
            <w:proofErr w:type="spellStart"/>
            <w:r w:rsidRPr="00E54EEA">
              <w:rPr>
                <w:sz w:val="18"/>
                <w:szCs w:val="18"/>
              </w:rPr>
              <w:t>programmes</w:t>
            </w:r>
            <w:proofErr w:type="spellEnd"/>
            <w:r w:rsidRPr="00E54EEA">
              <w:rPr>
                <w:sz w:val="18"/>
                <w:szCs w:val="18"/>
              </w:rPr>
              <w:t xml:space="preserve">, which will improve or rehabilitate community services or infrastructure. </w:t>
            </w:r>
          </w:p>
          <w:p w14:paraId="1AC9959D" w14:textId="77777777" w:rsidR="00B51F62" w:rsidRPr="00E54EEA" w:rsidRDefault="00B51F62" w:rsidP="009317C3">
            <w:pPr>
              <w:shd w:val="clear" w:color="auto" w:fill="D9D9D9" w:themeFill="background1" w:themeFillShade="D9"/>
              <w:spacing w:after="20"/>
              <w:rPr>
                <w:sz w:val="18"/>
                <w:szCs w:val="18"/>
              </w:rPr>
            </w:pPr>
            <w:proofErr w:type="gramStart"/>
            <w:r w:rsidRPr="00E54EEA">
              <w:rPr>
                <w:b/>
                <w:sz w:val="18"/>
                <w:szCs w:val="18"/>
              </w:rPr>
              <w:t>Cash vouchers</w:t>
            </w:r>
            <w:r w:rsidRPr="00E54EEA">
              <w:rPr>
                <w:sz w:val="18"/>
                <w:szCs w:val="18"/>
              </w:rPr>
              <w:t xml:space="preserve"> – each voucher has</w:t>
            </w:r>
            <w:proofErr w:type="gramEnd"/>
            <w:r w:rsidRPr="00E54EEA">
              <w:rPr>
                <w:sz w:val="18"/>
                <w:szCs w:val="18"/>
              </w:rPr>
              <w:t xml:space="preserve"> a specific monetary value and can define a service and an item or range of items for which the voucher can be exchanged. Alternatively, it can be exchanged freely for whatever the recipient chooses to buy at shops participating in the scheme. The voucher is considered to have the same value as cash. The participating shops or market traders return the vouchers to the ICRC in exchange for payment. </w:t>
            </w:r>
          </w:p>
          <w:p w14:paraId="427D6986" w14:textId="77777777" w:rsidR="00B51F62" w:rsidRPr="00E54EEA" w:rsidRDefault="00B51F62" w:rsidP="009317C3">
            <w:pPr>
              <w:shd w:val="clear" w:color="auto" w:fill="D9D9D9" w:themeFill="background1" w:themeFillShade="D9"/>
              <w:spacing w:after="20"/>
              <w:rPr>
                <w:sz w:val="18"/>
                <w:szCs w:val="18"/>
              </w:rPr>
            </w:pPr>
            <w:r w:rsidRPr="00E54EEA">
              <w:rPr>
                <w:b/>
                <w:sz w:val="18"/>
                <w:szCs w:val="18"/>
              </w:rPr>
              <w:t xml:space="preserve">Commodity voucher </w:t>
            </w:r>
            <w:r w:rsidRPr="00E54EEA">
              <w:rPr>
                <w:sz w:val="18"/>
                <w:szCs w:val="18"/>
              </w:rPr>
              <w:t>– is exchanged for a fixed quantity of goods or services at the shops or markets participating in the scheme. The sellers return the vouchers to the ICRC in exchange for payment. It is very similar to in-kind aid as people are bound by the goods or services delivered. Commodity vouchers enable the agency to impose items of a given type and quality on the beneficiaries.</w:t>
            </w:r>
          </w:p>
          <w:p w14:paraId="60460A13" w14:textId="77777777" w:rsidR="00B51F62" w:rsidRPr="00E54EEA" w:rsidRDefault="00B51F62" w:rsidP="009317C3">
            <w:pPr>
              <w:shd w:val="clear" w:color="auto" w:fill="D9D9D9" w:themeFill="background1" w:themeFillShade="D9"/>
              <w:spacing w:after="20"/>
              <w:rPr>
                <w:sz w:val="18"/>
                <w:szCs w:val="18"/>
              </w:rPr>
            </w:pPr>
            <w:r w:rsidRPr="00E54EEA">
              <w:rPr>
                <w:b/>
                <w:sz w:val="18"/>
                <w:szCs w:val="18"/>
              </w:rPr>
              <w:t>Cash and commodity vouchers combination</w:t>
            </w:r>
            <w:r w:rsidRPr="00E54EEA">
              <w:rPr>
                <w:sz w:val="18"/>
                <w:szCs w:val="18"/>
              </w:rPr>
              <w:t xml:space="preserve"> – combination of the above. The commodity vouchers compel the beneficiaries to ‘purchase’ a given set of items while the cash voucher enables them to complement the commodity voucher with items they can choose freely (up to the amount specified on the voucher). </w:t>
            </w:r>
          </w:p>
          <w:p w14:paraId="6E08EBD2" w14:textId="0BD5F314" w:rsidR="00B51F62" w:rsidRPr="00E54EEA" w:rsidRDefault="00B51F62" w:rsidP="009317C3">
            <w:pPr>
              <w:shd w:val="clear" w:color="auto" w:fill="D9D9D9" w:themeFill="background1" w:themeFillShade="D9"/>
              <w:spacing w:after="0"/>
              <w:jc w:val="both"/>
              <w:rPr>
                <w:rFonts w:eastAsia="Calibri"/>
                <w:lang w:val="en-GB"/>
              </w:rPr>
            </w:pPr>
            <w:r w:rsidRPr="00E54EEA">
              <w:rPr>
                <w:b/>
                <w:sz w:val="18"/>
                <w:szCs w:val="18"/>
              </w:rPr>
              <w:t>Fairs</w:t>
            </w:r>
            <w:r w:rsidRPr="00E54EEA">
              <w:rPr>
                <w:sz w:val="18"/>
                <w:szCs w:val="18"/>
              </w:rPr>
              <w:t xml:space="preserve"> – Beneficiaries are provided with the goods they need through the organization of a fair at which vouchers are exchanged for goods. Fairs are used often to enable beneficiaries to acquire agricultural goods such as seeds and livestock but they can be organized also for other items such as shelter construction material or other essential household items. They give beneficiaries the opportunity to choose the products they like while enabling the ICRC to exert some control over the quality of the goods exchanged at the fair.</w:t>
            </w:r>
          </w:p>
        </w:tc>
      </w:tr>
    </w:tbl>
    <w:p w14:paraId="54DF8A88" w14:textId="77777777" w:rsidR="00996396" w:rsidRPr="00E54EEA" w:rsidRDefault="00996396" w:rsidP="00B51F62">
      <w:pPr>
        <w:pStyle w:val="Heading3"/>
      </w:pPr>
      <w:r w:rsidRPr="00E54EEA">
        <w:lastRenderedPageBreak/>
        <w:t>CTP experience to date:</w:t>
      </w:r>
    </w:p>
    <w:p w14:paraId="1ED25C0C" w14:textId="77777777" w:rsidR="00996396" w:rsidRPr="00E54EEA" w:rsidRDefault="00996396" w:rsidP="00FF617E">
      <w:pPr>
        <w:rPr>
          <w:i/>
        </w:rPr>
      </w:pPr>
      <w:r w:rsidRPr="00E54EEA">
        <w:rPr>
          <w:i/>
        </w:rPr>
        <w:t>Provide a generic overview of experience of the National Society using CTP in this country and/or type of context. Provide details of:</w:t>
      </w:r>
    </w:p>
    <w:p w14:paraId="07220DA2" w14:textId="77777777" w:rsidR="00996396" w:rsidRPr="00E54EEA" w:rsidRDefault="00996396" w:rsidP="00FF617E">
      <w:pPr>
        <w:rPr>
          <w:i/>
        </w:rPr>
      </w:pPr>
      <w:proofErr w:type="gramStart"/>
      <w:r w:rsidRPr="00E54EEA">
        <w:rPr>
          <w:i/>
        </w:rPr>
        <w:t>the</w:t>
      </w:r>
      <w:proofErr w:type="gramEnd"/>
      <w:r w:rsidRPr="00E54EEA">
        <w:rPr>
          <w:i/>
        </w:rPr>
        <w:t xml:space="preserve"> dates</w:t>
      </w:r>
    </w:p>
    <w:p w14:paraId="4071A817" w14:textId="77777777" w:rsidR="00996396" w:rsidRPr="00E54EEA" w:rsidRDefault="00996396" w:rsidP="00FF617E">
      <w:pPr>
        <w:rPr>
          <w:i/>
        </w:rPr>
      </w:pPr>
      <w:proofErr w:type="gramStart"/>
      <w:r w:rsidRPr="00E54EEA">
        <w:rPr>
          <w:i/>
        </w:rPr>
        <w:t>the</w:t>
      </w:r>
      <w:proofErr w:type="gramEnd"/>
      <w:r w:rsidRPr="00E54EEA">
        <w:rPr>
          <w:i/>
        </w:rPr>
        <w:t xml:space="preserve"> modality</w:t>
      </w:r>
    </w:p>
    <w:p w14:paraId="634A4296" w14:textId="77777777" w:rsidR="00996396" w:rsidRPr="00E54EEA" w:rsidRDefault="00996396" w:rsidP="00FF617E">
      <w:pPr>
        <w:rPr>
          <w:i/>
        </w:rPr>
      </w:pPr>
      <w:proofErr w:type="gramStart"/>
      <w:r w:rsidRPr="00E54EEA">
        <w:rPr>
          <w:i/>
        </w:rPr>
        <w:t>the</w:t>
      </w:r>
      <w:proofErr w:type="gramEnd"/>
      <w:r w:rsidRPr="00E54EEA">
        <w:rPr>
          <w:i/>
        </w:rPr>
        <w:t xml:space="preserve"> mechanism</w:t>
      </w:r>
    </w:p>
    <w:p w14:paraId="32E9523B" w14:textId="77777777" w:rsidR="00996396" w:rsidRPr="00E54EEA" w:rsidRDefault="00996396" w:rsidP="00FF617E">
      <w:pPr>
        <w:rPr>
          <w:i/>
        </w:rPr>
      </w:pPr>
      <w:proofErr w:type="gramStart"/>
      <w:r w:rsidRPr="00E54EEA">
        <w:rPr>
          <w:i/>
        </w:rPr>
        <w:t>the</w:t>
      </w:r>
      <w:proofErr w:type="gramEnd"/>
      <w:r w:rsidRPr="00E54EEA">
        <w:rPr>
          <w:i/>
        </w:rPr>
        <w:t xml:space="preserve"> number of beneficiaries targeted</w:t>
      </w:r>
    </w:p>
    <w:p w14:paraId="3C045DD4" w14:textId="77777777" w:rsidR="00996396" w:rsidRPr="00E54EEA" w:rsidRDefault="00996396" w:rsidP="00FF617E">
      <w:pPr>
        <w:rPr>
          <w:i/>
        </w:rPr>
      </w:pPr>
      <w:proofErr w:type="gramStart"/>
      <w:r w:rsidRPr="00E54EEA">
        <w:rPr>
          <w:i/>
        </w:rPr>
        <w:t>lessons</w:t>
      </w:r>
      <w:proofErr w:type="gramEnd"/>
      <w:r w:rsidRPr="00E54EEA">
        <w:rPr>
          <w:i/>
        </w:rPr>
        <w:t xml:space="preserve"> learned that influence future programming</w:t>
      </w:r>
    </w:p>
    <w:p w14:paraId="517D75CE" w14:textId="77777777" w:rsidR="00996396" w:rsidRPr="00E54EEA" w:rsidRDefault="00996396" w:rsidP="00B51F62">
      <w:pPr>
        <w:pStyle w:val="Heading3"/>
      </w:pPr>
      <w:r w:rsidRPr="00E54EEA">
        <w:t>III. Roles and responsibilities according to CTP modality</w:t>
      </w:r>
    </w:p>
    <w:p w14:paraId="551D3447" w14:textId="77777777" w:rsidR="00996396" w:rsidRPr="00E54EEA" w:rsidRDefault="00996396" w:rsidP="00FF617E">
      <w:pPr>
        <w:rPr>
          <w:b/>
        </w:rPr>
      </w:pPr>
      <w:r w:rsidRPr="00E54EEA">
        <w:rPr>
          <w:b/>
        </w:rPr>
        <w:t xml:space="preserve">Roles and responsibilities (departments, units, </w:t>
      </w:r>
      <w:proofErr w:type="gramStart"/>
      <w:r w:rsidRPr="00E54EEA">
        <w:rPr>
          <w:b/>
        </w:rPr>
        <w:t>headquarters</w:t>
      </w:r>
      <w:proofErr w:type="gramEnd"/>
      <w:r w:rsidRPr="00E54EEA">
        <w:rPr>
          <w:b/>
        </w:rPr>
        <w:t xml:space="preserve"> and down to branches):</w:t>
      </w:r>
    </w:p>
    <w:p w14:paraId="22A0C695" w14:textId="77777777" w:rsidR="00996396" w:rsidRPr="00E54EEA" w:rsidRDefault="00996396" w:rsidP="00FF617E">
      <w:pPr>
        <w:rPr>
          <w:b/>
          <w:i/>
        </w:rPr>
      </w:pPr>
      <w:r w:rsidRPr="00E54EEA">
        <w:rPr>
          <w:b/>
          <w:i/>
        </w:rPr>
        <w:t>List the main roles that different departments will have when implementing CTP in general.</w:t>
      </w:r>
    </w:p>
    <w:p w14:paraId="0CEEF562" w14:textId="77777777" w:rsidR="00996396" w:rsidRPr="00E54EEA" w:rsidRDefault="00996396" w:rsidP="00FF617E">
      <w:pPr>
        <w:rPr>
          <w:b/>
          <w:i/>
        </w:rPr>
      </w:pPr>
      <w:r w:rsidRPr="00E54EEA">
        <w:rPr>
          <w:b/>
          <w:i/>
        </w:rPr>
        <w:t xml:space="preserve">Add rows if additional actors are identified. </w:t>
      </w:r>
    </w:p>
    <w:p w14:paraId="46486D5E" w14:textId="77777777" w:rsidR="00996396" w:rsidRPr="00E54EEA" w:rsidRDefault="00996396" w:rsidP="00FF617E">
      <w:pPr>
        <w:rPr>
          <w:b/>
          <w:i/>
        </w:rPr>
      </w:pPr>
      <w:r w:rsidRPr="00E54EEA">
        <w:rPr>
          <w:b/>
          <w:i/>
        </w:rPr>
        <w:t>An example from the IFRC SOPs is provided at the end of the document.</w:t>
      </w:r>
    </w:p>
    <w:tbl>
      <w:tblPr>
        <w:tblStyle w:val="TableGrid"/>
        <w:tblW w:w="0" w:type="auto"/>
        <w:tblLook w:val="04A0" w:firstRow="1" w:lastRow="0" w:firstColumn="1" w:lastColumn="0" w:noHBand="0" w:noVBand="1"/>
      </w:tblPr>
      <w:tblGrid>
        <w:gridCol w:w="4927"/>
        <w:gridCol w:w="4927"/>
      </w:tblGrid>
      <w:tr w:rsidR="00E92C7F" w:rsidRPr="00E54EEA" w14:paraId="4C0CBCC0" w14:textId="77777777" w:rsidTr="005F6C47">
        <w:tc>
          <w:tcPr>
            <w:tcW w:w="4927" w:type="dxa"/>
            <w:tcBorders>
              <w:bottom w:val="single" w:sz="4" w:space="0" w:color="auto"/>
            </w:tcBorders>
            <w:shd w:val="clear" w:color="auto" w:fill="DC281E"/>
          </w:tcPr>
          <w:p w14:paraId="4F709802" w14:textId="06913ACC" w:rsidR="00E92C7F" w:rsidRPr="00E54EEA" w:rsidRDefault="00E92C7F" w:rsidP="00D61AD7">
            <w:pPr>
              <w:spacing w:before="120"/>
              <w:jc w:val="center"/>
              <w:rPr>
                <w:i/>
                <w:color w:val="FFFFFF" w:themeColor="background1"/>
              </w:rPr>
            </w:pPr>
            <w:r w:rsidRPr="00E54EEA">
              <w:rPr>
                <w:b/>
                <w:color w:val="FFFFFF" w:themeColor="background1"/>
              </w:rPr>
              <w:t>Functions</w:t>
            </w:r>
          </w:p>
        </w:tc>
        <w:tc>
          <w:tcPr>
            <w:tcW w:w="4927" w:type="dxa"/>
            <w:tcBorders>
              <w:bottom w:val="single" w:sz="4" w:space="0" w:color="auto"/>
            </w:tcBorders>
            <w:shd w:val="clear" w:color="auto" w:fill="DC281E"/>
          </w:tcPr>
          <w:p w14:paraId="2D846B14" w14:textId="7D5186DB" w:rsidR="00E92C7F" w:rsidRPr="00E54EEA" w:rsidRDefault="00E92C7F" w:rsidP="00D61AD7">
            <w:pPr>
              <w:spacing w:before="120"/>
              <w:jc w:val="center"/>
              <w:rPr>
                <w:i/>
                <w:color w:val="FFFFFF" w:themeColor="background1"/>
              </w:rPr>
            </w:pPr>
            <w:r w:rsidRPr="00E54EEA">
              <w:rPr>
                <w:b/>
                <w:color w:val="FFFFFF" w:themeColor="background1"/>
              </w:rPr>
              <w:t>Roles for CTP</w:t>
            </w:r>
          </w:p>
        </w:tc>
      </w:tr>
      <w:tr w:rsidR="00E92C7F" w:rsidRPr="00E54EEA" w14:paraId="0D48C757" w14:textId="77777777" w:rsidTr="005F6C47">
        <w:tc>
          <w:tcPr>
            <w:tcW w:w="4927" w:type="dxa"/>
            <w:shd w:val="clear" w:color="auto" w:fill="A6A6A6"/>
          </w:tcPr>
          <w:p w14:paraId="56E77EAA" w14:textId="77777777" w:rsidR="00E92C7F" w:rsidRPr="00E54EEA" w:rsidRDefault="00E92C7F" w:rsidP="00D61AD7">
            <w:pPr>
              <w:pStyle w:val="Heading3"/>
              <w:keepNext w:val="0"/>
              <w:spacing w:before="20" w:after="20"/>
              <w:outlineLvl w:val="2"/>
              <w:rPr>
                <w:sz w:val="20"/>
                <w:szCs w:val="20"/>
              </w:rPr>
            </w:pPr>
            <w:proofErr w:type="spellStart"/>
            <w:r w:rsidRPr="00E54EEA">
              <w:rPr>
                <w:sz w:val="20"/>
                <w:szCs w:val="20"/>
              </w:rPr>
              <w:t>Programmes</w:t>
            </w:r>
            <w:proofErr w:type="spellEnd"/>
            <w:r w:rsidRPr="00E54EEA">
              <w:rPr>
                <w:sz w:val="20"/>
                <w:szCs w:val="20"/>
              </w:rPr>
              <w:t xml:space="preserve"> </w:t>
            </w:r>
          </w:p>
          <w:p w14:paraId="12177DDB" w14:textId="09F319D3" w:rsidR="00E92C7F" w:rsidRPr="00E54EEA" w:rsidRDefault="00E92C7F" w:rsidP="00D61AD7">
            <w:pPr>
              <w:spacing w:before="20" w:after="20"/>
              <w:rPr>
                <w:i/>
                <w:szCs w:val="20"/>
              </w:rPr>
            </w:pPr>
            <w:r w:rsidRPr="00E54EEA">
              <w:rPr>
                <w:szCs w:val="20"/>
                <w:lang w:val="en-GB"/>
              </w:rPr>
              <w:t>(including beneficiary communications and planning monitoring, evaluation and reporting)</w:t>
            </w:r>
          </w:p>
        </w:tc>
        <w:tc>
          <w:tcPr>
            <w:tcW w:w="4927" w:type="dxa"/>
            <w:shd w:val="clear" w:color="auto" w:fill="F3F3F3"/>
          </w:tcPr>
          <w:p w14:paraId="2A43FCDF" w14:textId="77777777" w:rsidR="00E92C7F" w:rsidRPr="00E54EEA" w:rsidRDefault="00E92C7F" w:rsidP="00D61AD7">
            <w:pPr>
              <w:spacing w:before="20" w:after="20"/>
              <w:rPr>
                <w:i/>
                <w:szCs w:val="20"/>
              </w:rPr>
            </w:pPr>
          </w:p>
        </w:tc>
      </w:tr>
      <w:tr w:rsidR="00E92C7F" w:rsidRPr="00E54EEA" w14:paraId="069635B6" w14:textId="77777777" w:rsidTr="005F6C47">
        <w:tc>
          <w:tcPr>
            <w:tcW w:w="4927" w:type="dxa"/>
            <w:shd w:val="clear" w:color="auto" w:fill="A6A6A6"/>
          </w:tcPr>
          <w:p w14:paraId="3495D61C" w14:textId="6A715F01" w:rsidR="00E92C7F" w:rsidRPr="00E54EEA" w:rsidRDefault="00E92C7F" w:rsidP="00D61AD7">
            <w:pPr>
              <w:spacing w:before="20" w:after="20"/>
              <w:rPr>
                <w:i/>
                <w:szCs w:val="20"/>
              </w:rPr>
            </w:pPr>
            <w:r w:rsidRPr="00E54EEA">
              <w:rPr>
                <w:b/>
                <w:szCs w:val="20"/>
              </w:rPr>
              <w:t>Logistics</w:t>
            </w:r>
          </w:p>
        </w:tc>
        <w:tc>
          <w:tcPr>
            <w:tcW w:w="4927" w:type="dxa"/>
            <w:shd w:val="clear" w:color="auto" w:fill="F3F3F3"/>
          </w:tcPr>
          <w:p w14:paraId="7343AECF" w14:textId="77777777" w:rsidR="00E92C7F" w:rsidRPr="00E54EEA" w:rsidRDefault="00E92C7F" w:rsidP="00D61AD7">
            <w:pPr>
              <w:spacing w:before="20" w:after="20"/>
              <w:rPr>
                <w:i/>
                <w:szCs w:val="20"/>
              </w:rPr>
            </w:pPr>
          </w:p>
        </w:tc>
      </w:tr>
      <w:tr w:rsidR="00E92C7F" w:rsidRPr="00E54EEA" w14:paraId="595791D7" w14:textId="77777777" w:rsidTr="005F6C47">
        <w:tc>
          <w:tcPr>
            <w:tcW w:w="4927" w:type="dxa"/>
            <w:shd w:val="clear" w:color="auto" w:fill="A6A6A6"/>
          </w:tcPr>
          <w:p w14:paraId="13087718" w14:textId="1A568E12" w:rsidR="00E92C7F" w:rsidRPr="00E54EEA" w:rsidRDefault="00E92C7F" w:rsidP="00D61AD7">
            <w:pPr>
              <w:spacing w:before="20" w:after="20"/>
              <w:rPr>
                <w:i/>
                <w:szCs w:val="20"/>
              </w:rPr>
            </w:pPr>
            <w:r w:rsidRPr="00E54EEA">
              <w:rPr>
                <w:b/>
                <w:szCs w:val="20"/>
              </w:rPr>
              <w:t>Finance</w:t>
            </w:r>
          </w:p>
        </w:tc>
        <w:tc>
          <w:tcPr>
            <w:tcW w:w="4927" w:type="dxa"/>
            <w:shd w:val="clear" w:color="auto" w:fill="F3F3F3"/>
          </w:tcPr>
          <w:p w14:paraId="46CD9EF2" w14:textId="77777777" w:rsidR="00E92C7F" w:rsidRPr="00E54EEA" w:rsidRDefault="00E92C7F" w:rsidP="00D61AD7">
            <w:pPr>
              <w:spacing w:before="20" w:after="20"/>
              <w:rPr>
                <w:i/>
                <w:szCs w:val="20"/>
              </w:rPr>
            </w:pPr>
          </w:p>
        </w:tc>
      </w:tr>
      <w:tr w:rsidR="00E92C7F" w:rsidRPr="00E54EEA" w14:paraId="1169CD18" w14:textId="77777777" w:rsidTr="005F6C47">
        <w:tc>
          <w:tcPr>
            <w:tcW w:w="4927" w:type="dxa"/>
            <w:shd w:val="clear" w:color="auto" w:fill="A6A6A6"/>
          </w:tcPr>
          <w:p w14:paraId="03EF7C7E" w14:textId="059500D0" w:rsidR="00E92C7F" w:rsidRPr="00E54EEA" w:rsidRDefault="00E92C7F" w:rsidP="00D61AD7">
            <w:pPr>
              <w:spacing w:before="20" w:after="20"/>
              <w:rPr>
                <w:i/>
                <w:szCs w:val="20"/>
              </w:rPr>
            </w:pPr>
            <w:r w:rsidRPr="00E54EEA">
              <w:rPr>
                <w:b/>
                <w:szCs w:val="20"/>
                <w:lang w:val="en-GB"/>
              </w:rPr>
              <w:t>Security</w:t>
            </w:r>
          </w:p>
        </w:tc>
        <w:tc>
          <w:tcPr>
            <w:tcW w:w="4927" w:type="dxa"/>
            <w:shd w:val="clear" w:color="auto" w:fill="F3F3F3"/>
          </w:tcPr>
          <w:p w14:paraId="1587AFA3" w14:textId="77777777" w:rsidR="00E92C7F" w:rsidRPr="00E54EEA" w:rsidRDefault="00E92C7F" w:rsidP="00D61AD7">
            <w:pPr>
              <w:spacing w:before="20" w:after="20"/>
              <w:rPr>
                <w:i/>
                <w:szCs w:val="20"/>
              </w:rPr>
            </w:pPr>
          </w:p>
        </w:tc>
      </w:tr>
      <w:tr w:rsidR="00E92C7F" w:rsidRPr="00E54EEA" w14:paraId="3267D7D5" w14:textId="77777777" w:rsidTr="005F6C47">
        <w:tc>
          <w:tcPr>
            <w:tcW w:w="4927" w:type="dxa"/>
            <w:shd w:val="clear" w:color="auto" w:fill="A6A6A6"/>
          </w:tcPr>
          <w:p w14:paraId="42EC3432" w14:textId="404CEED9" w:rsidR="00E92C7F" w:rsidRPr="00E54EEA" w:rsidRDefault="00E92C7F" w:rsidP="00D61AD7">
            <w:pPr>
              <w:spacing w:before="20" w:after="20"/>
              <w:rPr>
                <w:i/>
                <w:szCs w:val="20"/>
              </w:rPr>
            </w:pPr>
            <w:r w:rsidRPr="00E54EEA">
              <w:rPr>
                <w:b/>
                <w:szCs w:val="20"/>
                <w:lang w:val="en-GB"/>
              </w:rPr>
              <w:t>Risk management and audit</w:t>
            </w:r>
          </w:p>
        </w:tc>
        <w:tc>
          <w:tcPr>
            <w:tcW w:w="4927" w:type="dxa"/>
            <w:shd w:val="clear" w:color="auto" w:fill="F3F3F3"/>
          </w:tcPr>
          <w:p w14:paraId="7A9B49B6" w14:textId="77777777" w:rsidR="00E92C7F" w:rsidRPr="00E54EEA" w:rsidRDefault="00E92C7F" w:rsidP="00D61AD7">
            <w:pPr>
              <w:spacing w:before="20" w:after="20"/>
              <w:rPr>
                <w:i/>
                <w:szCs w:val="20"/>
              </w:rPr>
            </w:pPr>
          </w:p>
        </w:tc>
      </w:tr>
      <w:tr w:rsidR="00E92C7F" w:rsidRPr="00E54EEA" w14:paraId="7F350D4A" w14:textId="77777777" w:rsidTr="005F6C47">
        <w:tc>
          <w:tcPr>
            <w:tcW w:w="4927" w:type="dxa"/>
            <w:shd w:val="clear" w:color="auto" w:fill="A6A6A6"/>
          </w:tcPr>
          <w:p w14:paraId="7C6A960F" w14:textId="6273D904" w:rsidR="00E92C7F" w:rsidRPr="00E54EEA" w:rsidRDefault="00E92C7F" w:rsidP="00D61AD7">
            <w:pPr>
              <w:spacing w:before="20" w:after="20"/>
              <w:rPr>
                <w:i/>
                <w:szCs w:val="20"/>
              </w:rPr>
            </w:pPr>
            <w:r w:rsidRPr="00E54EEA">
              <w:rPr>
                <w:b/>
                <w:szCs w:val="20"/>
                <w:lang w:val="en-GB"/>
              </w:rPr>
              <w:t>Legal</w:t>
            </w:r>
          </w:p>
        </w:tc>
        <w:tc>
          <w:tcPr>
            <w:tcW w:w="4927" w:type="dxa"/>
            <w:shd w:val="clear" w:color="auto" w:fill="F3F3F3"/>
          </w:tcPr>
          <w:p w14:paraId="200BC945" w14:textId="77777777" w:rsidR="00E92C7F" w:rsidRPr="00E54EEA" w:rsidRDefault="00E92C7F" w:rsidP="00D61AD7">
            <w:pPr>
              <w:spacing w:before="20" w:after="20"/>
              <w:rPr>
                <w:i/>
                <w:szCs w:val="20"/>
              </w:rPr>
            </w:pPr>
          </w:p>
        </w:tc>
      </w:tr>
      <w:tr w:rsidR="00E92C7F" w:rsidRPr="00E54EEA" w14:paraId="7863957E" w14:textId="77777777" w:rsidTr="005F6C47">
        <w:tc>
          <w:tcPr>
            <w:tcW w:w="4927" w:type="dxa"/>
            <w:shd w:val="clear" w:color="auto" w:fill="A6A6A6"/>
          </w:tcPr>
          <w:p w14:paraId="36FABB3C" w14:textId="115954A9" w:rsidR="00E92C7F" w:rsidRPr="00E54EEA" w:rsidRDefault="00E92C7F" w:rsidP="00D61AD7">
            <w:pPr>
              <w:spacing w:before="20" w:after="20"/>
              <w:rPr>
                <w:i/>
                <w:szCs w:val="20"/>
              </w:rPr>
            </w:pPr>
            <w:r w:rsidRPr="00E54EEA">
              <w:rPr>
                <w:b/>
                <w:szCs w:val="20"/>
                <w:lang w:val="en-GB"/>
              </w:rPr>
              <w:t>Information technology (IT) and communication systems support</w:t>
            </w:r>
          </w:p>
        </w:tc>
        <w:tc>
          <w:tcPr>
            <w:tcW w:w="4927" w:type="dxa"/>
            <w:shd w:val="clear" w:color="auto" w:fill="F3F3F3"/>
          </w:tcPr>
          <w:p w14:paraId="4BEDAF1C" w14:textId="77777777" w:rsidR="00E92C7F" w:rsidRPr="00E54EEA" w:rsidRDefault="00E92C7F" w:rsidP="00D61AD7">
            <w:pPr>
              <w:spacing w:before="20" w:after="20"/>
              <w:rPr>
                <w:i/>
                <w:szCs w:val="20"/>
              </w:rPr>
            </w:pPr>
          </w:p>
        </w:tc>
      </w:tr>
      <w:tr w:rsidR="00E92C7F" w:rsidRPr="00E54EEA" w14:paraId="69F77DDD" w14:textId="77777777" w:rsidTr="005F6C47">
        <w:tc>
          <w:tcPr>
            <w:tcW w:w="4927" w:type="dxa"/>
            <w:shd w:val="clear" w:color="auto" w:fill="A6A6A6"/>
          </w:tcPr>
          <w:p w14:paraId="14F9C4C8" w14:textId="2B118195" w:rsidR="00E92C7F" w:rsidRPr="00E54EEA" w:rsidRDefault="00E92C7F" w:rsidP="00D61AD7">
            <w:pPr>
              <w:spacing w:before="20" w:after="20"/>
              <w:rPr>
                <w:i/>
                <w:szCs w:val="20"/>
              </w:rPr>
            </w:pPr>
            <w:r w:rsidRPr="00E54EEA">
              <w:rPr>
                <w:b/>
                <w:szCs w:val="20"/>
                <w:lang w:val="en-GB"/>
              </w:rPr>
              <w:t>Resource mobilization</w:t>
            </w:r>
          </w:p>
        </w:tc>
        <w:tc>
          <w:tcPr>
            <w:tcW w:w="4927" w:type="dxa"/>
            <w:shd w:val="clear" w:color="auto" w:fill="F3F3F3"/>
          </w:tcPr>
          <w:p w14:paraId="4CFEE72D" w14:textId="77777777" w:rsidR="00E92C7F" w:rsidRPr="00E54EEA" w:rsidRDefault="00E92C7F" w:rsidP="00D61AD7">
            <w:pPr>
              <w:spacing w:before="20" w:after="20"/>
              <w:rPr>
                <w:i/>
                <w:szCs w:val="20"/>
              </w:rPr>
            </w:pPr>
          </w:p>
        </w:tc>
      </w:tr>
    </w:tbl>
    <w:p w14:paraId="068C0F37" w14:textId="77777777" w:rsidR="00996396" w:rsidRPr="00E54EEA" w:rsidRDefault="00996396" w:rsidP="00E92C7F">
      <w:pPr>
        <w:pStyle w:val="Heading3"/>
      </w:pPr>
      <w:r w:rsidRPr="00E54EEA">
        <w:rPr>
          <w:bCs/>
        </w:rPr>
        <w:t>C</w:t>
      </w:r>
      <w:r w:rsidRPr="00E54EEA">
        <w:t>ash transfers using third parties (service providers)</w:t>
      </w:r>
    </w:p>
    <w:p w14:paraId="4911F39B" w14:textId="77777777" w:rsidR="00996396" w:rsidRPr="00E54EEA" w:rsidRDefault="00996396" w:rsidP="00FF617E">
      <w:pPr>
        <w:rPr>
          <w:i/>
        </w:rPr>
      </w:pPr>
      <w:r w:rsidRPr="00E54EEA">
        <w:rPr>
          <w:i/>
        </w:rPr>
        <w:t>List the main functions that different departments will have when implementing CTP.</w:t>
      </w:r>
    </w:p>
    <w:p w14:paraId="50BB6E54" w14:textId="77777777" w:rsidR="00996396" w:rsidRPr="00E54EEA" w:rsidRDefault="00996396" w:rsidP="00FF617E">
      <w:pPr>
        <w:rPr>
          <w:i/>
        </w:rPr>
      </w:pPr>
      <w:r w:rsidRPr="00E54EEA">
        <w:rPr>
          <w:i/>
        </w:rPr>
        <w:t>Add columns if additional actors are identified. A more complete version of this can be provided in the annex in table format (see ICRC and IFRC SOPs for examples of diagram formats). Add to and adapt the main functions listed below to suit your context</w:t>
      </w:r>
    </w:p>
    <w:tbl>
      <w:tblPr>
        <w:tblStyle w:val="TableGrid"/>
        <w:tblW w:w="0" w:type="auto"/>
        <w:tblLook w:val="04A0" w:firstRow="1" w:lastRow="0" w:firstColumn="1" w:lastColumn="0" w:noHBand="0" w:noVBand="1"/>
      </w:tblPr>
      <w:tblGrid>
        <w:gridCol w:w="2235"/>
        <w:gridCol w:w="2126"/>
        <w:gridCol w:w="1843"/>
        <w:gridCol w:w="1842"/>
        <w:gridCol w:w="1808"/>
      </w:tblGrid>
      <w:tr w:rsidR="0088211A" w:rsidRPr="00E54EEA" w14:paraId="1EECAC95" w14:textId="77777777" w:rsidTr="005F6C47">
        <w:tc>
          <w:tcPr>
            <w:tcW w:w="2235" w:type="dxa"/>
            <w:tcBorders>
              <w:bottom w:val="single" w:sz="4" w:space="0" w:color="auto"/>
            </w:tcBorders>
            <w:shd w:val="clear" w:color="auto" w:fill="DC281E"/>
            <w:vAlign w:val="center"/>
          </w:tcPr>
          <w:p w14:paraId="420A6002" w14:textId="1FF821BD" w:rsidR="00E92C7F" w:rsidRPr="00E54EEA" w:rsidRDefault="0088211A" w:rsidP="0088211A">
            <w:pPr>
              <w:pStyle w:val="Heading3"/>
              <w:spacing w:before="120"/>
              <w:jc w:val="center"/>
              <w:outlineLvl w:val="2"/>
              <w:rPr>
                <w:i/>
                <w:color w:val="FFFFFF" w:themeColor="background1"/>
                <w:sz w:val="20"/>
                <w:szCs w:val="20"/>
              </w:rPr>
            </w:pPr>
            <w:r w:rsidRPr="00E54EEA">
              <w:rPr>
                <w:color w:val="FFFFFF" w:themeColor="background1"/>
                <w:sz w:val="20"/>
                <w:szCs w:val="20"/>
              </w:rPr>
              <w:lastRenderedPageBreak/>
              <w:t>Main function</w:t>
            </w:r>
          </w:p>
        </w:tc>
        <w:tc>
          <w:tcPr>
            <w:tcW w:w="2126" w:type="dxa"/>
            <w:tcBorders>
              <w:bottom w:val="single" w:sz="4" w:space="0" w:color="auto"/>
            </w:tcBorders>
            <w:shd w:val="clear" w:color="auto" w:fill="DC281E"/>
            <w:vAlign w:val="center"/>
          </w:tcPr>
          <w:p w14:paraId="2312036C" w14:textId="3262A66C" w:rsidR="00E92C7F" w:rsidRPr="00E54EEA" w:rsidRDefault="0088211A" w:rsidP="0088211A">
            <w:pPr>
              <w:pStyle w:val="Heading3"/>
              <w:spacing w:before="120"/>
              <w:jc w:val="center"/>
              <w:outlineLvl w:val="2"/>
              <w:rPr>
                <w:i/>
                <w:color w:val="FFFFFF" w:themeColor="background1"/>
                <w:sz w:val="20"/>
                <w:szCs w:val="20"/>
              </w:rPr>
            </w:pPr>
            <w:proofErr w:type="spellStart"/>
            <w:r w:rsidRPr="00E54EEA">
              <w:rPr>
                <w:color w:val="FFFFFF" w:themeColor="background1"/>
                <w:sz w:val="20"/>
                <w:szCs w:val="20"/>
              </w:rPr>
              <w:t>Programmes</w:t>
            </w:r>
            <w:proofErr w:type="spellEnd"/>
            <w:r w:rsidRPr="00E54EEA">
              <w:rPr>
                <w:color w:val="FFFFFF" w:themeColor="background1"/>
                <w:sz w:val="20"/>
                <w:szCs w:val="20"/>
              </w:rPr>
              <w:t>/</w:t>
            </w:r>
            <w:r w:rsidRPr="00E54EEA">
              <w:rPr>
                <w:color w:val="FFFFFF" w:themeColor="background1"/>
                <w:sz w:val="20"/>
                <w:szCs w:val="20"/>
              </w:rPr>
              <w:br/>
              <w:t>DM/</w:t>
            </w:r>
            <w:proofErr w:type="spellStart"/>
            <w:r w:rsidRPr="00E54EEA">
              <w:rPr>
                <w:color w:val="FFFFFF" w:themeColor="background1"/>
                <w:sz w:val="20"/>
                <w:szCs w:val="20"/>
              </w:rPr>
              <w:t>EcoSec</w:t>
            </w:r>
            <w:proofErr w:type="spellEnd"/>
          </w:p>
        </w:tc>
        <w:tc>
          <w:tcPr>
            <w:tcW w:w="1843" w:type="dxa"/>
            <w:tcBorders>
              <w:bottom w:val="single" w:sz="4" w:space="0" w:color="auto"/>
            </w:tcBorders>
            <w:shd w:val="clear" w:color="auto" w:fill="DC281E"/>
            <w:vAlign w:val="center"/>
          </w:tcPr>
          <w:p w14:paraId="0519FFC9" w14:textId="0D97494A" w:rsidR="00E92C7F" w:rsidRPr="00E54EEA" w:rsidRDefault="0088211A" w:rsidP="0088211A">
            <w:pPr>
              <w:pStyle w:val="Heading3"/>
              <w:spacing w:before="120"/>
              <w:jc w:val="center"/>
              <w:outlineLvl w:val="2"/>
              <w:rPr>
                <w:i/>
                <w:color w:val="FFFFFF" w:themeColor="background1"/>
                <w:sz w:val="20"/>
                <w:szCs w:val="20"/>
              </w:rPr>
            </w:pPr>
            <w:r w:rsidRPr="00E54EEA">
              <w:rPr>
                <w:color w:val="FFFFFF" w:themeColor="background1"/>
                <w:sz w:val="20"/>
                <w:szCs w:val="20"/>
              </w:rPr>
              <w:t>Logistics</w:t>
            </w:r>
          </w:p>
        </w:tc>
        <w:tc>
          <w:tcPr>
            <w:tcW w:w="1842" w:type="dxa"/>
            <w:tcBorders>
              <w:bottom w:val="single" w:sz="4" w:space="0" w:color="auto"/>
            </w:tcBorders>
            <w:shd w:val="clear" w:color="auto" w:fill="DC281E"/>
            <w:vAlign w:val="center"/>
          </w:tcPr>
          <w:p w14:paraId="51766250" w14:textId="7FE35D5E" w:rsidR="00E92C7F" w:rsidRPr="00E54EEA" w:rsidRDefault="0088211A" w:rsidP="0088211A">
            <w:pPr>
              <w:pStyle w:val="Heading3"/>
              <w:spacing w:before="120"/>
              <w:jc w:val="center"/>
              <w:outlineLvl w:val="2"/>
              <w:rPr>
                <w:i/>
                <w:color w:val="FFFFFF" w:themeColor="background1"/>
                <w:sz w:val="20"/>
                <w:szCs w:val="20"/>
              </w:rPr>
            </w:pPr>
            <w:r w:rsidRPr="00E54EEA">
              <w:rPr>
                <w:color w:val="FFFFFF" w:themeColor="background1"/>
                <w:sz w:val="20"/>
                <w:szCs w:val="20"/>
              </w:rPr>
              <w:t>Finance/Admin</w:t>
            </w:r>
          </w:p>
        </w:tc>
        <w:tc>
          <w:tcPr>
            <w:tcW w:w="1808" w:type="dxa"/>
            <w:tcBorders>
              <w:bottom w:val="single" w:sz="4" w:space="0" w:color="auto"/>
            </w:tcBorders>
            <w:shd w:val="clear" w:color="auto" w:fill="DC281E"/>
            <w:vAlign w:val="center"/>
          </w:tcPr>
          <w:p w14:paraId="45A67BEA" w14:textId="639B2CE2" w:rsidR="00E92C7F" w:rsidRPr="00E54EEA" w:rsidRDefault="0088211A" w:rsidP="0088211A">
            <w:pPr>
              <w:pStyle w:val="Heading3"/>
              <w:spacing w:before="120"/>
              <w:jc w:val="center"/>
              <w:outlineLvl w:val="2"/>
              <w:rPr>
                <w:i/>
                <w:color w:val="FFFFFF" w:themeColor="background1"/>
                <w:sz w:val="20"/>
                <w:szCs w:val="20"/>
              </w:rPr>
            </w:pPr>
            <w:r w:rsidRPr="00E54EEA">
              <w:rPr>
                <w:color w:val="FFFFFF" w:themeColor="background1"/>
                <w:sz w:val="20"/>
                <w:szCs w:val="20"/>
              </w:rPr>
              <w:t>Others</w:t>
            </w:r>
          </w:p>
        </w:tc>
      </w:tr>
      <w:tr w:rsidR="0088211A" w:rsidRPr="00E54EEA" w14:paraId="00AAEDAF" w14:textId="77777777" w:rsidTr="005F6C47">
        <w:tc>
          <w:tcPr>
            <w:tcW w:w="2235" w:type="dxa"/>
            <w:shd w:val="clear" w:color="auto" w:fill="A6A6A6"/>
          </w:tcPr>
          <w:p w14:paraId="78A58B2B" w14:textId="4BEB61D5" w:rsidR="0088211A" w:rsidRPr="00E54EEA" w:rsidRDefault="0088211A" w:rsidP="00D61AD7">
            <w:pPr>
              <w:spacing w:before="20" w:after="20"/>
              <w:rPr>
                <w:i/>
              </w:rPr>
            </w:pPr>
            <w:r w:rsidRPr="00E54EEA">
              <w:t>CTP modality selection</w:t>
            </w:r>
          </w:p>
        </w:tc>
        <w:tc>
          <w:tcPr>
            <w:tcW w:w="2126" w:type="dxa"/>
            <w:shd w:val="clear" w:color="auto" w:fill="F3F3F3"/>
          </w:tcPr>
          <w:p w14:paraId="01D8F5EC" w14:textId="77777777" w:rsidR="0088211A" w:rsidRPr="00E54EEA" w:rsidRDefault="0088211A" w:rsidP="00D61AD7">
            <w:pPr>
              <w:spacing w:before="20" w:after="20"/>
              <w:rPr>
                <w:i/>
              </w:rPr>
            </w:pPr>
          </w:p>
        </w:tc>
        <w:tc>
          <w:tcPr>
            <w:tcW w:w="1843" w:type="dxa"/>
            <w:shd w:val="clear" w:color="auto" w:fill="F3F3F3"/>
          </w:tcPr>
          <w:p w14:paraId="7B5F179A" w14:textId="77777777" w:rsidR="0088211A" w:rsidRPr="00E54EEA" w:rsidRDefault="0088211A" w:rsidP="00D61AD7">
            <w:pPr>
              <w:spacing w:before="20" w:after="20"/>
              <w:rPr>
                <w:i/>
              </w:rPr>
            </w:pPr>
          </w:p>
        </w:tc>
        <w:tc>
          <w:tcPr>
            <w:tcW w:w="1842" w:type="dxa"/>
            <w:shd w:val="clear" w:color="auto" w:fill="F3F3F3"/>
          </w:tcPr>
          <w:p w14:paraId="0A1969FC" w14:textId="77777777" w:rsidR="0088211A" w:rsidRPr="00E54EEA" w:rsidRDefault="0088211A" w:rsidP="00D61AD7">
            <w:pPr>
              <w:spacing w:before="20" w:after="20"/>
              <w:rPr>
                <w:i/>
              </w:rPr>
            </w:pPr>
          </w:p>
        </w:tc>
        <w:tc>
          <w:tcPr>
            <w:tcW w:w="1808" w:type="dxa"/>
            <w:shd w:val="clear" w:color="auto" w:fill="F3F3F3"/>
          </w:tcPr>
          <w:p w14:paraId="0C039655" w14:textId="77777777" w:rsidR="0088211A" w:rsidRPr="00E54EEA" w:rsidRDefault="0088211A" w:rsidP="00D61AD7">
            <w:pPr>
              <w:spacing w:before="20" w:after="20"/>
              <w:rPr>
                <w:i/>
              </w:rPr>
            </w:pPr>
          </w:p>
        </w:tc>
      </w:tr>
      <w:tr w:rsidR="0088211A" w:rsidRPr="00E54EEA" w14:paraId="1C594CA3" w14:textId="77777777" w:rsidTr="005F6C47">
        <w:tc>
          <w:tcPr>
            <w:tcW w:w="2235" w:type="dxa"/>
            <w:shd w:val="clear" w:color="auto" w:fill="A6A6A6"/>
          </w:tcPr>
          <w:p w14:paraId="386D0BE5" w14:textId="20150A63" w:rsidR="0088211A" w:rsidRPr="00E54EEA" w:rsidRDefault="0088211A" w:rsidP="00D61AD7">
            <w:pPr>
              <w:spacing w:before="20" w:after="20"/>
              <w:rPr>
                <w:i/>
              </w:rPr>
            </w:pPr>
            <w:r w:rsidRPr="00E54EEA">
              <w:t>Setting the value of the transfer</w:t>
            </w:r>
          </w:p>
        </w:tc>
        <w:tc>
          <w:tcPr>
            <w:tcW w:w="2126" w:type="dxa"/>
            <w:shd w:val="clear" w:color="auto" w:fill="F3F3F3"/>
          </w:tcPr>
          <w:p w14:paraId="4A6E284F" w14:textId="77777777" w:rsidR="0088211A" w:rsidRPr="00E54EEA" w:rsidRDefault="0088211A" w:rsidP="00D61AD7">
            <w:pPr>
              <w:spacing w:before="20" w:after="20"/>
              <w:rPr>
                <w:i/>
              </w:rPr>
            </w:pPr>
          </w:p>
        </w:tc>
        <w:tc>
          <w:tcPr>
            <w:tcW w:w="1843" w:type="dxa"/>
            <w:shd w:val="clear" w:color="auto" w:fill="F3F3F3"/>
          </w:tcPr>
          <w:p w14:paraId="7F0D3503" w14:textId="77777777" w:rsidR="0088211A" w:rsidRPr="00E54EEA" w:rsidRDefault="0088211A" w:rsidP="00D61AD7">
            <w:pPr>
              <w:spacing w:before="20" w:after="20"/>
              <w:rPr>
                <w:i/>
              </w:rPr>
            </w:pPr>
          </w:p>
        </w:tc>
        <w:tc>
          <w:tcPr>
            <w:tcW w:w="1842" w:type="dxa"/>
            <w:shd w:val="clear" w:color="auto" w:fill="F3F3F3"/>
          </w:tcPr>
          <w:p w14:paraId="38B7BDE2" w14:textId="77777777" w:rsidR="0088211A" w:rsidRPr="00E54EEA" w:rsidRDefault="0088211A" w:rsidP="00D61AD7">
            <w:pPr>
              <w:spacing w:before="20" w:after="20"/>
              <w:rPr>
                <w:i/>
              </w:rPr>
            </w:pPr>
          </w:p>
        </w:tc>
        <w:tc>
          <w:tcPr>
            <w:tcW w:w="1808" w:type="dxa"/>
            <w:shd w:val="clear" w:color="auto" w:fill="F3F3F3"/>
          </w:tcPr>
          <w:p w14:paraId="7BFC6270" w14:textId="77777777" w:rsidR="0088211A" w:rsidRPr="00E54EEA" w:rsidRDefault="0088211A" w:rsidP="00D61AD7">
            <w:pPr>
              <w:spacing w:before="20" w:after="20"/>
              <w:rPr>
                <w:i/>
              </w:rPr>
            </w:pPr>
          </w:p>
        </w:tc>
      </w:tr>
      <w:tr w:rsidR="0088211A" w:rsidRPr="00E54EEA" w14:paraId="564802A3" w14:textId="77777777" w:rsidTr="005F6C47">
        <w:tc>
          <w:tcPr>
            <w:tcW w:w="2235" w:type="dxa"/>
            <w:shd w:val="clear" w:color="auto" w:fill="A6A6A6"/>
          </w:tcPr>
          <w:p w14:paraId="28DDDCE9" w14:textId="623C41EB" w:rsidR="0088211A" w:rsidRPr="00E54EEA" w:rsidRDefault="0088211A" w:rsidP="00D61AD7">
            <w:pPr>
              <w:spacing w:before="20" w:after="20"/>
              <w:rPr>
                <w:i/>
              </w:rPr>
            </w:pPr>
            <w:r w:rsidRPr="00E54EEA">
              <w:t>Market assessment</w:t>
            </w:r>
          </w:p>
        </w:tc>
        <w:tc>
          <w:tcPr>
            <w:tcW w:w="2126" w:type="dxa"/>
            <w:shd w:val="clear" w:color="auto" w:fill="F3F3F3"/>
          </w:tcPr>
          <w:p w14:paraId="6270AC5C" w14:textId="77777777" w:rsidR="0088211A" w:rsidRPr="00E54EEA" w:rsidRDefault="0088211A" w:rsidP="00D61AD7">
            <w:pPr>
              <w:spacing w:before="20" w:after="20"/>
              <w:rPr>
                <w:i/>
              </w:rPr>
            </w:pPr>
          </w:p>
        </w:tc>
        <w:tc>
          <w:tcPr>
            <w:tcW w:w="1843" w:type="dxa"/>
            <w:shd w:val="clear" w:color="auto" w:fill="F3F3F3"/>
          </w:tcPr>
          <w:p w14:paraId="17913DD6" w14:textId="77777777" w:rsidR="0088211A" w:rsidRPr="00E54EEA" w:rsidRDefault="0088211A" w:rsidP="00D61AD7">
            <w:pPr>
              <w:spacing w:before="20" w:after="20"/>
              <w:rPr>
                <w:i/>
              </w:rPr>
            </w:pPr>
          </w:p>
        </w:tc>
        <w:tc>
          <w:tcPr>
            <w:tcW w:w="1842" w:type="dxa"/>
            <w:shd w:val="clear" w:color="auto" w:fill="F3F3F3"/>
          </w:tcPr>
          <w:p w14:paraId="39FDEA3F" w14:textId="77777777" w:rsidR="0088211A" w:rsidRPr="00E54EEA" w:rsidRDefault="0088211A" w:rsidP="00D61AD7">
            <w:pPr>
              <w:spacing w:before="20" w:after="20"/>
              <w:rPr>
                <w:i/>
              </w:rPr>
            </w:pPr>
          </w:p>
        </w:tc>
        <w:tc>
          <w:tcPr>
            <w:tcW w:w="1808" w:type="dxa"/>
            <w:shd w:val="clear" w:color="auto" w:fill="F3F3F3"/>
          </w:tcPr>
          <w:p w14:paraId="5D1052DE" w14:textId="77777777" w:rsidR="0088211A" w:rsidRPr="00E54EEA" w:rsidRDefault="0088211A" w:rsidP="00D61AD7">
            <w:pPr>
              <w:spacing w:before="20" w:after="20"/>
              <w:rPr>
                <w:i/>
              </w:rPr>
            </w:pPr>
          </w:p>
        </w:tc>
      </w:tr>
      <w:tr w:rsidR="0088211A" w:rsidRPr="00E54EEA" w14:paraId="35F9425C" w14:textId="77777777" w:rsidTr="005F6C47">
        <w:tc>
          <w:tcPr>
            <w:tcW w:w="2235" w:type="dxa"/>
            <w:shd w:val="clear" w:color="auto" w:fill="A6A6A6"/>
          </w:tcPr>
          <w:p w14:paraId="239A07F3" w14:textId="3CB9B8ED" w:rsidR="0088211A" w:rsidRPr="00E54EEA" w:rsidRDefault="0088211A" w:rsidP="00D61AD7">
            <w:pPr>
              <w:spacing w:before="20" w:after="20"/>
              <w:rPr>
                <w:i/>
              </w:rPr>
            </w:pPr>
            <w:r w:rsidRPr="00E54EEA">
              <w:t>Service provider selection</w:t>
            </w:r>
          </w:p>
        </w:tc>
        <w:tc>
          <w:tcPr>
            <w:tcW w:w="2126" w:type="dxa"/>
            <w:shd w:val="clear" w:color="auto" w:fill="F3F3F3"/>
          </w:tcPr>
          <w:p w14:paraId="672FBBDC" w14:textId="77777777" w:rsidR="0088211A" w:rsidRPr="00E54EEA" w:rsidRDefault="0088211A" w:rsidP="00D61AD7">
            <w:pPr>
              <w:spacing w:before="20" w:after="20"/>
              <w:rPr>
                <w:i/>
              </w:rPr>
            </w:pPr>
          </w:p>
        </w:tc>
        <w:tc>
          <w:tcPr>
            <w:tcW w:w="1843" w:type="dxa"/>
            <w:shd w:val="clear" w:color="auto" w:fill="F3F3F3"/>
          </w:tcPr>
          <w:p w14:paraId="2D46C4CF" w14:textId="77777777" w:rsidR="0088211A" w:rsidRPr="00E54EEA" w:rsidRDefault="0088211A" w:rsidP="00D61AD7">
            <w:pPr>
              <w:spacing w:before="20" w:after="20"/>
              <w:rPr>
                <w:i/>
              </w:rPr>
            </w:pPr>
          </w:p>
        </w:tc>
        <w:tc>
          <w:tcPr>
            <w:tcW w:w="1842" w:type="dxa"/>
            <w:shd w:val="clear" w:color="auto" w:fill="F3F3F3"/>
          </w:tcPr>
          <w:p w14:paraId="0EF90388" w14:textId="77777777" w:rsidR="0088211A" w:rsidRPr="00E54EEA" w:rsidRDefault="0088211A" w:rsidP="00D61AD7">
            <w:pPr>
              <w:spacing w:before="20" w:after="20"/>
              <w:rPr>
                <w:i/>
              </w:rPr>
            </w:pPr>
          </w:p>
        </w:tc>
        <w:tc>
          <w:tcPr>
            <w:tcW w:w="1808" w:type="dxa"/>
            <w:shd w:val="clear" w:color="auto" w:fill="F3F3F3"/>
          </w:tcPr>
          <w:p w14:paraId="02093314" w14:textId="77777777" w:rsidR="0088211A" w:rsidRPr="00E54EEA" w:rsidRDefault="0088211A" w:rsidP="00D61AD7">
            <w:pPr>
              <w:spacing w:before="20" w:after="20"/>
              <w:rPr>
                <w:i/>
              </w:rPr>
            </w:pPr>
          </w:p>
        </w:tc>
      </w:tr>
      <w:tr w:rsidR="0088211A" w:rsidRPr="00E54EEA" w14:paraId="14FEA3D9" w14:textId="77777777" w:rsidTr="005F6C47">
        <w:tc>
          <w:tcPr>
            <w:tcW w:w="2235" w:type="dxa"/>
            <w:shd w:val="clear" w:color="auto" w:fill="A6A6A6"/>
          </w:tcPr>
          <w:p w14:paraId="367390D3" w14:textId="3BF82CCC" w:rsidR="0088211A" w:rsidRPr="00E54EEA" w:rsidRDefault="0088211A" w:rsidP="00D61AD7">
            <w:pPr>
              <w:spacing w:before="20" w:after="20"/>
              <w:rPr>
                <w:i/>
              </w:rPr>
            </w:pPr>
            <w:r w:rsidRPr="00E54EEA">
              <w:t>Risk audit</w:t>
            </w:r>
          </w:p>
        </w:tc>
        <w:tc>
          <w:tcPr>
            <w:tcW w:w="2126" w:type="dxa"/>
            <w:shd w:val="clear" w:color="auto" w:fill="F3F3F3"/>
          </w:tcPr>
          <w:p w14:paraId="0A87D17D" w14:textId="77777777" w:rsidR="0088211A" w:rsidRPr="00E54EEA" w:rsidRDefault="0088211A" w:rsidP="00D61AD7">
            <w:pPr>
              <w:spacing w:before="20" w:after="20"/>
              <w:rPr>
                <w:i/>
              </w:rPr>
            </w:pPr>
          </w:p>
        </w:tc>
        <w:tc>
          <w:tcPr>
            <w:tcW w:w="1843" w:type="dxa"/>
            <w:shd w:val="clear" w:color="auto" w:fill="F3F3F3"/>
          </w:tcPr>
          <w:p w14:paraId="177C4BEE" w14:textId="77777777" w:rsidR="0088211A" w:rsidRPr="00E54EEA" w:rsidRDefault="0088211A" w:rsidP="00D61AD7">
            <w:pPr>
              <w:spacing w:before="20" w:after="20"/>
              <w:rPr>
                <w:i/>
              </w:rPr>
            </w:pPr>
          </w:p>
        </w:tc>
        <w:tc>
          <w:tcPr>
            <w:tcW w:w="1842" w:type="dxa"/>
            <w:shd w:val="clear" w:color="auto" w:fill="F3F3F3"/>
          </w:tcPr>
          <w:p w14:paraId="1679A0B0" w14:textId="77777777" w:rsidR="0088211A" w:rsidRPr="00E54EEA" w:rsidRDefault="0088211A" w:rsidP="00D61AD7">
            <w:pPr>
              <w:spacing w:before="20" w:after="20"/>
              <w:rPr>
                <w:i/>
              </w:rPr>
            </w:pPr>
          </w:p>
        </w:tc>
        <w:tc>
          <w:tcPr>
            <w:tcW w:w="1808" w:type="dxa"/>
            <w:shd w:val="clear" w:color="auto" w:fill="F3F3F3"/>
          </w:tcPr>
          <w:p w14:paraId="53162E64" w14:textId="77777777" w:rsidR="0088211A" w:rsidRPr="00E54EEA" w:rsidRDefault="0088211A" w:rsidP="00D61AD7">
            <w:pPr>
              <w:spacing w:before="20" w:after="20"/>
              <w:rPr>
                <w:i/>
              </w:rPr>
            </w:pPr>
          </w:p>
        </w:tc>
      </w:tr>
      <w:tr w:rsidR="0088211A" w:rsidRPr="00E54EEA" w14:paraId="0E85D942" w14:textId="77777777" w:rsidTr="005F6C47">
        <w:tc>
          <w:tcPr>
            <w:tcW w:w="2235" w:type="dxa"/>
            <w:shd w:val="clear" w:color="auto" w:fill="A6A6A6"/>
          </w:tcPr>
          <w:p w14:paraId="07E0766E" w14:textId="3ADB59A3" w:rsidR="0088211A" w:rsidRPr="00E54EEA" w:rsidRDefault="0088211A" w:rsidP="00D61AD7">
            <w:pPr>
              <w:spacing w:before="20" w:after="20"/>
              <w:rPr>
                <w:i/>
              </w:rPr>
            </w:pPr>
            <w:r w:rsidRPr="00E54EEA">
              <w:t>Beneficiary registration</w:t>
            </w:r>
          </w:p>
        </w:tc>
        <w:tc>
          <w:tcPr>
            <w:tcW w:w="2126" w:type="dxa"/>
            <w:shd w:val="clear" w:color="auto" w:fill="F3F3F3"/>
          </w:tcPr>
          <w:p w14:paraId="492C0F16" w14:textId="77777777" w:rsidR="0088211A" w:rsidRPr="00E54EEA" w:rsidRDefault="0088211A" w:rsidP="00D61AD7">
            <w:pPr>
              <w:spacing w:before="20" w:after="20"/>
              <w:rPr>
                <w:i/>
              </w:rPr>
            </w:pPr>
          </w:p>
        </w:tc>
        <w:tc>
          <w:tcPr>
            <w:tcW w:w="1843" w:type="dxa"/>
            <w:shd w:val="clear" w:color="auto" w:fill="F3F3F3"/>
          </w:tcPr>
          <w:p w14:paraId="3A4B9084" w14:textId="77777777" w:rsidR="0088211A" w:rsidRPr="00E54EEA" w:rsidRDefault="0088211A" w:rsidP="00D61AD7">
            <w:pPr>
              <w:spacing w:before="20" w:after="20"/>
              <w:rPr>
                <w:i/>
              </w:rPr>
            </w:pPr>
          </w:p>
        </w:tc>
        <w:tc>
          <w:tcPr>
            <w:tcW w:w="1842" w:type="dxa"/>
            <w:shd w:val="clear" w:color="auto" w:fill="F3F3F3"/>
          </w:tcPr>
          <w:p w14:paraId="7FF3E367" w14:textId="77777777" w:rsidR="0088211A" w:rsidRPr="00E54EEA" w:rsidRDefault="0088211A" w:rsidP="00D61AD7">
            <w:pPr>
              <w:spacing w:before="20" w:after="20"/>
              <w:rPr>
                <w:i/>
              </w:rPr>
            </w:pPr>
          </w:p>
        </w:tc>
        <w:tc>
          <w:tcPr>
            <w:tcW w:w="1808" w:type="dxa"/>
            <w:shd w:val="clear" w:color="auto" w:fill="F3F3F3"/>
          </w:tcPr>
          <w:p w14:paraId="4A67E340" w14:textId="77777777" w:rsidR="0088211A" w:rsidRPr="00E54EEA" w:rsidRDefault="0088211A" w:rsidP="00D61AD7">
            <w:pPr>
              <w:spacing w:before="20" w:after="20"/>
              <w:rPr>
                <w:i/>
              </w:rPr>
            </w:pPr>
          </w:p>
        </w:tc>
      </w:tr>
      <w:tr w:rsidR="0088211A" w:rsidRPr="00E54EEA" w14:paraId="195FC3E9" w14:textId="77777777" w:rsidTr="005F6C47">
        <w:tc>
          <w:tcPr>
            <w:tcW w:w="2235" w:type="dxa"/>
            <w:shd w:val="clear" w:color="auto" w:fill="A6A6A6"/>
          </w:tcPr>
          <w:p w14:paraId="3FEC65A2" w14:textId="0C0A9FA7" w:rsidR="0088211A" w:rsidRPr="00E54EEA" w:rsidRDefault="0088211A" w:rsidP="00D61AD7">
            <w:pPr>
              <w:spacing w:before="20" w:after="20"/>
              <w:rPr>
                <w:i/>
              </w:rPr>
            </w:pPr>
            <w:r w:rsidRPr="00E54EEA">
              <w:t>Contracting of third parties</w:t>
            </w:r>
          </w:p>
        </w:tc>
        <w:tc>
          <w:tcPr>
            <w:tcW w:w="2126" w:type="dxa"/>
            <w:shd w:val="clear" w:color="auto" w:fill="F3F3F3"/>
          </w:tcPr>
          <w:p w14:paraId="6B03DB94" w14:textId="77777777" w:rsidR="0088211A" w:rsidRPr="00E54EEA" w:rsidRDefault="0088211A" w:rsidP="00D61AD7">
            <w:pPr>
              <w:spacing w:before="20" w:after="20"/>
              <w:rPr>
                <w:i/>
              </w:rPr>
            </w:pPr>
          </w:p>
        </w:tc>
        <w:tc>
          <w:tcPr>
            <w:tcW w:w="1843" w:type="dxa"/>
            <w:shd w:val="clear" w:color="auto" w:fill="F3F3F3"/>
          </w:tcPr>
          <w:p w14:paraId="0E0BB3E8" w14:textId="77777777" w:rsidR="0088211A" w:rsidRPr="00E54EEA" w:rsidRDefault="0088211A" w:rsidP="00D61AD7">
            <w:pPr>
              <w:spacing w:before="20" w:after="20"/>
              <w:rPr>
                <w:i/>
              </w:rPr>
            </w:pPr>
          </w:p>
        </w:tc>
        <w:tc>
          <w:tcPr>
            <w:tcW w:w="1842" w:type="dxa"/>
            <w:shd w:val="clear" w:color="auto" w:fill="F3F3F3"/>
          </w:tcPr>
          <w:p w14:paraId="72017769" w14:textId="77777777" w:rsidR="0088211A" w:rsidRPr="00E54EEA" w:rsidRDefault="0088211A" w:rsidP="00D61AD7">
            <w:pPr>
              <w:spacing w:before="20" w:after="20"/>
              <w:rPr>
                <w:i/>
              </w:rPr>
            </w:pPr>
          </w:p>
        </w:tc>
        <w:tc>
          <w:tcPr>
            <w:tcW w:w="1808" w:type="dxa"/>
            <w:shd w:val="clear" w:color="auto" w:fill="F3F3F3"/>
          </w:tcPr>
          <w:p w14:paraId="3D4EF6D3" w14:textId="77777777" w:rsidR="0088211A" w:rsidRPr="00E54EEA" w:rsidRDefault="0088211A" w:rsidP="00D61AD7">
            <w:pPr>
              <w:spacing w:before="20" w:after="20"/>
              <w:rPr>
                <w:i/>
              </w:rPr>
            </w:pPr>
          </w:p>
        </w:tc>
      </w:tr>
      <w:tr w:rsidR="0088211A" w:rsidRPr="00E54EEA" w14:paraId="5FD83255" w14:textId="77777777" w:rsidTr="005F6C47">
        <w:tc>
          <w:tcPr>
            <w:tcW w:w="2235" w:type="dxa"/>
            <w:shd w:val="clear" w:color="auto" w:fill="A6A6A6"/>
          </w:tcPr>
          <w:p w14:paraId="36186974" w14:textId="0E9B908E" w:rsidR="0088211A" w:rsidRPr="00E54EEA" w:rsidRDefault="0088211A" w:rsidP="00D61AD7">
            <w:pPr>
              <w:spacing w:before="20" w:after="20"/>
              <w:rPr>
                <w:i/>
              </w:rPr>
            </w:pPr>
            <w:r w:rsidRPr="00E54EEA">
              <w:t>Validation of transfers to beneficiaries</w:t>
            </w:r>
          </w:p>
        </w:tc>
        <w:tc>
          <w:tcPr>
            <w:tcW w:w="2126" w:type="dxa"/>
            <w:shd w:val="clear" w:color="auto" w:fill="F3F3F3"/>
          </w:tcPr>
          <w:p w14:paraId="619249FA" w14:textId="77777777" w:rsidR="0088211A" w:rsidRPr="00E54EEA" w:rsidRDefault="0088211A" w:rsidP="00D61AD7">
            <w:pPr>
              <w:spacing w:before="20" w:after="20"/>
              <w:rPr>
                <w:i/>
              </w:rPr>
            </w:pPr>
          </w:p>
        </w:tc>
        <w:tc>
          <w:tcPr>
            <w:tcW w:w="1843" w:type="dxa"/>
            <w:shd w:val="clear" w:color="auto" w:fill="F3F3F3"/>
          </w:tcPr>
          <w:p w14:paraId="442CD68F" w14:textId="77777777" w:rsidR="0088211A" w:rsidRPr="00E54EEA" w:rsidRDefault="0088211A" w:rsidP="00D61AD7">
            <w:pPr>
              <w:spacing w:before="20" w:after="20"/>
              <w:rPr>
                <w:i/>
              </w:rPr>
            </w:pPr>
          </w:p>
        </w:tc>
        <w:tc>
          <w:tcPr>
            <w:tcW w:w="1842" w:type="dxa"/>
            <w:shd w:val="clear" w:color="auto" w:fill="F3F3F3"/>
          </w:tcPr>
          <w:p w14:paraId="07300485" w14:textId="77777777" w:rsidR="0088211A" w:rsidRPr="00E54EEA" w:rsidRDefault="0088211A" w:rsidP="00D61AD7">
            <w:pPr>
              <w:spacing w:before="20" w:after="20"/>
              <w:rPr>
                <w:i/>
              </w:rPr>
            </w:pPr>
          </w:p>
        </w:tc>
        <w:tc>
          <w:tcPr>
            <w:tcW w:w="1808" w:type="dxa"/>
            <w:shd w:val="clear" w:color="auto" w:fill="F3F3F3"/>
          </w:tcPr>
          <w:p w14:paraId="582A0A41" w14:textId="77777777" w:rsidR="0088211A" w:rsidRPr="00E54EEA" w:rsidRDefault="0088211A" w:rsidP="00D61AD7">
            <w:pPr>
              <w:spacing w:before="20" w:after="20"/>
              <w:rPr>
                <w:i/>
              </w:rPr>
            </w:pPr>
          </w:p>
        </w:tc>
      </w:tr>
      <w:tr w:rsidR="0088211A" w:rsidRPr="00E54EEA" w14:paraId="4175FFCB" w14:textId="77777777" w:rsidTr="005F6C47">
        <w:tc>
          <w:tcPr>
            <w:tcW w:w="2235" w:type="dxa"/>
            <w:shd w:val="clear" w:color="auto" w:fill="A6A6A6"/>
          </w:tcPr>
          <w:p w14:paraId="040FD51A" w14:textId="0105449F" w:rsidR="0088211A" w:rsidRPr="00E54EEA" w:rsidRDefault="0088211A" w:rsidP="00D61AD7">
            <w:pPr>
              <w:spacing w:before="20" w:after="20"/>
              <w:rPr>
                <w:i/>
              </w:rPr>
            </w:pPr>
            <w:r w:rsidRPr="00E54EEA">
              <w:t>Reconciliation of transfers</w:t>
            </w:r>
          </w:p>
        </w:tc>
        <w:tc>
          <w:tcPr>
            <w:tcW w:w="2126" w:type="dxa"/>
            <w:shd w:val="clear" w:color="auto" w:fill="F3F3F3"/>
          </w:tcPr>
          <w:p w14:paraId="6E6F0156" w14:textId="77777777" w:rsidR="0088211A" w:rsidRPr="00E54EEA" w:rsidRDefault="0088211A" w:rsidP="00D61AD7">
            <w:pPr>
              <w:spacing w:before="20" w:after="20"/>
              <w:rPr>
                <w:i/>
              </w:rPr>
            </w:pPr>
          </w:p>
        </w:tc>
        <w:tc>
          <w:tcPr>
            <w:tcW w:w="1843" w:type="dxa"/>
            <w:shd w:val="clear" w:color="auto" w:fill="F3F3F3"/>
          </w:tcPr>
          <w:p w14:paraId="3393379B" w14:textId="77777777" w:rsidR="0088211A" w:rsidRPr="00E54EEA" w:rsidRDefault="0088211A" w:rsidP="00D61AD7">
            <w:pPr>
              <w:spacing w:before="20" w:after="20"/>
              <w:rPr>
                <w:i/>
              </w:rPr>
            </w:pPr>
          </w:p>
        </w:tc>
        <w:tc>
          <w:tcPr>
            <w:tcW w:w="1842" w:type="dxa"/>
            <w:shd w:val="clear" w:color="auto" w:fill="F3F3F3"/>
          </w:tcPr>
          <w:p w14:paraId="31C8F66C" w14:textId="77777777" w:rsidR="0088211A" w:rsidRPr="00E54EEA" w:rsidRDefault="0088211A" w:rsidP="00D61AD7">
            <w:pPr>
              <w:spacing w:before="20" w:after="20"/>
              <w:rPr>
                <w:i/>
              </w:rPr>
            </w:pPr>
          </w:p>
        </w:tc>
        <w:tc>
          <w:tcPr>
            <w:tcW w:w="1808" w:type="dxa"/>
            <w:shd w:val="clear" w:color="auto" w:fill="F3F3F3"/>
          </w:tcPr>
          <w:p w14:paraId="05A26128" w14:textId="77777777" w:rsidR="0088211A" w:rsidRPr="00E54EEA" w:rsidRDefault="0088211A" w:rsidP="00D61AD7">
            <w:pPr>
              <w:spacing w:before="20" w:after="20"/>
              <w:rPr>
                <w:i/>
              </w:rPr>
            </w:pPr>
          </w:p>
        </w:tc>
      </w:tr>
      <w:tr w:rsidR="0088211A" w:rsidRPr="00E54EEA" w14:paraId="58BB220A" w14:textId="77777777" w:rsidTr="005F6C47">
        <w:tc>
          <w:tcPr>
            <w:tcW w:w="2235" w:type="dxa"/>
            <w:shd w:val="clear" w:color="auto" w:fill="A6A6A6"/>
          </w:tcPr>
          <w:p w14:paraId="66E2D46D" w14:textId="4226419B" w:rsidR="0088211A" w:rsidRPr="00E54EEA" w:rsidRDefault="0088211A" w:rsidP="00D61AD7">
            <w:pPr>
              <w:spacing w:before="20" w:after="20"/>
              <w:rPr>
                <w:i/>
              </w:rPr>
            </w:pPr>
            <w:r w:rsidRPr="00E54EEA">
              <w:t>Follow-up of feedback and response mechanism</w:t>
            </w:r>
          </w:p>
        </w:tc>
        <w:tc>
          <w:tcPr>
            <w:tcW w:w="2126" w:type="dxa"/>
            <w:shd w:val="clear" w:color="auto" w:fill="F3F3F3"/>
          </w:tcPr>
          <w:p w14:paraId="26FC56F4" w14:textId="77777777" w:rsidR="0088211A" w:rsidRPr="00E54EEA" w:rsidRDefault="0088211A" w:rsidP="00D61AD7">
            <w:pPr>
              <w:spacing w:before="20" w:after="20"/>
              <w:rPr>
                <w:i/>
              </w:rPr>
            </w:pPr>
          </w:p>
        </w:tc>
        <w:tc>
          <w:tcPr>
            <w:tcW w:w="1843" w:type="dxa"/>
            <w:shd w:val="clear" w:color="auto" w:fill="F3F3F3"/>
          </w:tcPr>
          <w:p w14:paraId="39A0A40F" w14:textId="77777777" w:rsidR="0088211A" w:rsidRPr="00E54EEA" w:rsidRDefault="0088211A" w:rsidP="00D61AD7">
            <w:pPr>
              <w:spacing w:before="20" w:after="20"/>
              <w:rPr>
                <w:i/>
              </w:rPr>
            </w:pPr>
          </w:p>
        </w:tc>
        <w:tc>
          <w:tcPr>
            <w:tcW w:w="1842" w:type="dxa"/>
            <w:shd w:val="clear" w:color="auto" w:fill="F3F3F3"/>
          </w:tcPr>
          <w:p w14:paraId="62C2AFFC" w14:textId="77777777" w:rsidR="0088211A" w:rsidRPr="00E54EEA" w:rsidRDefault="0088211A" w:rsidP="00D61AD7">
            <w:pPr>
              <w:spacing w:before="20" w:after="20"/>
              <w:rPr>
                <w:i/>
              </w:rPr>
            </w:pPr>
          </w:p>
        </w:tc>
        <w:tc>
          <w:tcPr>
            <w:tcW w:w="1808" w:type="dxa"/>
            <w:shd w:val="clear" w:color="auto" w:fill="F3F3F3"/>
          </w:tcPr>
          <w:p w14:paraId="61E63CE6" w14:textId="77777777" w:rsidR="0088211A" w:rsidRPr="00E54EEA" w:rsidRDefault="0088211A" w:rsidP="00D61AD7">
            <w:pPr>
              <w:spacing w:before="20" w:after="20"/>
              <w:rPr>
                <w:i/>
              </w:rPr>
            </w:pPr>
          </w:p>
        </w:tc>
      </w:tr>
      <w:tr w:rsidR="0088211A" w:rsidRPr="00E54EEA" w14:paraId="6E7A80AF" w14:textId="77777777" w:rsidTr="005F6C47">
        <w:tc>
          <w:tcPr>
            <w:tcW w:w="2235" w:type="dxa"/>
            <w:shd w:val="clear" w:color="auto" w:fill="A6A6A6"/>
          </w:tcPr>
          <w:p w14:paraId="1E15B559" w14:textId="50AFB9D7" w:rsidR="0088211A" w:rsidRPr="00E54EEA" w:rsidRDefault="0088211A" w:rsidP="00D61AD7">
            <w:pPr>
              <w:spacing w:before="20" w:after="20"/>
              <w:rPr>
                <w:i/>
              </w:rPr>
            </w:pPr>
            <w:r w:rsidRPr="00E54EEA">
              <w:t>Market price monitoring</w:t>
            </w:r>
          </w:p>
        </w:tc>
        <w:tc>
          <w:tcPr>
            <w:tcW w:w="2126" w:type="dxa"/>
            <w:shd w:val="clear" w:color="auto" w:fill="F3F3F3"/>
          </w:tcPr>
          <w:p w14:paraId="41DAD765" w14:textId="77777777" w:rsidR="0088211A" w:rsidRPr="00E54EEA" w:rsidRDefault="0088211A" w:rsidP="00D61AD7">
            <w:pPr>
              <w:spacing w:before="20" w:after="20"/>
              <w:rPr>
                <w:i/>
              </w:rPr>
            </w:pPr>
          </w:p>
        </w:tc>
        <w:tc>
          <w:tcPr>
            <w:tcW w:w="1843" w:type="dxa"/>
            <w:shd w:val="clear" w:color="auto" w:fill="F3F3F3"/>
          </w:tcPr>
          <w:p w14:paraId="03862326" w14:textId="77777777" w:rsidR="0088211A" w:rsidRPr="00E54EEA" w:rsidRDefault="0088211A" w:rsidP="00D61AD7">
            <w:pPr>
              <w:spacing w:before="20" w:after="20"/>
              <w:rPr>
                <w:i/>
              </w:rPr>
            </w:pPr>
          </w:p>
        </w:tc>
        <w:tc>
          <w:tcPr>
            <w:tcW w:w="1842" w:type="dxa"/>
            <w:shd w:val="clear" w:color="auto" w:fill="F3F3F3"/>
          </w:tcPr>
          <w:p w14:paraId="4BFF1A08" w14:textId="77777777" w:rsidR="0088211A" w:rsidRPr="00E54EEA" w:rsidRDefault="0088211A" w:rsidP="00D61AD7">
            <w:pPr>
              <w:spacing w:before="20" w:after="20"/>
              <w:rPr>
                <w:i/>
              </w:rPr>
            </w:pPr>
          </w:p>
        </w:tc>
        <w:tc>
          <w:tcPr>
            <w:tcW w:w="1808" w:type="dxa"/>
            <w:shd w:val="clear" w:color="auto" w:fill="F3F3F3"/>
          </w:tcPr>
          <w:p w14:paraId="14968BB6" w14:textId="77777777" w:rsidR="0088211A" w:rsidRPr="00E54EEA" w:rsidRDefault="0088211A" w:rsidP="00D61AD7">
            <w:pPr>
              <w:spacing w:before="20" w:after="20"/>
              <w:rPr>
                <w:i/>
              </w:rPr>
            </w:pPr>
          </w:p>
        </w:tc>
      </w:tr>
      <w:tr w:rsidR="0088211A" w:rsidRPr="00E54EEA" w14:paraId="1D1019DE" w14:textId="77777777" w:rsidTr="005F6C47">
        <w:tc>
          <w:tcPr>
            <w:tcW w:w="2235" w:type="dxa"/>
            <w:shd w:val="clear" w:color="auto" w:fill="A6A6A6"/>
          </w:tcPr>
          <w:p w14:paraId="6CA7A2EC" w14:textId="00794CF1" w:rsidR="0088211A" w:rsidRPr="00E54EEA" w:rsidRDefault="0088211A" w:rsidP="00D61AD7">
            <w:pPr>
              <w:spacing w:before="20" w:after="20"/>
              <w:rPr>
                <w:i/>
              </w:rPr>
            </w:pPr>
            <w:r w:rsidRPr="00E54EEA">
              <w:t>Other</w:t>
            </w:r>
          </w:p>
        </w:tc>
        <w:tc>
          <w:tcPr>
            <w:tcW w:w="2126" w:type="dxa"/>
            <w:shd w:val="clear" w:color="auto" w:fill="F3F3F3"/>
          </w:tcPr>
          <w:p w14:paraId="76222068" w14:textId="77777777" w:rsidR="0088211A" w:rsidRPr="00E54EEA" w:rsidRDefault="0088211A" w:rsidP="00D61AD7">
            <w:pPr>
              <w:spacing w:before="20" w:after="20"/>
              <w:rPr>
                <w:i/>
              </w:rPr>
            </w:pPr>
          </w:p>
        </w:tc>
        <w:tc>
          <w:tcPr>
            <w:tcW w:w="1843" w:type="dxa"/>
            <w:shd w:val="clear" w:color="auto" w:fill="F3F3F3"/>
          </w:tcPr>
          <w:p w14:paraId="16422C8C" w14:textId="77777777" w:rsidR="0088211A" w:rsidRPr="00E54EEA" w:rsidRDefault="0088211A" w:rsidP="00D61AD7">
            <w:pPr>
              <w:spacing w:before="20" w:after="20"/>
              <w:rPr>
                <w:i/>
              </w:rPr>
            </w:pPr>
          </w:p>
        </w:tc>
        <w:tc>
          <w:tcPr>
            <w:tcW w:w="1842" w:type="dxa"/>
            <w:shd w:val="clear" w:color="auto" w:fill="F3F3F3"/>
          </w:tcPr>
          <w:p w14:paraId="03B3A698" w14:textId="77777777" w:rsidR="0088211A" w:rsidRPr="00E54EEA" w:rsidRDefault="0088211A" w:rsidP="00D61AD7">
            <w:pPr>
              <w:spacing w:before="20" w:after="20"/>
              <w:rPr>
                <w:i/>
              </w:rPr>
            </w:pPr>
          </w:p>
        </w:tc>
        <w:tc>
          <w:tcPr>
            <w:tcW w:w="1808" w:type="dxa"/>
            <w:shd w:val="clear" w:color="auto" w:fill="F3F3F3"/>
          </w:tcPr>
          <w:p w14:paraId="1E0ABD62" w14:textId="77777777" w:rsidR="0088211A" w:rsidRPr="00E54EEA" w:rsidRDefault="0088211A" w:rsidP="00D61AD7">
            <w:pPr>
              <w:spacing w:before="20" w:after="20"/>
              <w:rPr>
                <w:i/>
              </w:rPr>
            </w:pPr>
          </w:p>
        </w:tc>
      </w:tr>
    </w:tbl>
    <w:p w14:paraId="11C4ABF3" w14:textId="77777777" w:rsidR="00996396" w:rsidRPr="00E54EEA" w:rsidRDefault="00996396" w:rsidP="00D76C8D">
      <w:pPr>
        <w:pStyle w:val="Heading3"/>
        <w:keepLines/>
      </w:pPr>
      <w:r w:rsidRPr="00E54EEA">
        <w:t>Cash transfers using traders (commodity and/or cash vouchers)</w:t>
      </w:r>
    </w:p>
    <w:p w14:paraId="03BBA9FA" w14:textId="77777777" w:rsidR="00996396" w:rsidRPr="00E54EEA" w:rsidRDefault="00996396" w:rsidP="00D76C8D">
      <w:pPr>
        <w:keepNext/>
        <w:keepLines/>
        <w:rPr>
          <w:i/>
        </w:rPr>
      </w:pPr>
      <w:r w:rsidRPr="00E54EEA">
        <w:rPr>
          <w:i/>
        </w:rPr>
        <w:t>List the main functions that different departments will have when implementing CTP.</w:t>
      </w:r>
    </w:p>
    <w:p w14:paraId="51747E83" w14:textId="77777777" w:rsidR="00996396" w:rsidRPr="00E54EEA" w:rsidRDefault="00996396" w:rsidP="00D76C8D">
      <w:pPr>
        <w:keepNext/>
        <w:keepLines/>
        <w:rPr>
          <w:i/>
        </w:rPr>
      </w:pPr>
      <w:r w:rsidRPr="00E54EEA">
        <w:rPr>
          <w:i/>
        </w:rPr>
        <w:t xml:space="preserve">Add columns if additional actors are identified. A more complete version of this can be provided in the annex in table format (see ICRC and IFRC SOPs for examples of diagram formats). </w:t>
      </w:r>
    </w:p>
    <w:p w14:paraId="7D26453F" w14:textId="77777777" w:rsidR="00996396" w:rsidRPr="00E54EEA" w:rsidRDefault="00996396" w:rsidP="00D76C8D">
      <w:pPr>
        <w:keepNext/>
        <w:keepLines/>
        <w:rPr>
          <w:i/>
        </w:rPr>
      </w:pPr>
      <w:r w:rsidRPr="00E54EEA">
        <w:rPr>
          <w:i/>
        </w:rPr>
        <w:t>Add to and adapt the main functions listed below to suit your context</w:t>
      </w:r>
    </w:p>
    <w:tbl>
      <w:tblPr>
        <w:tblStyle w:val="TableGrid"/>
        <w:tblW w:w="0" w:type="auto"/>
        <w:tblLook w:val="04A0" w:firstRow="1" w:lastRow="0" w:firstColumn="1" w:lastColumn="0" w:noHBand="0" w:noVBand="1"/>
      </w:tblPr>
      <w:tblGrid>
        <w:gridCol w:w="2235"/>
        <w:gridCol w:w="2126"/>
        <w:gridCol w:w="1843"/>
        <w:gridCol w:w="1842"/>
        <w:gridCol w:w="1808"/>
      </w:tblGrid>
      <w:tr w:rsidR="005941D5" w:rsidRPr="00E54EEA" w14:paraId="139BAE15" w14:textId="77777777" w:rsidTr="005F6C47">
        <w:trPr>
          <w:cantSplit/>
          <w:tblHeader/>
        </w:trPr>
        <w:tc>
          <w:tcPr>
            <w:tcW w:w="2235" w:type="dxa"/>
            <w:tcBorders>
              <w:bottom w:val="single" w:sz="4" w:space="0" w:color="auto"/>
            </w:tcBorders>
            <w:shd w:val="clear" w:color="auto" w:fill="DC281E"/>
            <w:vAlign w:val="center"/>
          </w:tcPr>
          <w:p w14:paraId="4EBA41B9"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Main function</w:t>
            </w:r>
          </w:p>
        </w:tc>
        <w:tc>
          <w:tcPr>
            <w:tcW w:w="2126" w:type="dxa"/>
            <w:tcBorders>
              <w:bottom w:val="single" w:sz="4" w:space="0" w:color="auto"/>
            </w:tcBorders>
            <w:shd w:val="clear" w:color="auto" w:fill="DC281E"/>
            <w:vAlign w:val="center"/>
          </w:tcPr>
          <w:p w14:paraId="5A78349E" w14:textId="77777777" w:rsidR="005941D5" w:rsidRPr="00E54EEA" w:rsidRDefault="005941D5" w:rsidP="00581D79">
            <w:pPr>
              <w:pStyle w:val="Heading3"/>
              <w:spacing w:before="120"/>
              <w:jc w:val="center"/>
              <w:outlineLvl w:val="2"/>
              <w:rPr>
                <w:i/>
                <w:color w:val="FFFFFF" w:themeColor="background1"/>
                <w:sz w:val="20"/>
                <w:szCs w:val="20"/>
              </w:rPr>
            </w:pPr>
            <w:proofErr w:type="spellStart"/>
            <w:r w:rsidRPr="00E54EEA">
              <w:rPr>
                <w:color w:val="FFFFFF" w:themeColor="background1"/>
                <w:sz w:val="20"/>
                <w:szCs w:val="20"/>
              </w:rPr>
              <w:t>Programmes</w:t>
            </w:r>
            <w:proofErr w:type="spellEnd"/>
            <w:r w:rsidRPr="00E54EEA">
              <w:rPr>
                <w:color w:val="FFFFFF" w:themeColor="background1"/>
                <w:sz w:val="20"/>
                <w:szCs w:val="20"/>
              </w:rPr>
              <w:t>/</w:t>
            </w:r>
            <w:r w:rsidRPr="00E54EEA">
              <w:rPr>
                <w:color w:val="FFFFFF" w:themeColor="background1"/>
                <w:sz w:val="20"/>
                <w:szCs w:val="20"/>
              </w:rPr>
              <w:br/>
              <w:t>DM/</w:t>
            </w:r>
            <w:proofErr w:type="spellStart"/>
            <w:r w:rsidRPr="00E54EEA">
              <w:rPr>
                <w:color w:val="FFFFFF" w:themeColor="background1"/>
                <w:sz w:val="20"/>
                <w:szCs w:val="20"/>
              </w:rPr>
              <w:t>EcoSec</w:t>
            </w:r>
            <w:proofErr w:type="spellEnd"/>
          </w:p>
        </w:tc>
        <w:tc>
          <w:tcPr>
            <w:tcW w:w="1843" w:type="dxa"/>
            <w:tcBorders>
              <w:bottom w:val="single" w:sz="4" w:space="0" w:color="auto"/>
            </w:tcBorders>
            <w:shd w:val="clear" w:color="auto" w:fill="DC281E"/>
            <w:vAlign w:val="center"/>
          </w:tcPr>
          <w:p w14:paraId="50876624"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Logistics</w:t>
            </w:r>
          </w:p>
        </w:tc>
        <w:tc>
          <w:tcPr>
            <w:tcW w:w="1842" w:type="dxa"/>
            <w:tcBorders>
              <w:bottom w:val="single" w:sz="4" w:space="0" w:color="auto"/>
            </w:tcBorders>
            <w:shd w:val="clear" w:color="auto" w:fill="DC281E"/>
            <w:vAlign w:val="center"/>
          </w:tcPr>
          <w:p w14:paraId="75665DA0"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Finance/Admin</w:t>
            </w:r>
          </w:p>
        </w:tc>
        <w:tc>
          <w:tcPr>
            <w:tcW w:w="1808" w:type="dxa"/>
            <w:tcBorders>
              <w:bottom w:val="single" w:sz="4" w:space="0" w:color="auto"/>
            </w:tcBorders>
            <w:shd w:val="clear" w:color="auto" w:fill="DC281E"/>
            <w:vAlign w:val="center"/>
          </w:tcPr>
          <w:p w14:paraId="7322A833"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Others</w:t>
            </w:r>
          </w:p>
        </w:tc>
      </w:tr>
      <w:tr w:rsidR="005941D5" w:rsidRPr="00E54EEA" w14:paraId="31A80616" w14:textId="77777777" w:rsidTr="005F6C47">
        <w:trPr>
          <w:cantSplit/>
        </w:trPr>
        <w:tc>
          <w:tcPr>
            <w:tcW w:w="2235" w:type="dxa"/>
            <w:shd w:val="clear" w:color="auto" w:fill="A6A6A6"/>
          </w:tcPr>
          <w:p w14:paraId="5672115A" w14:textId="693A8312" w:rsidR="005941D5" w:rsidRPr="00E54EEA" w:rsidRDefault="005941D5" w:rsidP="00D61AD7">
            <w:pPr>
              <w:spacing w:before="20" w:after="20"/>
              <w:rPr>
                <w:i/>
              </w:rPr>
            </w:pPr>
            <w:r w:rsidRPr="00E54EEA">
              <w:t>CTP modality selection</w:t>
            </w:r>
          </w:p>
        </w:tc>
        <w:tc>
          <w:tcPr>
            <w:tcW w:w="2126" w:type="dxa"/>
            <w:shd w:val="clear" w:color="auto" w:fill="F3F3F3"/>
          </w:tcPr>
          <w:p w14:paraId="71108C99" w14:textId="77777777" w:rsidR="005941D5" w:rsidRPr="00E54EEA" w:rsidRDefault="005941D5" w:rsidP="00D61AD7">
            <w:pPr>
              <w:spacing w:before="20" w:after="20"/>
              <w:rPr>
                <w:i/>
              </w:rPr>
            </w:pPr>
          </w:p>
        </w:tc>
        <w:tc>
          <w:tcPr>
            <w:tcW w:w="1843" w:type="dxa"/>
            <w:shd w:val="clear" w:color="auto" w:fill="F3F3F3"/>
          </w:tcPr>
          <w:p w14:paraId="22EEC0CC" w14:textId="77777777" w:rsidR="005941D5" w:rsidRPr="00E54EEA" w:rsidRDefault="005941D5" w:rsidP="00D61AD7">
            <w:pPr>
              <w:spacing w:before="20" w:after="20"/>
              <w:rPr>
                <w:i/>
              </w:rPr>
            </w:pPr>
          </w:p>
        </w:tc>
        <w:tc>
          <w:tcPr>
            <w:tcW w:w="1842" w:type="dxa"/>
            <w:shd w:val="clear" w:color="auto" w:fill="F3F3F3"/>
          </w:tcPr>
          <w:p w14:paraId="3C670549" w14:textId="77777777" w:rsidR="005941D5" w:rsidRPr="00E54EEA" w:rsidRDefault="005941D5" w:rsidP="00D61AD7">
            <w:pPr>
              <w:spacing w:before="20" w:after="20"/>
              <w:rPr>
                <w:i/>
              </w:rPr>
            </w:pPr>
          </w:p>
        </w:tc>
        <w:tc>
          <w:tcPr>
            <w:tcW w:w="1808" w:type="dxa"/>
            <w:shd w:val="clear" w:color="auto" w:fill="F3F3F3"/>
          </w:tcPr>
          <w:p w14:paraId="57429DAE" w14:textId="77777777" w:rsidR="005941D5" w:rsidRPr="00E54EEA" w:rsidRDefault="005941D5" w:rsidP="00D61AD7">
            <w:pPr>
              <w:spacing w:before="20" w:after="20"/>
              <w:rPr>
                <w:i/>
              </w:rPr>
            </w:pPr>
          </w:p>
        </w:tc>
      </w:tr>
      <w:tr w:rsidR="005941D5" w:rsidRPr="00E54EEA" w14:paraId="113E4092" w14:textId="77777777" w:rsidTr="005F6C47">
        <w:trPr>
          <w:cantSplit/>
        </w:trPr>
        <w:tc>
          <w:tcPr>
            <w:tcW w:w="2235" w:type="dxa"/>
            <w:shd w:val="clear" w:color="auto" w:fill="A6A6A6"/>
          </w:tcPr>
          <w:p w14:paraId="15FE46B9" w14:textId="04C334B1" w:rsidR="005941D5" w:rsidRPr="00E54EEA" w:rsidRDefault="005941D5" w:rsidP="00D61AD7">
            <w:pPr>
              <w:spacing w:before="20" w:after="20"/>
              <w:rPr>
                <w:i/>
              </w:rPr>
            </w:pPr>
            <w:r w:rsidRPr="00E54EEA">
              <w:t>Setting the value of the transfer</w:t>
            </w:r>
          </w:p>
        </w:tc>
        <w:tc>
          <w:tcPr>
            <w:tcW w:w="2126" w:type="dxa"/>
            <w:shd w:val="clear" w:color="auto" w:fill="F3F3F3"/>
          </w:tcPr>
          <w:p w14:paraId="56EBDAAF" w14:textId="77777777" w:rsidR="005941D5" w:rsidRPr="00E54EEA" w:rsidRDefault="005941D5" w:rsidP="00D61AD7">
            <w:pPr>
              <w:spacing w:before="20" w:after="20"/>
              <w:rPr>
                <w:i/>
              </w:rPr>
            </w:pPr>
          </w:p>
        </w:tc>
        <w:tc>
          <w:tcPr>
            <w:tcW w:w="1843" w:type="dxa"/>
            <w:shd w:val="clear" w:color="auto" w:fill="F3F3F3"/>
          </w:tcPr>
          <w:p w14:paraId="31313D3F" w14:textId="77777777" w:rsidR="005941D5" w:rsidRPr="00E54EEA" w:rsidRDefault="005941D5" w:rsidP="00D61AD7">
            <w:pPr>
              <w:spacing w:before="20" w:after="20"/>
              <w:rPr>
                <w:i/>
              </w:rPr>
            </w:pPr>
          </w:p>
        </w:tc>
        <w:tc>
          <w:tcPr>
            <w:tcW w:w="1842" w:type="dxa"/>
            <w:shd w:val="clear" w:color="auto" w:fill="F3F3F3"/>
          </w:tcPr>
          <w:p w14:paraId="49077347" w14:textId="77777777" w:rsidR="005941D5" w:rsidRPr="00E54EEA" w:rsidRDefault="005941D5" w:rsidP="00D61AD7">
            <w:pPr>
              <w:spacing w:before="20" w:after="20"/>
              <w:rPr>
                <w:i/>
              </w:rPr>
            </w:pPr>
          </w:p>
        </w:tc>
        <w:tc>
          <w:tcPr>
            <w:tcW w:w="1808" w:type="dxa"/>
            <w:shd w:val="clear" w:color="auto" w:fill="F3F3F3"/>
          </w:tcPr>
          <w:p w14:paraId="3DDE3905" w14:textId="77777777" w:rsidR="005941D5" w:rsidRPr="00E54EEA" w:rsidRDefault="005941D5" w:rsidP="00D61AD7">
            <w:pPr>
              <w:spacing w:before="20" w:after="20"/>
              <w:rPr>
                <w:i/>
              </w:rPr>
            </w:pPr>
          </w:p>
        </w:tc>
      </w:tr>
      <w:tr w:rsidR="005941D5" w:rsidRPr="00E54EEA" w14:paraId="54DC199D" w14:textId="77777777" w:rsidTr="005F6C47">
        <w:trPr>
          <w:cantSplit/>
        </w:trPr>
        <w:tc>
          <w:tcPr>
            <w:tcW w:w="2235" w:type="dxa"/>
            <w:shd w:val="clear" w:color="auto" w:fill="A6A6A6"/>
          </w:tcPr>
          <w:p w14:paraId="1C3FED05" w14:textId="4FC91409" w:rsidR="005941D5" w:rsidRPr="00E54EEA" w:rsidRDefault="005941D5" w:rsidP="00D61AD7">
            <w:pPr>
              <w:spacing w:before="20" w:after="20"/>
              <w:rPr>
                <w:i/>
              </w:rPr>
            </w:pPr>
            <w:r w:rsidRPr="00E54EEA">
              <w:t>Market assessment</w:t>
            </w:r>
          </w:p>
        </w:tc>
        <w:tc>
          <w:tcPr>
            <w:tcW w:w="2126" w:type="dxa"/>
            <w:shd w:val="clear" w:color="auto" w:fill="F3F3F3"/>
          </w:tcPr>
          <w:p w14:paraId="5B749356" w14:textId="77777777" w:rsidR="005941D5" w:rsidRPr="00E54EEA" w:rsidRDefault="005941D5" w:rsidP="00D61AD7">
            <w:pPr>
              <w:spacing w:before="20" w:after="20"/>
              <w:rPr>
                <w:i/>
              </w:rPr>
            </w:pPr>
          </w:p>
        </w:tc>
        <w:tc>
          <w:tcPr>
            <w:tcW w:w="1843" w:type="dxa"/>
            <w:shd w:val="clear" w:color="auto" w:fill="F3F3F3"/>
          </w:tcPr>
          <w:p w14:paraId="22451EC3" w14:textId="77777777" w:rsidR="005941D5" w:rsidRPr="00E54EEA" w:rsidRDefault="005941D5" w:rsidP="00D61AD7">
            <w:pPr>
              <w:spacing w:before="20" w:after="20"/>
              <w:rPr>
                <w:i/>
              </w:rPr>
            </w:pPr>
          </w:p>
        </w:tc>
        <w:tc>
          <w:tcPr>
            <w:tcW w:w="1842" w:type="dxa"/>
            <w:shd w:val="clear" w:color="auto" w:fill="F3F3F3"/>
          </w:tcPr>
          <w:p w14:paraId="50B9F47B" w14:textId="77777777" w:rsidR="005941D5" w:rsidRPr="00E54EEA" w:rsidRDefault="005941D5" w:rsidP="00D61AD7">
            <w:pPr>
              <w:spacing w:before="20" w:after="20"/>
              <w:rPr>
                <w:i/>
              </w:rPr>
            </w:pPr>
          </w:p>
        </w:tc>
        <w:tc>
          <w:tcPr>
            <w:tcW w:w="1808" w:type="dxa"/>
            <w:shd w:val="clear" w:color="auto" w:fill="F3F3F3"/>
          </w:tcPr>
          <w:p w14:paraId="08E50421" w14:textId="77777777" w:rsidR="005941D5" w:rsidRPr="00E54EEA" w:rsidRDefault="005941D5" w:rsidP="00D61AD7">
            <w:pPr>
              <w:spacing w:before="20" w:after="20"/>
              <w:rPr>
                <w:i/>
              </w:rPr>
            </w:pPr>
          </w:p>
        </w:tc>
      </w:tr>
      <w:tr w:rsidR="005941D5" w:rsidRPr="00E54EEA" w14:paraId="4EFEB52D" w14:textId="77777777" w:rsidTr="005F6C47">
        <w:trPr>
          <w:cantSplit/>
        </w:trPr>
        <w:tc>
          <w:tcPr>
            <w:tcW w:w="2235" w:type="dxa"/>
            <w:shd w:val="clear" w:color="auto" w:fill="A6A6A6"/>
          </w:tcPr>
          <w:p w14:paraId="1ACF7BA5" w14:textId="70127DC6" w:rsidR="005941D5" w:rsidRPr="00E54EEA" w:rsidRDefault="005941D5" w:rsidP="00D61AD7">
            <w:pPr>
              <w:spacing w:before="20" w:after="20"/>
              <w:rPr>
                <w:i/>
              </w:rPr>
            </w:pPr>
            <w:r w:rsidRPr="00E54EEA">
              <w:t>Tender process for voucher supply</w:t>
            </w:r>
          </w:p>
        </w:tc>
        <w:tc>
          <w:tcPr>
            <w:tcW w:w="2126" w:type="dxa"/>
            <w:shd w:val="clear" w:color="auto" w:fill="F3F3F3"/>
          </w:tcPr>
          <w:p w14:paraId="24C73A17" w14:textId="77777777" w:rsidR="005941D5" w:rsidRPr="00E54EEA" w:rsidRDefault="005941D5" w:rsidP="00D61AD7">
            <w:pPr>
              <w:spacing w:before="20" w:after="20"/>
              <w:rPr>
                <w:i/>
              </w:rPr>
            </w:pPr>
          </w:p>
        </w:tc>
        <w:tc>
          <w:tcPr>
            <w:tcW w:w="1843" w:type="dxa"/>
            <w:shd w:val="clear" w:color="auto" w:fill="F3F3F3"/>
          </w:tcPr>
          <w:p w14:paraId="0A0C5355" w14:textId="77777777" w:rsidR="005941D5" w:rsidRPr="00E54EEA" w:rsidRDefault="005941D5" w:rsidP="00D61AD7">
            <w:pPr>
              <w:spacing w:before="20" w:after="20"/>
              <w:rPr>
                <w:i/>
              </w:rPr>
            </w:pPr>
          </w:p>
        </w:tc>
        <w:tc>
          <w:tcPr>
            <w:tcW w:w="1842" w:type="dxa"/>
            <w:shd w:val="clear" w:color="auto" w:fill="F3F3F3"/>
          </w:tcPr>
          <w:p w14:paraId="15E5A897" w14:textId="77777777" w:rsidR="005941D5" w:rsidRPr="00E54EEA" w:rsidRDefault="005941D5" w:rsidP="00D61AD7">
            <w:pPr>
              <w:spacing w:before="20" w:after="20"/>
              <w:rPr>
                <w:i/>
              </w:rPr>
            </w:pPr>
          </w:p>
        </w:tc>
        <w:tc>
          <w:tcPr>
            <w:tcW w:w="1808" w:type="dxa"/>
            <w:shd w:val="clear" w:color="auto" w:fill="F3F3F3"/>
          </w:tcPr>
          <w:p w14:paraId="268171FD" w14:textId="77777777" w:rsidR="005941D5" w:rsidRPr="00E54EEA" w:rsidRDefault="005941D5" w:rsidP="00D61AD7">
            <w:pPr>
              <w:spacing w:before="20" w:after="20"/>
              <w:rPr>
                <w:i/>
              </w:rPr>
            </w:pPr>
          </w:p>
        </w:tc>
      </w:tr>
      <w:tr w:rsidR="005941D5" w:rsidRPr="00E54EEA" w14:paraId="723D3227" w14:textId="77777777" w:rsidTr="005F6C47">
        <w:trPr>
          <w:cantSplit/>
        </w:trPr>
        <w:tc>
          <w:tcPr>
            <w:tcW w:w="2235" w:type="dxa"/>
            <w:shd w:val="clear" w:color="auto" w:fill="A6A6A6"/>
          </w:tcPr>
          <w:p w14:paraId="1C795704" w14:textId="10701356" w:rsidR="005941D5" w:rsidRPr="00E54EEA" w:rsidRDefault="005941D5" w:rsidP="00D61AD7">
            <w:pPr>
              <w:spacing w:before="20" w:after="20"/>
              <w:rPr>
                <w:i/>
              </w:rPr>
            </w:pPr>
            <w:r w:rsidRPr="00E54EEA">
              <w:t>Voucher design and approval</w:t>
            </w:r>
          </w:p>
        </w:tc>
        <w:tc>
          <w:tcPr>
            <w:tcW w:w="2126" w:type="dxa"/>
            <w:shd w:val="clear" w:color="auto" w:fill="F3F3F3"/>
          </w:tcPr>
          <w:p w14:paraId="760BFBDB" w14:textId="77777777" w:rsidR="005941D5" w:rsidRPr="00E54EEA" w:rsidRDefault="005941D5" w:rsidP="00D61AD7">
            <w:pPr>
              <w:spacing w:before="20" w:after="20"/>
              <w:rPr>
                <w:i/>
              </w:rPr>
            </w:pPr>
          </w:p>
        </w:tc>
        <w:tc>
          <w:tcPr>
            <w:tcW w:w="1843" w:type="dxa"/>
            <w:shd w:val="clear" w:color="auto" w:fill="F3F3F3"/>
          </w:tcPr>
          <w:p w14:paraId="44CA04BB" w14:textId="77777777" w:rsidR="005941D5" w:rsidRPr="00E54EEA" w:rsidRDefault="005941D5" w:rsidP="00D61AD7">
            <w:pPr>
              <w:spacing w:before="20" w:after="20"/>
              <w:rPr>
                <w:i/>
              </w:rPr>
            </w:pPr>
          </w:p>
        </w:tc>
        <w:tc>
          <w:tcPr>
            <w:tcW w:w="1842" w:type="dxa"/>
            <w:shd w:val="clear" w:color="auto" w:fill="F3F3F3"/>
          </w:tcPr>
          <w:p w14:paraId="152463A9" w14:textId="77777777" w:rsidR="005941D5" w:rsidRPr="00E54EEA" w:rsidRDefault="005941D5" w:rsidP="00D61AD7">
            <w:pPr>
              <w:spacing w:before="20" w:after="20"/>
              <w:rPr>
                <w:i/>
              </w:rPr>
            </w:pPr>
          </w:p>
        </w:tc>
        <w:tc>
          <w:tcPr>
            <w:tcW w:w="1808" w:type="dxa"/>
            <w:shd w:val="clear" w:color="auto" w:fill="F3F3F3"/>
          </w:tcPr>
          <w:p w14:paraId="30100930" w14:textId="77777777" w:rsidR="005941D5" w:rsidRPr="00E54EEA" w:rsidRDefault="005941D5" w:rsidP="00D61AD7">
            <w:pPr>
              <w:spacing w:before="20" w:after="20"/>
              <w:rPr>
                <w:i/>
              </w:rPr>
            </w:pPr>
          </w:p>
        </w:tc>
      </w:tr>
      <w:tr w:rsidR="005941D5" w:rsidRPr="00E54EEA" w14:paraId="2756D117" w14:textId="77777777" w:rsidTr="005F6C47">
        <w:trPr>
          <w:cantSplit/>
        </w:trPr>
        <w:tc>
          <w:tcPr>
            <w:tcW w:w="2235" w:type="dxa"/>
            <w:shd w:val="clear" w:color="auto" w:fill="A6A6A6"/>
          </w:tcPr>
          <w:p w14:paraId="30B9F974" w14:textId="36A28E34" w:rsidR="005941D5" w:rsidRPr="00E54EEA" w:rsidRDefault="005941D5" w:rsidP="00D61AD7">
            <w:pPr>
              <w:spacing w:before="20" w:after="20"/>
              <w:rPr>
                <w:i/>
              </w:rPr>
            </w:pPr>
            <w:r w:rsidRPr="00E54EEA">
              <w:t>Risk audit</w:t>
            </w:r>
          </w:p>
        </w:tc>
        <w:tc>
          <w:tcPr>
            <w:tcW w:w="2126" w:type="dxa"/>
            <w:shd w:val="clear" w:color="auto" w:fill="F3F3F3"/>
          </w:tcPr>
          <w:p w14:paraId="69A3B792" w14:textId="77777777" w:rsidR="005941D5" w:rsidRPr="00E54EEA" w:rsidRDefault="005941D5" w:rsidP="00D61AD7">
            <w:pPr>
              <w:spacing w:before="20" w:after="20"/>
              <w:rPr>
                <w:i/>
              </w:rPr>
            </w:pPr>
          </w:p>
        </w:tc>
        <w:tc>
          <w:tcPr>
            <w:tcW w:w="1843" w:type="dxa"/>
            <w:shd w:val="clear" w:color="auto" w:fill="F3F3F3"/>
          </w:tcPr>
          <w:p w14:paraId="48C65379" w14:textId="77777777" w:rsidR="005941D5" w:rsidRPr="00E54EEA" w:rsidRDefault="005941D5" w:rsidP="00D61AD7">
            <w:pPr>
              <w:spacing w:before="20" w:after="20"/>
              <w:rPr>
                <w:i/>
              </w:rPr>
            </w:pPr>
          </w:p>
        </w:tc>
        <w:tc>
          <w:tcPr>
            <w:tcW w:w="1842" w:type="dxa"/>
            <w:shd w:val="clear" w:color="auto" w:fill="F3F3F3"/>
          </w:tcPr>
          <w:p w14:paraId="7B7D3753" w14:textId="77777777" w:rsidR="005941D5" w:rsidRPr="00E54EEA" w:rsidRDefault="005941D5" w:rsidP="00D61AD7">
            <w:pPr>
              <w:spacing w:before="20" w:after="20"/>
              <w:rPr>
                <w:i/>
              </w:rPr>
            </w:pPr>
          </w:p>
        </w:tc>
        <w:tc>
          <w:tcPr>
            <w:tcW w:w="1808" w:type="dxa"/>
            <w:shd w:val="clear" w:color="auto" w:fill="F3F3F3"/>
          </w:tcPr>
          <w:p w14:paraId="0DC05A59" w14:textId="77777777" w:rsidR="005941D5" w:rsidRPr="00E54EEA" w:rsidRDefault="005941D5" w:rsidP="00D61AD7">
            <w:pPr>
              <w:spacing w:before="20" w:after="20"/>
              <w:rPr>
                <w:i/>
              </w:rPr>
            </w:pPr>
          </w:p>
        </w:tc>
      </w:tr>
      <w:tr w:rsidR="005941D5" w:rsidRPr="00E54EEA" w14:paraId="0D73BB54" w14:textId="77777777" w:rsidTr="005F6C47">
        <w:trPr>
          <w:cantSplit/>
        </w:trPr>
        <w:tc>
          <w:tcPr>
            <w:tcW w:w="2235" w:type="dxa"/>
            <w:shd w:val="clear" w:color="auto" w:fill="A6A6A6"/>
          </w:tcPr>
          <w:p w14:paraId="48A02124" w14:textId="15363111" w:rsidR="005941D5" w:rsidRPr="00E54EEA" w:rsidRDefault="005941D5" w:rsidP="00D61AD7">
            <w:pPr>
              <w:spacing w:before="20" w:after="20"/>
              <w:rPr>
                <w:i/>
              </w:rPr>
            </w:pPr>
            <w:r w:rsidRPr="00E54EEA">
              <w:t>Beneficiary registration</w:t>
            </w:r>
          </w:p>
        </w:tc>
        <w:tc>
          <w:tcPr>
            <w:tcW w:w="2126" w:type="dxa"/>
            <w:shd w:val="clear" w:color="auto" w:fill="F3F3F3"/>
          </w:tcPr>
          <w:p w14:paraId="42244E5A" w14:textId="77777777" w:rsidR="005941D5" w:rsidRPr="00E54EEA" w:rsidRDefault="005941D5" w:rsidP="00D61AD7">
            <w:pPr>
              <w:spacing w:before="20" w:after="20"/>
              <w:rPr>
                <w:i/>
              </w:rPr>
            </w:pPr>
          </w:p>
        </w:tc>
        <w:tc>
          <w:tcPr>
            <w:tcW w:w="1843" w:type="dxa"/>
            <w:shd w:val="clear" w:color="auto" w:fill="F3F3F3"/>
          </w:tcPr>
          <w:p w14:paraId="05DE983C" w14:textId="77777777" w:rsidR="005941D5" w:rsidRPr="00E54EEA" w:rsidRDefault="005941D5" w:rsidP="00D61AD7">
            <w:pPr>
              <w:spacing w:before="20" w:after="20"/>
              <w:rPr>
                <w:i/>
              </w:rPr>
            </w:pPr>
          </w:p>
        </w:tc>
        <w:tc>
          <w:tcPr>
            <w:tcW w:w="1842" w:type="dxa"/>
            <w:shd w:val="clear" w:color="auto" w:fill="F3F3F3"/>
          </w:tcPr>
          <w:p w14:paraId="4782D87D" w14:textId="77777777" w:rsidR="005941D5" w:rsidRPr="00E54EEA" w:rsidRDefault="005941D5" w:rsidP="00D61AD7">
            <w:pPr>
              <w:spacing w:before="20" w:after="20"/>
              <w:rPr>
                <w:i/>
              </w:rPr>
            </w:pPr>
          </w:p>
        </w:tc>
        <w:tc>
          <w:tcPr>
            <w:tcW w:w="1808" w:type="dxa"/>
            <w:shd w:val="clear" w:color="auto" w:fill="F3F3F3"/>
          </w:tcPr>
          <w:p w14:paraId="01B81113" w14:textId="77777777" w:rsidR="005941D5" w:rsidRPr="00E54EEA" w:rsidRDefault="005941D5" w:rsidP="00D61AD7">
            <w:pPr>
              <w:spacing w:before="20" w:after="20"/>
              <w:rPr>
                <w:i/>
              </w:rPr>
            </w:pPr>
          </w:p>
        </w:tc>
      </w:tr>
      <w:tr w:rsidR="005941D5" w:rsidRPr="00E54EEA" w14:paraId="1121BD05" w14:textId="77777777" w:rsidTr="005F6C47">
        <w:trPr>
          <w:cantSplit/>
        </w:trPr>
        <w:tc>
          <w:tcPr>
            <w:tcW w:w="2235" w:type="dxa"/>
            <w:shd w:val="clear" w:color="auto" w:fill="A6A6A6"/>
          </w:tcPr>
          <w:p w14:paraId="2BE64C8D" w14:textId="5B051A4A" w:rsidR="005941D5" w:rsidRPr="00E54EEA" w:rsidRDefault="005941D5" w:rsidP="00D61AD7">
            <w:pPr>
              <w:spacing w:before="20" w:after="20"/>
              <w:rPr>
                <w:i/>
              </w:rPr>
            </w:pPr>
            <w:r w:rsidRPr="00E54EEA">
              <w:t xml:space="preserve">Selection of traders for redemption of vouchers </w:t>
            </w:r>
          </w:p>
        </w:tc>
        <w:tc>
          <w:tcPr>
            <w:tcW w:w="2126" w:type="dxa"/>
            <w:shd w:val="clear" w:color="auto" w:fill="F3F3F3"/>
          </w:tcPr>
          <w:p w14:paraId="3D138F32" w14:textId="77777777" w:rsidR="005941D5" w:rsidRPr="00E54EEA" w:rsidRDefault="005941D5" w:rsidP="00D61AD7">
            <w:pPr>
              <w:spacing w:before="20" w:after="20"/>
              <w:rPr>
                <w:i/>
              </w:rPr>
            </w:pPr>
          </w:p>
        </w:tc>
        <w:tc>
          <w:tcPr>
            <w:tcW w:w="1843" w:type="dxa"/>
            <w:shd w:val="clear" w:color="auto" w:fill="F3F3F3"/>
          </w:tcPr>
          <w:p w14:paraId="32694011" w14:textId="77777777" w:rsidR="005941D5" w:rsidRPr="00E54EEA" w:rsidRDefault="005941D5" w:rsidP="00D61AD7">
            <w:pPr>
              <w:spacing w:before="20" w:after="20"/>
              <w:rPr>
                <w:i/>
              </w:rPr>
            </w:pPr>
          </w:p>
        </w:tc>
        <w:tc>
          <w:tcPr>
            <w:tcW w:w="1842" w:type="dxa"/>
            <w:shd w:val="clear" w:color="auto" w:fill="F3F3F3"/>
          </w:tcPr>
          <w:p w14:paraId="0ACB89EC" w14:textId="77777777" w:rsidR="005941D5" w:rsidRPr="00E54EEA" w:rsidRDefault="005941D5" w:rsidP="00D61AD7">
            <w:pPr>
              <w:spacing w:before="20" w:after="20"/>
              <w:rPr>
                <w:i/>
              </w:rPr>
            </w:pPr>
          </w:p>
        </w:tc>
        <w:tc>
          <w:tcPr>
            <w:tcW w:w="1808" w:type="dxa"/>
            <w:shd w:val="clear" w:color="auto" w:fill="F3F3F3"/>
          </w:tcPr>
          <w:p w14:paraId="3D76C99F" w14:textId="77777777" w:rsidR="005941D5" w:rsidRPr="00E54EEA" w:rsidRDefault="005941D5" w:rsidP="00D61AD7">
            <w:pPr>
              <w:spacing w:before="20" w:after="20"/>
              <w:rPr>
                <w:i/>
              </w:rPr>
            </w:pPr>
          </w:p>
        </w:tc>
      </w:tr>
      <w:tr w:rsidR="005941D5" w:rsidRPr="00E54EEA" w14:paraId="0F80EEC2" w14:textId="77777777" w:rsidTr="005F6C47">
        <w:trPr>
          <w:cantSplit/>
        </w:trPr>
        <w:tc>
          <w:tcPr>
            <w:tcW w:w="2235" w:type="dxa"/>
            <w:shd w:val="clear" w:color="auto" w:fill="A6A6A6"/>
          </w:tcPr>
          <w:p w14:paraId="565D1DA4" w14:textId="6DCE5CCD" w:rsidR="005941D5" w:rsidRPr="00E54EEA" w:rsidRDefault="005941D5" w:rsidP="00D61AD7">
            <w:pPr>
              <w:spacing w:before="20" w:after="20"/>
              <w:rPr>
                <w:i/>
              </w:rPr>
            </w:pPr>
            <w:r w:rsidRPr="00E54EEA">
              <w:t xml:space="preserve">Reconciliation of vouchers </w:t>
            </w:r>
          </w:p>
        </w:tc>
        <w:tc>
          <w:tcPr>
            <w:tcW w:w="2126" w:type="dxa"/>
            <w:shd w:val="clear" w:color="auto" w:fill="F3F3F3"/>
          </w:tcPr>
          <w:p w14:paraId="4D46F897" w14:textId="77777777" w:rsidR="005941D5" w:rsidRPr="00E54EEA" w:rsidRDefault="005941D5" w:rsidP="00D61AD7">
            <w:pPr>
              <w:spacing w:before="20" w:after="20"/>
              <w:rPr>
                <w:i/>
              </w:rPr>
            </w:pPr>
          </w:p>
        </w:tc>
        <w:tc>
          <w:tcPr>
            <w:tcW w:w="1843" w:type="dxa"/>
            <w:shd w:val="clear" w:color="auto" w:fill="F3F3F3"/>
          </w:tcPr>
          <w:p w14:paraId="36BB94CB" w14:textId="77777777" w:rsidR="005941D5" w:rsidRPr="00E54EEA" w:rsidRDefault="005941D5" w:rsidP="00D61AD7">
            <w:pPr>
              <w:spacing w:before="20" w:after="20"/>
              <w:rPr>
                <w:i/>
              </w:rPr>
            </w:pPr>
          </w:p>
        </w:tc>
        <w:tc>
          <w:tcPr>
            <w:tcW w:w="1842" w:type="dxa"/>
            <w:shd w:val="clear" w:color="auto" w:fill="F3F3F3"/>
          </w:tcPr>
          <w:p w14:paraId="554804B7" w14:textId="77777777" w:rsidR="005941D5" w:rsidRPr="00E54EEA" w:rsidRDefault="005941D5" w:rsidP="00D61AD7">
            <w:pPr>
              <w:spacing w:before="20" w:after="20"/>
              <w:rPr>
                <w:i/>
              </w:rPr>
            </w:pPr>
          </w:p>
        </w:tc>
        <w:tc>
          <w:tcPr>
            <w:tcW w:w="1808" w:type="dxa"/>
            <w:shd w:val="clear" w:color="auto" w:fill="F3F3F3"/>
          </w:tcPr>
          <w:p w14:paraId="46E9B992" w14:textId="77777777" w:rsidR="005941D5" w:rsidRPr="00E54EEA" w:rsidRDefault="005941D5" w:rsidP="00D61AD7">
            <w:pPr>
              <w:spacing w:before="20" w:after="20"/>
              <w:rPr>
                <w:i/>
              </w:rPr>
            </w:pPr>
          </w:p>
        </w:tc>
      </w:tr>
      <w:tr w:rsidR="005941D5" w:rsidRPr="00E54EEA" w14:paraId="27FF02E7" w14:textId="77777777" w:rsidTr="005F6C47">
        <w:trPr>
          <w:cantSplit/>
        </w:trPr>
        <w:tc>
          <w:tcPr>
            <w:tcW w:w="2235" w:type="dxa"/>
            <w:shd w:val="clear" w:color="auto" w:fill="A6A6A6"/>
          </w:tcPr>
          <w:p w14:paraId="60543E59" w14:textId="20CB0F19" w:rsidR="005941D5" w:rsidRPr="00E54EEA" w:rsidRDefault="005941D5" w:rsidP="00D61AD7">
            <w:pPr>
              <w:spacing w:before="20" w:after="20"/>
              <w:rPr>
                <w:i/>
              </w:rPr>
            </w:pPr>
            <w:r w:rsidRPr="00E54EEA">
              <w:t xml:space="preserve">Payment to traders </w:t>
            </w:r>
          </w:p>
        </w:tc>
        <w:tc>
          <w:tcPr>
            <w:tcW w:w="2126" w:type="dxa"/>
            <w:shd w:val="clear" w:color="auto" w:fill="F3F3F3"/>
          </w:tcPr>
          <w:p w14:paraId="1AE8CD2D" w14:textId="77777777" w:rsidR="005941D5" w:rsidRPr="00E54EEA" w:rsidRDefault="005941D5" w:rsidP="00D61AD7">
            <w:pPr>
              <w:spacing w:before="20" w:after="20"/>
              <w:rPr>
                <w:i/>
              </w:rPr>
            </w:pPr>
          </w:p>
        </w:tc>
        <w:tc>
          <w:tcPr>
            <w:tcW w:w="1843" w:type="dxa"/>
            <w:shd w:val="clear" w:color="auto" w:fill="F3F3F3"/>
          </w:tcPr>
          <w:p w14:paraId="7013FFF3" w14:textId="77777777" w:rsidR="005941D5" w:rsidRPr="00E54EEA" w:rsidRDefault="005941D5" w:rsidP="00D61AD7">
            <w:pPr>
              <w:spacing w:before="20" w:after="20"/>
              <w:rPr>
                <w:i/>
              </w:rPr>
            </w:pPr>
          </w:p>
        </w:tc>
        <w:tc>
          <w:tcPr>
            <w:tcW w:w="1842" w:type="dxa"/>
            <w:shd w:val="clear" w:color="auto" w:fill="F3F3F3"/>
          </w:tcPr>
          <w:p w14:paraId="4A4F0DDB" w14:textId="77777777" w:rsidR="005941D5" w:rsidRPr="00E54EEA" w:rsidRDefault="005941D5" w:rsidP="00D61AD7">
            <w:pPr>
              <w:spacing w:before="20" w:after="20"/>
              <w:rPr>
                <w:i/>
              </w:rPr>
            </w:pPr>
          </w:p>
        </w:tc>
        <w:tc>
          <w:tcPr>
            <w:tcW w:w="1808" w:type="dxa"/>
            <w:shd w:val="clear" w:color="auto" w:fill="F3F3F3"/>
          </w:tcPr>
          <w:p w14:paraId="55D358B5" w14:textId="77777777" w:rsidR="005941D5" w:rsidRPr="00E54EEA" w:rsidRDefault="005941D5" w:rsidP="00D61AD7">
            <w:pPr>
              <w:spacing w:before="20" w:after="20"/>
              <w:rPr>
                <w:i/>
              </w:rPr>
            </w:pPr>
          </w:p>
        </w:tc>
      </w:tr>
      <w:tr w:rsidR="005941D5" w:rsidRPr="00E54EEA" w14:paraId="6BB583C4" w14:textId="77777777" w:rsidTr="005F6C47">
        <w:trPr>
          <w:cantSplit/>
        </w:trPr>
        <w:tc>
          <w:tcPr>
            <w:tcW w:w="2235" w:type="dxa"/>
            <w:tcBorders>
              <w:bottom w:val="single" w:sz="4" w:space="0" w:color="auto"/>
            </w:tcBorders>
            <w:shd w:val="clear" w:color="auto" w:fill="A6A6A6"/>
          </w:tcPr>
          <w:p w14:paraId="7D1F2803" w14:textId="290EF7D8" w:rsidR="005941D5" w:rsidRPr="00E54EEA" w:rsidRDefault="005941D5" w:rsidP="00D61AD7">
            <w:pPr>
              <w:spacing w:before="20" w:after="20"/>
              <w:rPr>
                <w:i/>
              </w:rPr>
            </w:pPr>
            <w:r w:rsidRPr="00E54EEA">
              <w:t>Follow-up of feedback and response mechanism</w:t>
            </w:r>
          </w:p>
        </w:tc>
        <w:tc>
          <w:tcPr>
            <w:tcW w:w="2126" w:type="dxa"/>
            <w:tcBorders>
              <w:bottom w:val="single" w:sz="4" w:space="0" w:color="auto"/>
            </w:tcBorders>
            <w:shd w:val="clear" w:color="auto" w:fill="F3F3F3"/>
          </w:tcPr>
          <w:p w14:paraId="2F4F01F6" w14:textId="77777777" w:rsidR="005941D5" w:rsidRPr="00E54EEA" w:rsidRDefault="005941D5" w:rsidP="00D61AD7">
            <w:pPr>
              <w:spacing w:before="20" w:after="20"/>
              <w:rPr>
                <w:i/>
              </w:rPr>
            </w:pPr>
          </w:p>
        </w:tc>
        <w:tc>
          <w:tcPr>
            <w:tcW w:w="1843" w:type="dxa"/>
            <w:tcBorders>
              <w:bottom w:val="single" w:sz="4" w:space="0" w:color="auto"/>
            </w:tcBorders>
            <w:shd w:val="clear" w:color="auto" w:fill="F3F3F3"/>
          </w:tcPr>
          <w:p w14:paraId="050B1269" w14:textId="77777777" w:rsidR="005941D5" w:rsidRPr="00E54EEA" w:rsidRDefault="005941D5" w:rsidP="00D61AD7">
            <w:pPr>
              <w:spacing w:before="20" w:after="20"/>
              <w:rPr>
                <w:i/>
              </w:rPr>
            </w:pPr>
          </w:p>
        </w:tc>
        <w:tc>
          <w:tcPr>
            <w:tcW w:w="1842" w:type="dxa"/>
            <w:tcBorders>
              <w:bottom w:val="single" w:sz="4" w:space="0" w:color="auto"/>
            </w:tcBorders>
            <w:shd w:val="clear" w:color="auto" w:fill="F3F3F3"/>
          </w:tcPr>
          <w:p w14:paraId="14CE0A08" w14:textId="77777777" w:rsidR="005941D5" w:rsidRPr="00E54EEA" w:rsidRDefault="005941D5" w:rsidP="00D61AD7">
            <w:pPr>
              <w:spacing w:before="20" w:after="20"/>
              <w:rPr>
                <w:i/>
              </w:rPr>
            </w:pPr>
          </w:p>
        </w:tc>
        <w:tc>
          <w:tcPr>
            <w:tcW w:w="1808" w:type="dxa"/>
            <w:tcBorders>
              <w:bottom w:val="single" w:sz="4" w:space="0" w:color="auto"/>
            </w:tcBorders>
            <w:shd w:val="clear" w:color="auto" w:fill="F3F3F3"/>
          </w:tcPr>
          <w:p w14:paraId="3F639E1D" w14:textId="77777777" w:rsidR="005941D5" w:rsidRPr="00E54EEA" w:rsidRDefault="005941D5" w:rsidP="00D61AD7">
            <w:pPr>
              <w:spacing w:before="20" w:after="20"/>
              <w:rPr>
                <w:i/>
              </w:rPr>
            </w:pPr>
          </w:p>
        </w:tc>
      </w:tr>
      <w:tr w:rsidR="005941D5" w:rsidRPr="00E54EEA" w14:paraId="528828C2" w14:textId="77777777" w:rsidTr="005F6C47">
        <w:trPr>
          <w:cantSplit/>
        </w:trPr>
        <w:tc>
          <w:tcPr>
            <w:tcW w:w="2235" w:type="dxa"/>
            <w:shd w:val="clear" w:color="auto" w:fill="A6A6A6"/>
          </w:tcPr>
          <w:p w14:paraId="2A5BD208" w14:textId="77777777" w:rsidR="005941D5" w:rsidRPr="00E54EEA" w:rsidRDefault="005941D5" w:rsidP="00D61AD7">
            <w:pPr>
              <w:spacing w:before="20" w:after="20"/>
              <w:rPr>
                <w:i/>
              </w:rPr>
            </w:pPr>
            <w:r w:rsidRPr="00E54EEA">
              <w:lastRenderedPageBreak/>
              <w:t>Market price monitoring</w:t>
            </w:r>
          </w:p>
        </w:tc>
        <w:tc>
          <w:tcPr>
            <w:tcW w:w="2126" w:type="dxa"/>
            <w:shd w:val="clear" w:color="auto" w:fill="F3F3F3"/>
          </w:tcPr>
          <w:p w14:paraId="1F953781" w14:textId="77777777" w:rsidR="005941D5" w:rsidRPr="00E54EEA" w:rsidRDefault="005941D5" w:rsidP="00D61AD7">
            <w:pPr>
              <w:spacing w:before="20" w:after="20"/>
              <w:rPr>
                <w:i/>
              </w:rPr>
            </w:pPr>
          </w:p>
        </w:tc>
        <w:tc>
          <w:tcPr>
            <w:tcW w:w="1843" w:type="dxa"/>
            <w:shd w:val="clear" w:color="auto" w:fill="F3F3F3"/>
          </w:tcPr>
          <w:p w14:paraId="3A7F04FD" w14:textId="77777777" w:rsidR="005941D5" w:rsidRPr="00E54EEA" w:rsidRDefault="005941D5" w:rsidP="00D61AD7">
            <w:pPr>
              <w:spacing w:before="20" w:after="20"/>
              <w:rPr>
                <w:i/>
              </w:rPr>
            </w:pPr>
          </w:p>
        </w:tc>
        <w:tc>
          <w:tcPr>
            <w:tcW w:w="1842" w:type="dxa"/>
            <w:shd w:val="clear" w:color="auto" w:fill="F3F3F3"/>
          </w:tcPr>
          <w:p w14:paraId="35EF2F6F" w14:textId="77777777" w:rsidR="005941D5" w:rsidRPr="00E54EEA" w:rsidRDefault="005941D5" w:rsidP="00D61AD7">
            <w:pPr>
              <w:spacing w:before="20" w:after="20"/>
              <w:rPr>
                <w:i/>
              </w:rPr>
            </w:pPr>
          </w:p>
        </w:tc>
        <w:tc>
          <w:tcPr>
            <w:tcW w:w="1808" w:type="dxa"/>
            <w:shd w:val="clear" w:color="auto" w:fill="F3F3F3"/>
          </w:tcPr>
          <w:p w14:paraId="33FB80C7" w14:textId="77777777" w:rsidR="005941D5" w:rsidRPr="00E54EEA" w:rsidRDefault="005941D5" w:rsidP="00D61AD7">
            <w:pPr>
              <w:spacing w:before="20" w:after="20"/>
              <w:rPr>
                <w:i/>
              </w:rPr>
            </w:pPr>
          </w:p>
        </w:tc>
      </w:tr>
      <w:tr w:rsidR="005941D5" w:rsidRPr="00E54EEA" w14:paraId="35935684" w14:textId="77777777" w:rsidTr="005F6C47">
        <w:trPr>
          <w:cantSplit/>
        </w:trPr>
        <w:tc>
          <w:tcPr>
            <w:tcW w:w="2235" w:type="dxa"/>
            <w:shd w:val="clear" w:color="auto" w:fill="A6A6A6"/>
          </w:tcPr>
          <w:p w14:paraId="2D8CF01D" w14:textId="38EC8F24" w:rsidR="005941D5" w:rsidRPr="00E54EEA" w:rsidRDefault="005941D5" w:rsidP="00D61AD7">
            <w:pPr>
              <w:spacing w:before="20" w:after="20"/>
              <w:rPr>
                <w:i/>
              </w:rPr>
            </w:pPr>
            <w:r w:rsidRPr="00E54EEA">
              <w:t>Other</w:t>
            </w:r>
          </w:p>
        </w:tc>
        <w:tc>
          <w:tcPr>
            <w:tcW w:w="2126" w:type="dxa"/>
            <w:shd w:val="clear" w:color="auto" w:fill="F3F3F3"/>
          </w:tcPr>
          <w:p w14:paraId="12E45065" w14:textId="77777777" w:rsidR="005941D5" w:rsidRPr="00E54EEA" w:rsidRDefault="005941D5" w:rsidP="00D61AD7">
            <w:pPr>
              <w:spacing w:before="20" w:after="20"/>
              <w:rPr>
                <w:i/>
              </w:rPr>
            </w:pPr>
          </w:p>
        </w:tc>
        <w:tc>
          <w:tcPr>
            <w:tcW w:w="1843" w:type="dxa"/>
            <w:shd w:val="clear" w:color="auto" w:fill="F3F3F3"/>
          </w:tcPr>
          <w:p w14:paraId="5BECED95" w14:textId="77777777" w:rsidR="005941D5" w:rsidRPr="00E54EEA" w:rsidRDefault="005941D5" w:rsidP="00D61AD7">
            <w:pPr>
              <w:spacing w:before="20" w:after="20"/>
              <w:rPr>
                <w:i/>
              </w:rPr>
            </w:pPr>
          </w:p>
        </w:tc>
        <w:tc>
          <w:tcPr>
            <w:tcW w:w="1842" w:type="dxa"/>
            <w:shd w:val="clear" w:color="auto" w:fill="F3F3F3"/>
          </w:tcPr>
          <w:p w14:paraId="2B63647E" w14:textId="77777777" w:rsidR="005941D5" w:rsidRPr="00E54EEA" w:rsidRDefault="005941D5" w:rsidP="00D61AD7">
            <w:pPr>
              <w:spacing w:before="20" w:after="20"/>
              <w:rPr>
                <w:i/>
              </w:rPr>
            </w:pPr>
          </w:p>
        </w:tc>
        <w:tc>
          <w:tcPr>
            <w:tcW w:w="1808" w:type="dxa"/>
            <w:shd w:val="clear" w:color="auto" w:fill="F3F3F3"/>
          </w:tcPr>
          <w:p w14:paraId="1F12F6D0" w14:textId="77777777" w:rsidR="005941D5" w:rsidRPr="00E54EEA" w:rsidRDefault="005941D5" w:rsidP="00D61AD7">
            <w:pPr>
              <w:spacing w:before="20" w:after="20"/>
              <w:rPr>
                <w:i/>
              </w:rPr>
            </w:pPr>
          </w:p>
        </w:tc>
      </w:tr>
    </w:tbl>
    <w:p w14:paraId="64DBAD15" w14:textId="77777777" w:rsidR="00996396" w:rsidRPr="00E54EEA" w:rsidRDefault="00996396" w:rsidP="005941D5">
      <w:pPr>
        <w:pStyle w:val="Heading3"/>
      </w:pPr>
      <w:r w:rsidRPr="00E54EEA">
        <w:t>Direct cash transfers by National Society/IFRC/ICRC</w:t>
      </w:r>
    </w:p>
    <w:p w14:paraId="46F5ABF9" w14:textId="77777777" w:rsidR="00996396" w:rsidRPr="00E54EEA" w:rsidRDefault="00996396" w:rsidP="00FF617E">
      <w:pPr>
        <w:rPr>
          <w:i/>
        </w:rPr>
      </w:pPr>
      <w:r w:rsidRPr="00E54EEA">
        <w:rPr>
          <w:i/>
        </w:rPr>
        <w:t>List the main functions that different departments will have when implementing CTP.</w:t>
      </w:r>
    </w:p>
    <w:p w14:paraId="59D358A8" w14:textId="77777777" w:rsidR="00996396" w:rsidRPr="00E54EEA" w:rsidRDefault="00996396" w:rsidP="00FF617E">
      <w:pPr>
        <w:rPr>
          <w:i/>
        </w:rPr>
      </w:pPr>
      <w:r w:rsidRPr="00E54EEA">
        <w:rPr>
          <w:i/>
        </w:rPr>
        <w:t>Add columns if additional actors are identified. A more complete version of this can be provided in the annex in table format (see ICRC and IFRC SOPs for examples of diagram formats). Add to and adapt the main functions listed below to suit your context.</w:t>
      </w:r>
    </w:p>
    <w:tbl>
      <w:tblPr>
        <w:tblStyle w:val="TableGrid"/>
        <w:tblW w:w="0" w:type="auto"/>
        <w:tblLook w:val="04A0" w:firstRow="1" w:lastRow="0" w:firstColumn="1" w:lastColumn="0" w:noHBand="0" w:noVBand="1"/>
      </w:tblPr>
      <w:tblGrid>
        <w:gridCol w:w="2235"/>
        <w:gridCol w:w="2126"/>
        <w:gridCol w:w="1843"/>
        <w:gridCol w:w="1842"/>
        <w:gridCol w:w="1808"/>
      </w:tblGrid>
      <w:tr w:rsidR="005941D5" w:rsidRPr="00E54EEA" w14:paraId="4ECF8768" w14:textId="77777777" w:rsidTr="005F6C47">
        <w:tc>
          <w:tcPr>
            <w:tcW w:w="2235" w:type="dxa"/>
            <w:tcBorders>
              <w:bottom w:val="single" w:sz="4" w:space="0" w:color="auto"/>
            </w:tcBorders>
            <w:shd w:val="clear" w:color="auto" w:fill="DC281E"/>
            <w:vAlign w:val="center"/>
          </w:tcPr>
          <w:p w14:paraId="4EFE5211"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Main function</w:t>
            </w:r>
          </w:p>
        </w:tc>
        <w:tc>
          <w:tcPr>
            <w:tcW w:w="2126" w:type="dxa"/>
            <w:tcBorders>
              <w:bottom w:val="single" w:sz="4" w:space="0" w:color="auto"/>
            </w:tcBorders>
            <w:shd w:val="clear" w:color="auto" w:fill="DC281E"/>
            <w:vAlign w:val="center"/>
          </w:tcPr>
          <w:p w14:paraId="0D9F2C0C" w14:textId="77777777" w:rsidR="005941D5" w:rsidRPr="00E54EEA" w:rsidRDefault="005941D5" w:rsidP="00581D79">
            <w:pPr>
              <w:pStyle w:val="Heading3"/>
              <w:spacing w:before="120"/>
              <w:jc w:val="center"/>
              <w:outlineLvl w:val="2"/>
              <w:rPr>
                <w:i/>
                <w:color w:val="FFFFFF" w:themeColor="background1"/>
                <w:sz w:val="20"/>
                <w:szCs w:val="20"/>
              </w:rPr>
            </w:pPr>
            <w:proofErr w:type="spellStart"/>
            <w:r w:rsidRPr="00E54EEA">
              <w:rPr>
                <w:color w:val="FFFFFF" w:themeColor="background1"/>
                <w:sz w:val="20"/>
                <w:szCs w:val="20"/>
              </w:rPr>
              <w:t>Programmes</w:t>
            </w:r>
            <w:proofErr w:type="spellEnd"/>
            <w:r w:rsidRPr="00E54EEA">
              <w:rPr>
                <w:color w:val="FFFFFF" w:themeColor="background1"/>
                <w:sz w:val="20"/>
                <w:szCs w:val="20"/>
              </w:rPr>
              <w:t>/</w:t>
            </w:r>
            <w:r w:rsidRPr="00E54EEA">
              <w:rPr>
                <w:color w:val="FFFFFF" w:themeColor="background1"/>
                <w:sz w:val="20"/>
                <w:szCs w:val="20"/>
              </w:rPr>
              <w:br/>
              <w:t>DM/</w:t>
            </w:r>
            <w:proofErr w:type="spellStart"/>
            <w:r w:rsidRPr="00E54EEA">
              <w:rPr>
                <w:color w:val="FFFFFF" w:themeColor="background1"/>
                <w:sz w:val="20"/>
                <w:szCs w:val="20"/>
              </w:rPr>
              <w:t>EcoSec</w:t>
            </w:r>
            <w:proofErr w:type="spellEnd"/>
          </w:p>
        </w:tc>
        <w:tc>
          <w:tcPr>
            <w:tcW w:w="1843" w:type="dxa"/>
            <w:tcBorders>
              <w:bottom w:val="single" w:sz="4" w:space="0" w:color="auto"/>
            </w:tcBorders>
            <w:shd w:val="clear" w:color="auto" w:fill="DC281E"/>
            <w:vAlign w:val="center"/>
          </w:tcPr>
          <w:p w14:paraId="2E6981FB"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Logistics</w:t>
            </w:r>
          </w:p>
        </w:tc>
        <w:tc>
          <w:tcPr>
            <w:tcW w:w="1842" w:type="dxa"/>
            <w:tcBorders>
              <w:bottom w:val="single" w:sz="4" w:space="0" w:color="auto"/>
            </w:tcBorders>
            <w:shd w:val="clear" w:color="auto" w:fill="DC281E"/>
            <w:vAlign w:val="center"/>
          </w:tcPr>
          <w:p w14:paraId="20AC47D0"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Finance/Admin</w:t>
            </w:r>
          </w:p>
        </w:tc>
        <w:tc>
          <w:tcPr>
            <w:tcW w:w="1808" w:type="dxa"/>
            <w:tcBorders>
              <w:bottom w:val="single" w:sz="4" w:space="0" w:color="auto"/>
            </w:tcBorders>
            <w:shd w:val="clear" w:color="auto" w:fill="DC281E"/>
            <w:vAlign w:val="center"/>
          </w:tcPr>
          <w:p w14:paraId="0C4BB0EF" w14:textId="77777777" w:rsidR="005941D5" w:rsidRPr="00E54EEA" w:rsidRDefault="005941D5" w:rsidP="00581D79">
            <w:pPr>
              <w:pStyle w:val="Heading3"/>
              <w:spacing w:before="120"/>
              <w:jc w:val="center"/>
              <w:outlineLvl w:val="2"/>
              <w:rPr>
                <w:i/>
                <w:color w:val="FFFFFF" w:themeColor="background1"/>
                <w:sz w:val="20"/>
                <w:szCs w:val="20"/>
              </w:rPr>
            </w:pPr>
            <w:r w:rsidRPr="00E54EEA">
              <w:rPr>
                <w:color w:val="FFFFFF" w:themeColor="background1"/>
                <w:sz w:val="20"/>
                <w:szCs w:val="20"/>
              </w:rPr>
              <w:t>Others</w:t>
            </w:r>
          </w:p>
        </w:tc>
      </w:tr>
      <w:tr w:rsidR="005941D5" w:rsidRPr="00E54EEA" w14:paraId="3C86C50B" w14:textId="77777777" w:rsidTr="005F6C47">
        <w:tc>
          <w:tcPr>
            <w:tcW w:w="2235" w:type="dxa"/>
            <w:shd w:val="clear" w:color="auto" w:fill="A6A6A6"/>
          </w:tcPr>
          <w:p w14:paraId="0A8A7EAC" w14:textId="77777777" w:rsidR="005941D5" w:rsidRPr="00E54EEA" w:rsidRDefault="005941D5" w:rsidP="00D61AD7">
            <w:pPr>
              <w:spacing w:before="20" w:after="20"/>
              <w:rPr>
                <w:i/>
              </w:rPr>
            </w:pPr>
            <w:r w:rsidRPr="00E54EEA">
              <w:t>CTP modality selection</w:t>
            </w:r>
          </w:p>
        </w:tc>
        <w:tc>
          <w:tcPr>
            <w:tcW w:w="2126" w:type="dxa"/>
            <w:shd w:val="clear" w:color="auto" w:fill="F3F3F3"/>
          </w:tcPr>
          <w:p w14:paraId="7E2A3072" w14:textId="77777777" w:rsidR="005941D5" w:rsidRPr="00E54EEA" w:rsidRDefault="005941D5" w:rsidP="00D61AD7">
            <w:pPr>
              <w:spacing w:before="20" w:after="20"/>
              <w:rPr>
                <w:i/>
              </w:rPr>
            </w:pPr>
          </w:p>
        </w:tc>
        <w:tc>
          <w:tcPr>
            <w:tcW w:w="1843" w:type="dxa"/>
            <w:shd w:val="clear" w:color="auto" w:fill="F3F3F3"/>
          </w:tcPr>
          <w:p w14:paraId="33918CD0" w14:textId="77777777" w:rsidR="005941D5" w:rsidRPr="00E54EEA" w:rsidRDefault="005941D5" w:rsidP="00D61AD7">
            <w:pPr>
              <w:spacing w:before="20" w:after="20"/>
              <w:rPr>
                <w:i/>
              </w:rPr>
            </w:pPr>
          </w:p>
        </w:tc>
        <w:tc>
          <w:tcPr>
            <w:tcW w:w="1842" w:type="dxa"/>
            <w:shd w:val="clear" w:color="auto" w:fill="F3F3F3"/>
          </w:tcPr>
          <w:p w14:paraId="71D3C3BA" w14:textId="77777777" w:rsidR="005941D5" w:rsidRPr="00E54EEA" w:rsidRDefault="005941D5" w:rsidP="00D61AD7">
            <w:pPr>
              <w:spacing w:before="20" w:after="20"/>
              <w:rPr>
                <w:i/>
              </w:rPr>
            </w:pPr>
          </w:p>
        </w:tc>
        <w:tc>
          <w:tcPr>
            <w:tcW w:w="1808" w:type="dxa"/>
            <w:shd w:val="clear" w:color="auto" w:fill="F3F3F3"/>
          </w:tcPr>
          <w:p w14:paraId="6408B14D" w14:textId="77777777" w:rsidR="005941D5" w:rsidRPr="00E54EEA" w:rsidRDefault="005941D5" w:rsidP="00D61AD7">
            <w:pPr>
              <w:spacing w:before="20" w:after="20"/>
              <w:rPr>
                <w:i/>
              </w:rPr>
            </w:pPr>
          </w:p>
        </w:tc>
      </w:tr>
      <w:tr w:rsidR="005941D5" w:rsidRPr="00E54EEA" w14:paraId="7095F642" w14:textId="77777777" w:rsidTr="005F6C47">
        <w:tc>
          <w:tcPr>
            <w:tcW w:w="2235" w:type="dxa"/>
            <w:shd w:val="clear" w:color="auto" w:fill="A6A6A6"/>
          </w:tcPr>
          <w:p w14:paraId="19420A52" w14:textId="77777777" w:rsidR="005941D5" w:rsidRPr="00E54EEA" w:rsidRDefault="005941D5" w:rsidP="00D61AD7">
            <w:pPr>
              <w:spacing w:before="20" w:after="20"/>
              <w:rPr>
                <w:i/>
              </w:rPr>
            </w:pPr>
            <w:r w:rsidRPr="00E54EEA">
              <w:t>Setting the value of the transfer</w:t>
            </w:r>
          </w:p>
        </w:tc>
        <w:tc>
          <w:tcPr>
            <w:tcW w:w="2126" w:type="dxa"/>
            <w:shd w:val="clear" w:color="auto" w:fill="F3F3F3"/>
          </w:tcPr>
          <w:p w14:paraId="15929EAB" w14:textId="77777777" w:rsidR="005941D5" w:rsidRPr="00E54EEA" w:rsidRDefault="005941D5" w:rsidP="00D61AD7">
            <w:pPr>
              <w:spacing w:before="20" w:after="20"/>
              <w:rPr>
                <w:i/>
              </w:rPr>
            </w:pPr>
          </w:p>
        </w:tc>
        <w:tc>
          <w:tcPr>
            <w:tcW w:w="1843" w:type="dxa"/>
            <w:shd w:val="clear" w:color="auto" w:fill="F3F3F3"/>
          </w:tcPr>
          <w:p w14:paraId="34DDC669" w14:textId="77777777" w:rsidR="005941D5" w:rsidRPr="00E54EEA" w:rsidRDefault="005941D5" w:rsidP="00D61AD7">
            <w:pPr>
              <w:spacing w:before="20" w:after="20"/>
              <w:rPr>
                <w:i/>
              </w:rPr>
            </w:pPr>
          </w:p>
        </w:tc>
        <w:tc>
          <w:tcPr>
            <w:tcW w:w="1842" w:type="dxa"/>
            <w:shd w:val="clear" w:color="auto" w:fill="F3F3F3"/>
          </w:tcPr>
          <w:p w14:paraId="3B117E24" w14:textId="77777777" w:rsidR="005941D5" w:rsidRPr="00E54EEA" w:rsidRDefault="005941D5" w:rsidP="00D61AD7">
            <w:pPr>
              <w:spacing w:before="20" w:after="20"/>
              <w:rPr>
                <w:i/>
              </w:rPr>
            </w:pPr>
          </w:p>
        </w:tc>
        <w:tc>
          <w:tcPr>
            <w:tcW w:w="1808" w:type="dxa"/>
            <w:shd w:val="clear" w:color="auto" w:fill="F3F3F3"/>
          </w:tcPr>
          <w:p w14:paraId="2920F64F" w14:textId="77777777" w:rsidR="005941D5" w:rsidRPr="00E54EEA" w:rsidRDefault="005941D5" w:rsidP="00D61AD7">
            <w:pPr>
              <w:spacing w:before="20" w:after="20"/>
              <w:rPr>
                <w:i/>
              </w:rPr>
            </w:pPr>
          </w:p>
        </w:tc>
      </w:tr>
      <w:tr w:rsidR="005941D5" w:rsidRPr="00E54EEA" w14:paraId="55B961AD" w14:textId="77777777" w:rsidTr="005F6C47">
        <w:tc>
          <w:tcPr>
            <w:tcW w:w="2235" w:type="dxa"/>
            <w:shd w:val="clear" w:color="auto" w:fill="A6A6A6"/>
          </w:tcPr>
          <w:p w14:paraId="44153FB5" w14:textId="77777777" w:rsidR="005941D5" w:rsidRPr="00E54EEA" w:rsidRDefault="005941D5" w:rsidP="00D61AD7">
            <w:pPr>
              <w:spacing w:before="20" w:after="20"/>
              <w:rPr>
                <w:i/>
              </w:rPr>
            </w:pPr>
            <w:r w:rsidRPr="00E54EEA">
              <w:t>Market assessment</w:t>
            </w:r>
          </w:p>
        </w:tc>
        <w:tc>
          <w:tcPr>
            <w:tcW w:w="2126" w:type="dxa"/>
            <w:shd w:val="clear" w:color="auto" w:fill="F3F3F3"/>
          </w:tcPr>
          <w:p w14:paraId="7E39D4A6" w14:textId="77777777" w:rsidR="005941D5" w:rsidRPr="00E54EEA" w:rsidRDefault="005941D5" w:rsidP="00D61AD7">
            <w:pPr>
              <w:spacing w:before="20" w:after="20"/>
              <w:rPr>
                <w:i/>
              </w:rPr>
            </w:pPr>
          </w:p>
        </w:tc>
        <w:tc>
          <w:tcPr>
            <w:tcW w:w="1843" w:type="dxa"/>
            <w:shd w:val="clear" w:color="auto" w:fill="F3F3F3"/>
          </w:tcPr>
          <w:p w14:paraId="0B9FD29A" w14:textId="77777777" w:rsidR="005941D5" w:rsidRPr="00E54EEA" w:rsidRDefault="005941D5" w:rsidP="00D61AD7">
            <w:pPr>
              <w:spacing w:before="20" w:after="20"/>
              <w:rPr>
                <w:i/>
              </w:rPr>
            </w:pPr>
          </w:p>
        </w:tc>
        <w:tc>
          <w:tcPr>
            <w:tcW w:w="1842" w:type="dxa"/>
            <w:shd w:val="clear" w:color="auto" w:fill="F3F3F3"/>
          </w:tcPr>
          <w:p w14:paraId="0D5F1FD0" w14:textId="77777777" w:rsidR="005941D5" w:rsidRPr="00E54EEA" w:rsidRDefault="005941D5" w:rsidP="00D61AD7">
            <w:pPr>
              <w:spacing w:before="20" w:after="20"/>
              <w:rPr>
                <w:i/>
              </w:rPr>
            </w:pPr>
          </w:p>
        </w:tc>
        <w:tc>
          <w:tcPr>
            <w:tcW w:w="1808" w:type="dxa"/>
            <w:shd w:val="clear" w:color="auto" w:fill="F3F3F3"/>
          </w:tcPr>
          <w:p w14:paraId="15541514" w14:textId="77777777" w:rsidR="005941D5" w:rsidRPr="00E54EEA" w:rsidRDefault="005941D5" w:rsidP="00D61AD7">
            <w:pPr>
              <w:spacing w:before="20" w:after="20"/>
              <w:rPr>
                <w:i/>
              </w:rPr>
            </w:pPr>
          </w:p>
        </w:tc>
      </w:tr>
      <w:tr w:rsidR="00D61AD7" w:rsidRPr="00E54EEA" w14:paraId="75C03287" w14:textId="77777777" w:rsidTr="005F6C47">
        <w:tc>
          <w:tcPr>
            <w:tcW w:w="2235" w:type="dxa"/>
            <w:shd w:val="clear" w:color="auto" w:fill="A6A6A6"/>
          </w:tcPr>
          <w:p w14:paraId="43E519A4" w14:textId="179119A6" w:rsidR="00D61AD7" w:rsidRPr="00E54EEA" w:rsidRDefault="00D61AD7" w:rsidP="00D61AD7">
            <w:pPr>
              <w:spacing w:before="20" w:after="20"/>
              <w:rPr>
                <w:i/>
              </w:rPr>
            </w:pPr>
            <w:r w:rsidRPr="00E54EEA">
              <w:t>Selection of payment method</w:t>
            </w:r>
          </w:p>
        </w:tc>
        <w:tc>
          <w:tcPr>
            <w:tcW w:w="2126" w:type="dxa"/>
            <w:shd w:val="clear" w:color="auto" w:fill="F3F3F3"/>
          </w:tcPr>
          <w:p w14:paraId="471582B7" w14:textId="77777777" w:rsidR="00D61AD7" w:rsidRPr="00E54EEA" w:rsidRDefault="00D61AD7" w:rsidP="00D61AD7">
            <w:pPr>
              <w:spacing w:before="20" w:after="20"/>
              <w:rPr>
                <w:i/>
              </w:rPr>
            </w:pPr>
          </w:p>
        </w:tc>
        <w:tc>
          <w:tcPr>
            <w:tcW w:w="1843" w:type="dxa"/>
            <w:shd w:val="clear" w:color="auto" w:fill="F3F3F3"/>
          </w:tcPr>
          <w:p w14:paraId="1F449407" w14:textId="77777777" w:rsidR="00D61AD7" w:rsidRPr="00E54EEA" w:rsidRDefault="00D61AD7" w:rsidP="00D61AD7">
            <w:pPr>
              <w:spacing w:before="20" w:after="20"/>
              <w:rPr>
                <w:i/>
              </w:rPr>
            </w:pPr>
          </w:p>
        </w:tc>
        <w:tc>
          <w:tcPr>
            <w:tcW w:w="1842" w:type="dxa"/>
            <w:shd w:val="clear" w:color="auto" w:fill="F3F3F3"/>
          </w:tcPr>
          <w:p w14:paraId="24EF9973" w14:textId="77777777" w:rsidR="00D61AD7" w:rsidRPr="00E54EEA" w:rsidRDefault="00D61AD7" w:rsidP="00D61AD7">
            <w:pPr>
              <w:spacing w:before="20" w:after="20"/>
              <w:rPr>
                <w:i/>
              </w:rPr>
            </w:pPr>
          </w:p>
        </w:tc>
        <w:tc>
          <w:tcPr>
            <w:tcW w:w="1808" w:type="dxa"/>
            <w:shd w:val="clear" w:color="auto" w:fill="F3F3F3"/>
          </w:tcPr>
          <w:p w14:paraId="16DEA081" w14:textId="77777777" w:rsidR="00D61AD7" w:rsidRPr="00E54EEA" w:rsidRDefault="00D61AD7" w:rsidP="00D61AD7">
            <w:pPr>
              <w:spacing w:before="20" w:after="20"/>
              <w:rPr>
                <w:i/>
              </w:rPr>
            </w:pPr>
          </w:p>
        </w:tc>
      </w:tr>
      <w:tr w:rsidR="00D61AD7" w:rsidRPr="00E54EEA" w14:paraId="7896BDBF" w14:textId="77777777" w:rsidTr="005F6C47">
        <w:tc>
          <w:tcPr>
            <w:tcW w:w="2235" w:type="dxa"/>
            <w:shd w:val="clear" w:color="auto" w:fill="A6A6A6"/>
          </w:tcPr>
          <w:p w14:paraId="695F51B0" w14:textId="3491A124" w:rsidR="00D61AD7" w:rsidRPr="00E54EEA" w:rsidRDefault="00D61AD7" w:rsidP="00D61AD7">
            <w:pPr>
              <w:spacing w:before="20" w:after="20"/>
              <w:rPr>
                <w:i/>
              </w:rPr>
            </w:pPr>
            <w:r w:rsidRPr="00E54EEA">
              <w:t>Risk audit</w:t>
            </w:r>
          </w:p>
        </w:tc>
        <w:tc>
          <w:tcPr>
            <w:tcW w:w="2126" w:type="dxa"/>
            <w:shd w:val="clear" w:color="auto" w:fill="F3F3F3"/>
          </w:tcPr>
          <w:p w14:paraId="08CDB551" w14:textId="77777777" w:rsidR="00D61AD7" w:rsidRPr="00E54EEA" w:rsidRDefault="00D61AD7" w:rsidP="00D61AD7">
            <w:pPr>
              <w:spacing w:before="20" w:after="20"/>
              <w:rPr>
                <w:i/>
              </w:rPr>
            </w:pPr>
          </w:p>
        </w:tc>
        <w:tc>
          <w:tcPr>
            <w:tcW w:w="1843" w:type="dxa"/>
            <w:shd w:val="clear" w:color="auto" w:fill="F3F3F3"/>
          </w:tcPr>
          <w:p w14:paraId="56B198E0" w14:textId="77777777" w:rsidR="00D61AD7" w:rsidRPr="00E54EEA" w:rsidRDefault="00D61AD7" w:rsidP="00D61AD7">
            <w:pPr>
              <w:spacing w:before="20" w:after="20"/>
              <w:rPr>
                <w:i/>
              </w:rPr>
            </w:pPr>
          </w:p>
        </w:tc>
        <w:tc>
          <w:tcPr>
            <w:tcW w:w="1842" w:type="dxa"/>
            <w:shd w:val="clear" w:color="auto" w:fill="F3F3F3"/>
          </w:tcPr>
          <w:p w14:paraId="7642A8E8" w14:textId="77777777" w:rsidR="00D61AD7" w:rsidRPr="00E54EEA" w:rsidRDefault="00D61AD7" w:rsidP="00D61AD7">
            <w:pPr>
              <w:spacing w:before="20" w:after="20"/>
              <w:rPr>
                <w:i/>
              </w:rPr>
            </w:pPr>
          </w:p>
        </w:tc>
        <w:tc>
          <w:tcPr>
            <w:tcW w:w="1808" w:type="dxa"/>
            <w:shd w:val="clear" w:color="auto" w:fill="F3F3F3"/>
          </w:tcPr>
          <w:p w14:paraId="7656BCD2" w14:textId="77777777" w:rsidR="00D61AD7" w:rsidRPr="00E54EEA" w:rsidRDefault="00D61AD7" w:rsidP="00D61AD7">
            <w:pPr>
              <w:spacing w:before="20" w:after="20"/>
              <w:rPr>
                <w:i/>
              </w:rPr>
            </w:pPr>
          </w:p>
        </w:tc>
      </w:tr>
      <w:tr w:rsidR="00D61AD7" w:rsidRPr="00E54EEA" w14:paraId="796424EC" w14:textId="77777777" w:rsidTr="005F6C47">
        <w:tc>
          <w:tcPr>
            <w:tcW w:w="2235" w:type="dxa"/>
            <w:shd w:val="clear" w:color="auto" w:fill="A6A6A6"/>
          </w:tcPr>
          <w:p w14:paraId="49FA3329" w14:textId="51DF9F85" w:rsidR="00D61AD7" w:rsidRPr="00E54EEA" w:rsidRDefault="00D61AD7" w:rsidP="00D61AD7">
            <w:pPr>
              <w:spacing w:before="20" w:after="20"/>
              <w:rPr>
                <w:i/>
              </w:rPr>
            </w:pPr>
            <w:r w:rsidRPr="00E54EEA">
              <w:t>Beneficiary registration</w:t>
            </w:r>
          </w:p>
        </w:tc>
        <w:tc>
          <w:tcPr>
            <w:tcW w:w="2126" w:type="dxa"/>
            <w:shd w:val="clear" w:color="auto" w:fill="F3F3F3"/>
          </w:tcPr>
          <w:p w14:paraId="1E897F98" w14:textId="77777777" w:rsidR="00D61AD7" w:rsidRPr="00E54EEA" w:rsidRDefault="00D61AD7" w:rsidP="00D61AD7">
            <w:pPr>
              <w:spacing w:before="20" w:after="20"/>
              <w:rPr>
                <w:i/>
              </w:rPr>
            </w:pPr>
          </w:p>
        </w:tc>
        <w:tc>
          <w:tcPr>
            <w:tcW w:w="1843" w:type="dxa"/>
            <w:shd w:val="clear" w:color="auto" w:fill="F3F3F3"/>
          </w:tcPr>
          <w:p w14:paraId="1BF09993" w14:textId="77777777" w:rsidR="00D61AD7" w:rsidRPr="00E54EEA" w:rsidRDefault="00D61AD7" w:rsidP="00D61AD7">
            <w:pPr>
              <w:spacing w:before="20" w:after="20"/>
              <w:rPr>
                <w:i/>
              </w:rPr>
            </w:pPr>
          </w:p>
        </w:tc>
        <w:tc>
          <w:tcPr>
            <w:tcW w:w="1842" w:type="dxa"/>
            <w:shd w:val="clear" w:color="auto" w:fill="F3F3F3"/>
          </w:tcPr>
          <w:p w14:paraId="78406E72" w14:textId="77777777" w:rsidR="00D61AD7" w:rsidRPr="00E54EEA" w:rsidRDefault="00D61AD7" w:rsidP="00D61AD7">
            <w:pPr>
              <w:spacing w:before="20" w:after="20"/>
              <w:rPr>
                <w:i/>
              </w:rPr>
            </w:pPr>
          </w:p>
        </w:tc>
        <w:tc>
          <w:tcPr>
            <w:tcW w:w="1808" w:type="dxa"/>
            <w:shd w:val="clear" w:color="auto" w:fill="F3F3F3"/>
          </w:tcPr>
          <w:p w14:paraId="5ADA07A5" w14:textId="77777777" w:rsidR="00D61AD7" w:rsidRPr="00E54EEA" w:rsidRDefault="00D61AD7" w:rsidP="00D61AD7">
            <w:pPr>
              <w:spacing w:before="20" w:after="20"/>
              <w:rPr>
                <w:i/>
              </w:rPr>
            </w:pPr>
          </w:p>
        </w:tc>
      </w:tr>
      <w:tr w:rsidR="00D61AD7" w:rsidRPr="00E54EEA" w14:paraId="67B902F5" w14:textId="77777777" w:rsidTr="005F6C47">
        <w:tc>
          <w:tcPr>
            <w:tcW w:w="2235" w:type="dxa"/>
            <w:shd w:val="clear" w:color="auto" w:fill="A6A6A6"/>
          </w:tcPr>
          <w:p w14:paraId="54710F74" w14:textId="0AF78910" w:rsidR="00D61AD7" w:rsidRPr="00E54EEA" w:rsidRDefault="00D61AD7" w:rsidP="00D61AD7">
            <w:pPr>
              <w:spacing w:before="20" w:after="20"/>
              <w:rPr>
                <w:i/>
              </w:rPr>
            </w:pPr>
            <w:r w:rsidRPr="00E54EEA">
              <w:t>Request for payment to beneficiaries</w:t>
            </w:r>
          </w:p>
        </w:tc>
        <w:tc>
          <w:tcPr>
            <w:tcW w:w="2126" w:type="dxa"/>
            <w:shd w:val="clear" w:color="auto" w:fill="F3F3F3"/>
          </w:tcPr>
          <w:p w14:paraId="106AC084" w14:textId="77777777" w:rsidR="00D61AD7" w:rsidRPr="00E54EEA" w:rsidRDefault="00D61AD7" w:rsidP="00D61AD7">
            <w:pPr>
              <w:spacing w:before="20" w:after="20"/>
              <w:rPr>
                <w:i/>
              </w:rPr>
            </w:pPr>
          </w:p>
        </w:tc>
        <w:tc>
          <w:tcPr>
            <w:tcW w:w="1843" w:type="dxa"/>
            <w:shd w:val="clear" w:color="auto" w:fill="F3F3F3"/>
          </w:tcPr>
          <w:p w14:paraId="6A684697" w14:textId="77777777" w:rsidR="00D61AD7" w:rsidRPr="00E54EEA" w:rsidRDefault="00D61AD7" w:rsidP="00D61AD7">
            <w:pPr>
              <w:spacing w:before="20" w:after="20"/>
              <w:rPr>
                <w:i/>
              </w:rPr>
            </w:pPr>
          </w:p>
        </w:tc>
        <w:tc>
          <w:tcPr>
            <w:tcW w:w="1842" w:type="dxa"/>
            <w:shd w:val="clear" w:color="auto" w:fill="F3F3F3"/>
          </w:tcPr>
          <w:p w14:paraId="3D69095D" w14:textId="77777777" w:rsidR="00D61AD7" w:rsidRPr="00E54EEA" w:rsidRDefault="00D61AD7" w:rsidP="00D61AD7">
            <w:pPr>
              <w:spacing w:before="20" w:after="20"/>
              <w:rPr>
                <w:i/>
              </w:rPr>
            </w:pPr>
          </w:p>
        </w:tc>
        <w:tc>
          <w:tcPr>
            <w:tcW w:w="1808" w:type="dxa"/>
            <w:shd w:val="clear" w:color="auto" w:fill="F3F3F3"/>
          </w:tcPr>
          <w:p w14:paraId="01990DF4" w14:textId="77777777" w:rsidR="00D61AD7" w:rsidRPr="00E54EEA" w:rsidRDefault="00D61AD7" w:rsidP="00D61AD7">
            <w:pPr>
              <w:spacing w:before="20" w:after="20"/>
              <w:rPr>
                <w:i/>
              </w:rPr>
            </w:pPr>
          </w:p>
        </w:tc>
      </w:tr>
      <w:tr w:rsidR="00D61AD7" w:rsidRPr="00E54EEA" w14:paraId="799563AD" w14:textId="77777777" w:rsidTr="005F6C47">
        <w:tc>
          <w:tcPr>
            <w:tcW w:w="2235" w:type="dxa"/>
            <w:shd w:val="clear" w:color="auto" w:fill="A6A6A6"/>
          </w:tcPr>
          <w:p w14:paraId="3FB36F7C" w14:textId="5551D2D3" w:rsidR="00D61AD7" w:rsidRPr="00E54EEA" w:rsidRDefault="00D61AD7" w:rsidP="00D61AD7">
            <w:pPr>
              <w:spacing w:before="20" w:after="20"/>
              <w:rPr>
                <w:i/>
              </w:rPr>
            </w:pPr>
            <w:r w:rsidRPr="00E54EEA">
              <w:t xml:space="preserve">Validation of transfers </w:t>
            </w:r>
          </w:p>
        </w:tc>
        <w:tc>
          <w:tcPr>
            <w:tcW w:w="2126" w:type="dxa"/>
            <w:shd w:val="clear" w:color="auto" w:fill="F3F3F3"/>
          </w:tcPr>
          <w:p w14:paraId="61C8BE5D" w14:textId="77777777" w:rsidR="00D61AD7" w:rsidRPr="00E54EEA" w:rsidRDefault="00D61AD7" w:rsidP="00D61AD7">
            <w:pPr>
              <w:spacing w:before="20" w:after="20"/>
              <w:rPr>
                <w:i/>
              </w:rPr>
            </w:pPr>
          </w:p>
        </w:tc>
        <w:tc>
          <w:tcPr>
            <w:tcW w:w="1843" w:type="dxa"/>
            <w:shd w:val="clear" w:color="auto" w:fill="F3F3F3"/>
          </w:tcPr>
          <w:p w14:paraId="6D3BD936" w14:textId="77777777" w:rsidR="00D61AD7" w:rsidRPr="00E54EEA" w:rsidRDefault="00D61AD7" w:rsidP="00D61AD7">
            <w:pPr>
              <w:spacing w:before="20" w:after="20"/>
              <w:rPr>
                <w:i/>
              </w:rPr>
            </w:pPr>
          </w:p>
        </w:tc>
        <w:tc>
          <w:tcPr>
            <w:tcW w:w="1842" w:type="dxa"/>
            <w:shd w:val="clear" w:color="auto" w:fill="F3F3F3"/>
          </w:tcPr>
          <w:p w14:paraId="2C08EE3F" w14:textId="77777777" w:rsidR="00D61AD7" w:rsidRPr="00E54EEA" w:rsidRDefault="00D61AD7" w:rsidP="00D61AD7">
            <w:pPr>
              <w:spacing w:before="20" w:after="20"/>
              <w:rPr>
                <w:i/>
              </w:rPr>
            </w:pPr>
          </w:p>
        </w:tc>
        <w:tc>
          <w:tcPr>
            <w:tcW w:w="1808" w:type="dxa"/>
            <w:shd w:val="clear" w:color="auto" w:fill="F3F3F3"/>
          </w:tcPr>
          <w:p w14:paraId="6DA8A380" w14:textId="77777777" w:rsidR="00D61AD7" w:rsidRPr="00E54EEA" w:rsidRDefault="00D61AD7" w:rsidP="00D61AD7">
            <w:pPr>
              <w:spacing w:before="20" w:after="20"/>
              <w:rPr>
                <w:i/>
              </w:rPr>
            </w:pPr>
          </w:p>
        </w:tc>
      </w:tr>
      <w:tr w:rsidR="00D61AD7" w:rsidRPr="00E54EEA" w14:paraId="434D1A3A" w14:textId="77777777" w:rsidTr="005F6C47">
        <w:tc>
          <w:tcPr>
            <w:tcW w:w="2235" w:type="dxa"/>
            <w:shd w:val="clear" w:color="auto" w:fill="A6A6A6"/>
          </w:tcPr>
          <w:p w14:paraId="731DDF8D" w14:textId="3F11C258" w:rsidR="00D61AD7" w:rsidRPr="00E54EEA" w:rsidRDefault="00D61AD7" w:rsidP="00D61AD7">
            <w:pPr>
              <w:spacing w:before="20" w:after="20"/>
              <w:rPr>
                <w:i/>
              </w:rPr>
            </w:pPr>
            <w:r w:rsidRPr="00E54EEA">
              <w:t>Follow up of feedback and response mechanism</w:t>
            </w:r>
          </w:p>
        </w:tc>
        <w:tc>
          <w:tcPr>
            <w:tcW w:w="2126" w:type="dxa"/>
            <w:shd w:val="clear" w:color="auto" w:fill="F3F3F3"/>
          </w:tcPr>
          <w:p w14:paraId="5C16203A" w14:textId="77777777" w:rsidR="00D61AD7" w:rsidRPr="00E54EEA" w:rsidRDefault="00D61AD7" w:rsidP="00D61AD7">
            <w:pPr>
              <w:spacing w:before="20" w:after="20"/>
              <w:rPr>
                <w:i/>
              </w:rPr>
            </w:pPr>
          </w:p>
        </w:tc>
        <w:tc>
          <w:tcPr>
            <w:tcW w:w="1843" w:type="dxa"/>
            <w:shd w:val="clear" w:color="auto" w:fill="F3F3F3"/>
          </w:tcPr>
          <w:p w14:paraId="57DF4296" w14:textId="77777777" w:rsidR="00D61AD7" w:rsidRPr="00E54EEA" w:rsidRDefault="00D61AD7" w:rsidP="00D61AD7">
            <w:pPr>
              <w:spacing w:before="20" w:after="20"/>
              <w:rPr>
                <w:i/>
              </w:rPr>
            </w:pPr>
          </w:p>
        </w:tc>
        <w:tc>
          <w:tcPr>
            <w:tcW w:w="1842" w:type="dxa"/>
            <w:shd w:val="clear" w:color="auto" w:fill="F3F3F3"/>
          </w:tcPr>
          <w:p w14:paraId="2B0A5573" w14:textId="77777777" w:rsidR="00D61AD7" w:rsidRPr="00E54EEA" w:rsidRDefault="00D61AD7" w:rsidP="00D61AD7">
            <w:pPr>
              <w:spacing w:before="20" w:after="20"/>
              <w:rPr>
                <w:i/>
              </w:rPr>
            </w:pPr>
          </w:p>
        </w:tc>
        <w:tc>
          <w:tcPr>
            <w:tcW w:w="1808" w:type="dxa"/>
            <w:shd w:val="clear" w:color="auto" w:fill="F3F3F3"/>
          </w:tcPr>
          <w:p w14:paraId="467CF844" w14:textId="77777777" w:rsidR="00D61AD7" w:rsidRPr="00E54EEA" w:rsidRDefault="00D61AD7" w:rsidP="00D61AD7">
            <w:pPr>
              <w:spacing w:before="20" w:after="20"/>
              <w:rPr>
                <w:i/>
              </w:rPr>
            </w:pPr>
          </w:p>
        </w:tc>
      </w:tr>
      <w:tr w:rsidR="00D61AD7" w:rsidRPr="00E54EEA" w14:paraId="42A406AD" w14:textId="77777777" w:rsidTr="005F6C47">
        <w:tc>
          <w:tcPr>
            <w:tcW w:w="2235" w:type="dxa"/>
            <w:shd w:val="clear" w:color="auto" w:fill="A6A6A6"/>
          </w:tcPr>
          <w:p w14:paraId="7FF3EE85" w14:textId="27596DB5" w:rsidR="00D61AD7" w:rsidRPr="00E54EEA" w:rsidRDefault="00D61AD7" w:rsidP="00D61AD7">
            <w:pPr>
              <w:spacing w:before="20" w:after="20"/>
              <w:rPr>
                <w:i/>
              </w:rPr>
            </w:pPr>
            <w:r w:rsidRPr="00E54EEA">
              <w:t>Market price monitoring</w:t>
            </w:r>
          </w:p>
        </w:tc>
        <w:tc>
          <w:tcPr>
            <w:tcW w:w="2126" w:type="dxa"/>
            <w:shd w:val="clear" w:color="auto" w:fill="F3F3F3"/>
          </w:tcPr>
          <w:p w14:paraId="4C126126" w14:textId="77777777" w:rsidR="00D61AD7" w:rsidRPr="00E54EEA" w:rsidRDefault="00D61AD7" w:rsidP="00D61AD7">
            <w:pPr>
              <w:spacing w:before="20" w:after="20"/>
              <w:rPr>
                <w:i/>
              </w:rPr>
            </w:pPr>
          </w:p>
        </w:tc>
        <w:tc>
          <w:tcPr>
            <w:tcW w:w="1843" w:type="dxa"/>
            <w:shd w:val="clear" w:color="auto" w:fill="F3F3F3"/>
          </w:tcPr>
          <w:p w14:paraId="7825B9CE" w14:textId="77777777" w:rsidR="00D61AD7" w:rsidRPr="00E54EEA" w:rsidRDefault="00D61AD7" w:rsidP="00D61AD7">
            <w:pPr>
              <w:spacing w:before="20" w:after="20"/>
              <w:rPr>
                <w:i/>
              </w:rPr>
            </w:pPr>
          </w:p>
        </w:tc>
        <w:tc>
          <w:tcPr>
            <w:tcW w:w="1842" w:type="dxa"/>
            <w:shd w:val="clear" w:color="auto" w:fill="F3F3F3"/>
          </w:tcPr>
          <w:p w14:paraId="5A560D38" w14:textId="77777777" w:rsidR="00D61AD7" w:rsidRPr="00E54EEA" w:rsidRDefault="00D61AD7" w:rsidP="00D61AD7">
            <w:pPr>
              <w:spacing w:before="20" w:after="20"/>
              <w:rPr>
                <w:i/>
              </w:rPr>
            </w:pPr>
          </w:p>
        </w:tc>
        <w:tc>
          <w:tcPr>
            <w:tcW w:w="1808" w:type="dxa"/>
            <w:shd w:val="clear" w:color="auto" w:fill="F3F3F3"/>
          </w:tcPr>
          <w:p w14:paraId="32460113" w14:textId="77777777" w:rsidR="00D61AD7" w:rsidRPr="00E54EEA" w:rsidRDefault="00D61AD7" w:rsidP="00D61AD7">
            <w:pPr>
              <w:spacing w:before="20" w:after="20"/>
              <w:rPr>
                <w:i/>
              </w:rPr>
            </w:pPr>
          </w:p>
        </w:tc>
      </w:tr>
      <w:tr w:rsidR="00D61AD7" w:rsidRPr="00E54EEA" w14:paraId="638A1F1C" w14:textId="77777777" w:rsidTr="005F6C47">
        <w:tc>
          <w:tcPr>
            <w:tcW w:w="2235" w:type="dxa"/>
            <w:shd w:val="clear" w:color="auto" w:fill="A6A6A6"/>
          </w:tcPr>
          <w:p w14:paraId="29A0ED58" w14:textId="2CD27406" w:rsidR="00D61AD7" w:rsidRPr="00E54EEA" w:rsidRDefault="00D61AD7" w:rsidP="00D61AD7">
            <w:pPr>
              <w:spacing w:before="20" w:after="20"/>
              <w:rPr>
                <w:i/>
              </w:rPr>
            </w:pPr>
            <w:r w:rsidRPr="00E54EEA">
              <w:t>Other</w:t>
            </w:r>
          </w:p>
        </w:tc>
        <w:tc>
          <w:tcPr>
            <w:tcW w:w="2126" w:type="dxa"/>
            <w:shd w:val="clear" w:color="auto" w:fill="F3F3F3"/>
          </w:tcPr>
          <w:p w14:paraId="1DBE2249" w14:textId="77777777" w:rsidR="00D61AD7" w:rsidRPr="00E54EEA" w:rsidRDefault="00D61AD7" w:rsidP="00D61AD7">
            <w:pPr>
              <w:spacing w:before="20" w:after="20"/>
              <w:rPr>
                <w:i/>
              </w:rPr>
            </w:pPr>
          </w:p>
        </w:tc>
        <w:tc>
          <w:tcPr>
            <w:tcW w:w="1843" w:type="dxa"/>
            <w:shd w:val="clear" w:color="auto" w:fill="F3F3F3"/>
          </w:tcPr>
          <w:p w14:paraId="223611C7" w14:textId="77777777" w:rsidR="00D61AD7" w:rsidRPr="00E54EEA" w:rsidRDefault="00D61AD7" w:rsidP="00D61AD7">
            <w:pPr>
              <w:spacing w:before="20" w:after="20"/>
              <w:rPr>
                <w:i/>
              </w:rPr>
            </w:pPr>
          </w:p>
        </w:tc>
        <w:tc>
          <w:tcPr>
            <w:tcW w:w="1842" w:type="dxa"/>
            <w:shd w:val="clear" w:color="auto" w:fill="F3F3F3"/>
          </w:tcPr>
          <w:p w14:paraId="0F54CF2B" w14:textId="77777777" w:rsidR="00D61AD7" w:rsidRPr="00E54EEA" w:rsidRDefault="00D61AD7" w:rsidP="00D61AD7">
            <w:pPr>
              <w:spacing w:before="20" w:after="20"/>
              <w:rPr>
                <w:i/>
              </w:rPr>
            </w:pPr>
          </w:p>
        </w:tc>
        <w:tc>
          <w:tcPr>
            <w:tcW w:w="1808" w:type="dxa"/>
            <w:shd w:val="clear" w:color="auto" w:fill="F3F3F3"/>
          </w:tcPr>
          <w:p w14:paraId="439C7039" w14:textId="77777777" w:rsidR="00D61AD7" w:rsidRPr="00E54EEA" w:rsidRDefault="00D61AD7" w:rsidP="00D61AD7">
            <w:pPr>
              <w:spacing w:before="20" w:after="20"/>
              <w:rPr>
                <w:i/>
              </w:rPr>
            </w:pPr>
          </w:p>
        </w:tc>
      </w:tr>
    </w:tbl>
    <w:p w14:paraId="25880D6F" w14:textId="77777777" w:rsidR="00996396" w:rsidRPr="00E54EEA" w:rsidRDefault="00996396" w:rsidP="00D61AD7">
      <w:pPr>
        <w:pStyle w:val="Heading3"/>
      </w:pPr>
      <w:r w:rsidRPr="00E54EEA">
        <w:t>Ways of working</w:t>
      </w:r>
    </w:p>
    <w:p w14:paraId="6F781DEF" w14:textId="77777777" w:rsidR="00996396" w:rsidRPr="00E54EEA" w:rsidRDefault="00996396" w:rsidP="004D2939">
      <w:pPr>
        <w:spacing w:after="60"/>
        <w:jc w:val="left"/>
        <w:rPr>
          <w:i/>
        </w:rPr>
      </w:pPr>
      <w:r w:rsidRPr="00E54EEA">
        <w:rPr>
          <w:i/>
        </w:rPr>
        <w:t xml:space="preserve">State clearly the mechanisms for the ways of working that have been established including: </w:t>
      </w:r>
    </w:p>
    <w:p w14:paraId="6E214605" w14:textId="77777777" w:rsidR="00996396" w:rsidRPr="00E54EEA" w:rsidRDefault="00996396" w:rsidP="007B3979">
      <w:pPr>
        <w:pStyle w:val="Bullet2"/>
      </w:pPr>
      <w:r w:rsidRPr="00E54EEA">
        <w:t>CTP TWG (state members and meetings planned)</w:t>
      </w:r>
    </w:p>
    <w:p w14:paraId="0D8812C0" w14:textId="77777777" w:rsidR="00996396" w:rsidRPr="00E54EEA" w:rsidRDefault="00996396" w:rsidP="007B3979">
      <w:pPr>
        <w:pStyle w:val="Bullet2"/>
      </w:pPr>
      <w:r w:rsidRPr="00E54EEA">
        <w:t>Cash focal point (CFP) (state main role at national and branch/field level)</w:t>
      </w:r>
    </w:p>
    <w:p w14:paraId="3843F6A3" w14:textId="77777777" w:rsidR="00996396" w:rsidRPr="00E54EEA" w:rsidRDefault="00996396" w:rsidP="007B3979">
      <w:pPr>
        <w:pStyle w:val="Bullet2"/>
      </w:pPr>
      <w:r w:rsidRPr="00E54EEA">
        <w:t>DM/Programmes/</w:t>
      </w:r>
      <w:proofErr w:type="spellStart"/>
      <w:r w:rsidRPr="00E54EEA">
        <w:t>EcoSec</w:t>
      </w:r>
      <w:proofErr w:type="spellEnd"/>
      <w:r w:rsidRPr="00E54EEA">
        <w:t xml:space="preserve"> (state main roles)</w:t>
      </w:r>
    </w:p>
    <w:p w14:paraId="2259AF79" w14:textId="77777777" w:rsidR="00996396" w:rsidRPr="00E54EEA" w:rsidRDefault="00996396" w:rsidP="007B3979">
      <w:pPr>
        <w:pStyle w:val="Bullet2"/>
      </w:pPr>
      <w:r w:rsidRPr="00E54EEA">
        <w:t>Coordination with Movement actors</w:t>
      </w:r>
    </w:p>
    <w:p w14:paraId="65AD69C8" w14:textId="77777777" w:rsidR="00996396" w:rsidRPr="00E54EEA" w:rsidRDefault="00996396" w:rsidP="007B3979">
      <w:pPr>
        <w:pStyle w:val="Bullet2"/>
      </w:pPr>
      <w:r w:rsidRPr="00E54EEA">
        <w:t>External coordination with non-Red Cross Red Crescent actors</w:t>
      </w:r>
    </w:p>
    <w:p w14:paraId="48BFF9AB" w14:textId="77777777" w:rsidR="00996396" w:rsidRPr="00E54EEA" w:rsidRDefault="00996396" w:rsidP="00D61AD7">
      <w:pPr>
        <w:pStyle w:val="Heading3"/>
      </w:pPr>
      <w:r w:rsidRPr="00E54EEA">
        <w:t>IV. Annexes</w:t>
      </w:r>
    </w:p>
    <w:p w14:paraId="07D9F110" w14:textId="77777777" w:rsidR="00996396" w:rsidRPr="00E54EEA" w:rsidRDefault="00996396" w:rsidP="004D2939">
      <w:pPr>
        <w:spacing w:after="60"/>
        <w:rPr>
          <w:i/>
        </w:rPr>
      </w:pPr>
      <w:r w:rsidRPr="00E54EEA">
        <w:rPr>
          <w:i/>
        </w:rPr>
        <w:t>Include any additional documentation produced during different stages of the programme cycle:</w:t>
      </w:r>
    </w:p>
    <w:p w14:paraId="4F01A16B" w14:textId="77777777" w:rsidR="00996396" w:rsidRPr="00E54EEA" w:rsidRDefault="00996396" w:rsidP="007B3979">
      <w:pPr>
        <w:pStyle w:val="Bullet2"/>
      </w:pPr>
      <w:r w:rsidRPr="00E54EEA">
        <w:t>Preparedness</w:t>
      </w:r>
    </w:p>
    <w:p w14:paraId="0C9A5EF7" w14:textId="77777777" w:rsidR="00996396" w:rsidRPr="00E54EEA" w:rsidRDefault="00996396" w:rsidP="007B3979">
      <w:pPr>
        <w:pStyle w:val="Bullet2"/>
      </w:pPr>
      <w:r w:rsidRPr="00E54EEA">
        <w:t>Assessment</w:t>
      </w:r>
    </w:p>
    <w:p w14:paraId="1939DC16" w14:textId="77777777" w:rsidR="00996396" w:rsidRPr="00E54EEA" w:rsidRDefault="00996396" w:rsidP="007B3979">
      <w:pPr>
        <w:pStyle w:val="Bullet2"/>
      </w:pPr>
      <w:r w:rsidRPr="00E54EEA">
        <w:t>Response analysis</w:t>
      </w:r>
    </w:p>
    <w:p w14:paraId="5BBCEDDD" w14:textId="77777777" w:rsidR="00996396" w:rsidRPr="00E54EEA" w:rsidRDefault="00996396" w:rsidP="007B3979">
      <w:pPr>
        <w:pStyle w:val="Bullet2"/>
      </w:pPr>
      <w:r w:rsidRPr="00E54EEA">
        <w:t>Set-up and implementation</w:t>
      </w:r>
    </w:p>
    <w:p w14:paraId="79FE2820" w14:textId="77777777" w:rsidR="00996396" w:rsidRPr="00E54EEA" w:rsidRDefault="00996396" w:rsidP="007B3979">
      <w:pPr>
        <w:pStyle w:val="Bullet2"/>
      </w:pPr>
      <w:r w:rsidRPr="00E54EEA">
        <w:t>Monitoring and evaluation</w:t>
      </w:r>
    </w:p>
    <w:p w14:paraId="56459B82" w14:textId="77777777" w:rsidR="00996396" w:rsidRPr="00E54EEA" w:rsidRDefault="00996396" w:rsidP="00193897">
      <w:pPr>
        <w:spacing w:before="240"/>
        <w:rPr>
          <w:i/>
        </w:rPr>
      </w:pPr>
      <w:r w:rsidRPr="00E54EEA">
        <w:rPr>
          <w:i/>
        </w:rPr>
        <w:t>Include any additional documentation linked to standard service agreements, voucher specifications or formats that should be used</w:t>
      </w:r>
    </w:p>
    <w:p w14:paraId="48B0FD07" w14:textId="48798A0D" w:rsidR="004D788E" w:rsidRPr="00E54EEA" w:rsidRDefault="004D788E" w:rsidP="00D61AD7">
      <w:pPr>
        <w:pStyle w:val="Heading3"/>
      </w:pPr>
      <w:r w:rsidRPr="00E54EEA">
        <w:lastRenderedPageBreak/>
        <w:t>Example: IFRC’s functions and roles for CBP (Source: IFRC CBP SOPs v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C87512" w:rsidRPr="00E54EEA" w14:paraId="04E5A31A" w14:textId="77777777" w:rsidTr="009317C3">
        <w:tc>
          <w:tcPr>
            <w:tcW w:w="0" w:type="pct"/>
            <w:tcBorders>
              <w:bottom w:val="single" w:sz="4" w:space="0" w:color="auto"/>
            </w:tcBorders>
            <w:shd w:val="clear" w:color="auto" w:fill="DC281E"/>
            <w:vAlign w:val="center"/>
          </w:tcPr>
          <w:p w14:paraId="7EDB01FA" w14:textId="6502B44C" w:rsidR="004D788E" w:rsidRPr="00E54EEA" w:rsidRDefault="004D788E" w:rsidP="007B7ABE">
            <w:pPr>
              <w:pStyle w:val="ListParagraph"/>
              <w:spacing w:before="120" w:after="120"/>
              <w:contextualSpacing w:val="0"/>
              <w:jc w:val="center"/>
              <w:rPr>
                <w:rFonts w:cs="Arial"/>
                <w:b/>
                <w:color w:val="FFFFFF" w:themeColor="background1"/>
              </w:rPr>
            </w:pPr>
            <w:r w:rsidRPr="00E54EEA">
              <w:rPr>
                <w:rFonts w:cs="Arial"/>
                <w:b/>
                <w:color w:val="FFFFFF" w:themeColor="background1"/>
              </w:rPr>
              <w:t>Functions</w:t>
            </w:r>
          </w:p>
        </w:tc>
        <w:tc>
          <w:tcPr>
            <w:tcW w:w="0" w:type="pct"/>
            <w:tcBorders>
              <w:bottom w:val="single" w:sz="4" w:space="0" w:color="auto"/>
            </w:tcBorders>
            <w:shd w:val="clear" w:color="auto" w:fill="DC281E"/>
            <w:vAlign w:val="center"/>
          </w:tcPr>
          <w:p w14:paraId="32E7E269" w14:textId="3DA44A82" w:rsidR="004D788E" w:rsidRPr="00E54EEA" w:rsidRDefault="004D788E" w:rsidP="007B7ABE">
            <w:pPr>
              <w:pStyle w:val="ListParagraph"/>
              <w:spacing w:before="120" w:after="120"/>
              <w:contextualSpacing w:val="0"/>
              <w:jc w:val="center"/>
              <w:rPr>
                <w:rFonts w:cs="Arial"/>
                <w:b/>
                <w:i/>
                <w:color w:val="FFFFFF" w:themeColor="background1"/>
              </w:rPr>
            </w:pPr>
            <w:r w:rsidRPr="00E54EEA">
              <w:rPr>
                <w:rFonts w:cs="Arial"/>
                <w:b/>
                <w:color w:val="FFFFFF" w:themeColor="background1"/>
              </w:rPr>
              <w:t>Roles for CTP</w:t>
            </w:r>
          </w:p>
        </w:tc>
      </w:tr>
      <w:tr w:rsidR="004D788E" w:rsidRPr="00E54EEA" w14:paraId="5E7759F2" w14:textId="77777777" w:rsidTr="005F0DB4">
        <w:tc>
          <w:tcPr>
            <w:tcW w:w="990" w:type="pct"/>
            <w:tcBorders>
              <w:top w:val="single" w:sz="4" w:space="0" w:color="auto"/>
              <w:left w:val="single" w:sz="4" w:space="0" w:color="auto"/>
              <w:bottom w:val="single" w:sz="4" w:space="0" w:color="auto"/>
              <w:right w:val="single" w:sz="4" w:space="0" w:color="auto"/>
            </w:tcBorders>
            <w:shd w:val="clear" w:color="auto" w:fill="A6A6A6"/>
          </w:tcPr>
          <w:p w14:paraId="33198BD6" w14:textId="4205FCA7" w:rsidR="004D788E" w:rsidRPr="00E54EEA" w:rsidRDefault="004D788E" w:rsidP="00C87512">
            <w:pPr>
              <w:pStyle w:val="ListParagraph"/>
              <w:rPr>
                <w:rFonts w:cs="Arial"/>
              </w:rPr>
            </w:pPr>
            <w:r w:rsidRPr="00E54EEA">
              <w:rPr>
                <w:rFonts w:cs="Arial"/>
              </w:rPr>
              <w:t xml:space="preserve">Programmes </w:t>
            </w:r>
            <w:r w:rsidR="00D61AD7" w:rsidRPr="00E54EEA">
              <w:rPr>
                <w:rFonts w:cs="Arial"/>
              </w:rPr>
              <w:br/>
            </w:r>
            <w:r w:rsidRPr="00E54EEA">
              <w:rPr>
                <w:rFonts w:cs="Arial"/>
              </w:rPr>
              <w:t>(including beneficiary communication and planning, monitoring, evaluation and reporting)</w:t>
            </w:r>
          </w:p>
        </w:tc>
        <w:tc>
          <w:tcPr>
            <w:tcW w:w="4010" w:type="pct"/>
            <w:tcBorders>
              <w:top w:val="single" w:sz="4" w:space="0" w:color="auto"/>
              <w:left w:val="single" w:sz="4" w:space="0" w:color="auto"/>
              <w:bottom w:val="single" w:sz="4" w:space="0" w:color="auto"/>
              <w:right w:val="single" w:sz="4" w:space="0" w:color="auto"/>
            </w:tcBorders>
            <w:shd w:val="clear" w:color="auto" w:fill="E6E6E6"/>
          </w:tcPr>
          <w:p w14:paraId="76166748" w14:textId="77777777" w:rsidR="004D788E" w:rsidRPr="00E54EEA" w:rsidRDefault="004D788E" w:rsidP="00193897">
            <w:pPr>
              <w:pStyle w:val="Bullet2"/>
              <w:ind w:left="422" w:hanging="284"/>
            </w:pPr>
            <w:r w:rsidRPr="00E54EEA">
              <w:t>Takes overall programme management responsibility for CBP, including setting criteria and parameters to support services</w:t>
            </w:r>
          </w:p>
          <w:p w14:paraId="54852D7D" w14:textId="77777777" w:rsidR="004D788E" w:rsidRPr="00E54EEA" w:rsidRDefault="004D788E" w:rsidP="00193897">
            <w:pPr>
              <w:pStyle w:val="Bullet2"/>
              <w:ind w:left="422" w:hanging="284"/>
            </w:pPr>
            <w:r w:rsidRPr="00E54EEA">
              <w:t>Manages the process of assessing needs, appropriateness and feasibility of CBP, selecting the most appropriate cash transfer modality and delivery mechanisms, and ensuring good-quality programme design</w:t>
            </w:r>
          </w:p>
          <w:p w14:paraId="142F09AD" w14:textId="77777777" w:rsidR="004D788E" w:rsidRPr="00E54EEA" w:rsidRDefault="004D788E" w:rsidP="00193897">
            <w:pPr>
              <w:pStyle w:val="Bullet2"/>
              <w:ind w:left="422" w:hanging="284"/>
            </w:pPr>
            <w:r w:rsidRPr="00E54EEA">
              <w:t>Provides advice on intended beneficiary preferences and customs around CBP to other stakeholders involved in the programme</w:t>
            </w:r>
          </w:p>
          <w:p w14:paraId="6B92EF96" w14:textId="77777777" w:rsidR="004D788E" w:rsidRPr="00E54EEA" w:rsidRDefault="004D788E" w:rsidP="00193897">
            <w:pPr>
              <w:pStyle w:val="Bullet2"/>
              <w:ind w:left="422" w:hanging="284"/>
            </w:pPr>
            <w:r w:rsidRPr="00E54EEA">
              <w:t>Devises an appropriate communication strategy (including whistle-blowing and feedback mechanisms) that matches the chosen CBP modality and delivery mechanism in consultation with the National Society and affected population</w:t>
            </w:r>
          </w:p>
          <w:p w14:paraId="7EFE411A" w14:textId="77777777" w:rsidR="004D788E" w:rsidRPr="00E54EEA" w:rsidRDefault="004D788E" w:rsidP="00193897">
            <w:pPr>
              <w:pStyle w:val="Bullet2"/>
              <w:ind w:left="422" w:hanging="284"/>
            </w:pPr>
            <w:r w:rsidRPr="00E54EEA">
              <w:t>Provides advice/support on developing monitoring and evaluation plans on best methods and frequency of data collection to track the quality and impact of CBP</w:t>
            </w:r>
          </w:p>
          <w:p w14:paraId="7B148D22" w14:textId="77777777" w:rsidR="004D788E" w:rsidRPr="00E54EEA" w:rsidRDefault="004D788E" w:rsidP="00193897">
            <w:pPr>
              <w:pStyle w:val="Bullet2"/>
              <w:ind w:left="422" w:hanging="284"/>
              <w:rPr>
                <w:b/>
              </w:rPr>
            </w:pPr>
            <w:r w:rsidRPr="00E54EEA">
              <w:t>Promotes CBP good practice and common programming approaches and standards through specific networks and IFRC experience (e.g., International Red Cross and Red Crescent Movement Cash Peer Group, Shelter Cluster Leadership, partnership with CaLP)</w:t>
            </w:r>
          </w:p>
        </w:tc>
      </w:tr>
      <w:tr w:rsidR="004D788E" w:rsidRPr="00E54EEA" w14:paraId="6E441D35" w14:textId="77777777" w:rsidTr="005F0DB4">
        <w:tc>
          <w:tcPr>
            <w:tcW w:w="990" w:type="pct"/>
            <w:shd w:val="clear" w:color="auto" w:fill="A6A6A6"/>
          </w:tcPr>
          <w:p w14:paraId="23C277DA" w14:textId="77777777" w:rsidR="004D788E" w:rsidRPr="00E54EEA" w:rsidRDefault="004D788E" w:rsidP="00C87512">
            <w:pPr>
              <w:pStyle w:val="ListParagraph"/>
              <w:rPr>
                <w:rFonts w:cs="Arial"/>
              </w:rPr>
            </w:pPr>
            <w:r w:rsidRPr="00E54EEA">
              <w:rPr>
                <w:rFonts w:cs="Arial"/>
              </w:rPr>
              <w:t>Logistics</w:t>
            </w:r>
          </w:p>
        </w:tc>
        <w:tc>
          <w:tcPr>
            <w:tcW w:w="4010" w:type="pct"/>
            <w:shd w:val="clear" w:color="auto" w:fill="E6E6E6"/>
          </w:tcPr>
          <w:p w14:paraId="767C9EFD" w14:textId="77777777" w:rsidR="004D788E" w:rsidRPr="00E54EEA" w:rsidRDefault="004D788E" w:rsidP="00193897">
            <w:pPr>
              <w:pStyle w:val="Bullet2"/>
              <w:ind w:left="422" w:hanging="284"/>
            </w:pPr>
            <w:r w:rsidRPr="00E54EEA">
              <w:t>Participates in the assessment process, especially when assessing markets and CBP feasibility, due to skills in analysing market systems, market chains, traders and service providers</w:t>
            </w:r>
          </w:p>
          <w:p w14:paraId="25EC43FA" w14:textId="77777777" w:rsidR="004D788E" w:rsidRPr="00E54EEA" w:rsidRDefault="004D788E" w:rsidP="00193897">
            <w:pPr>
              <w:pStyle w:val="Bullet2"/>
              <w:ind w:left="422" w:hanging="284"/>
            </w:pPr>
            <w:r w:rsidRPr="00E54EEA">
              <w:t>Manages the tender and contract process with commodity and/or cash vouchers and third parties/transfer companies</w:t>
            </w:r>
          </w:p>
          <w:p w14:paraId="73F88F3B" w14:textId="77777777" w:rsidR="004D788E" w:rsidRPr="00E54EEA" w:rsidRDefault="004D788E" w:rsidP="00193897">
            <w:pPr>
              <w:pStyle w:val="Bullet2"/>
              <w:ind w:left="422" w:hanging="284"/>
            </w:pPr>
            <w:r w:rsidRPr="00E54EEA">
              <w:t>Monitors quality of services delivered by suppliers</w:t>
            </w:r>
          </w:p>
          <w:p w14:paraId="219BBA3B" w14:textId="77777777" w:rsidR="004D788E" w:rsidRPr="00E54EEA" w:rsidRDefault="004D788E" w:rsidP="00193897">
            <w:pPr>
              <w:pStyle w:val="Bullet2"/>
              <w:ind w:left="422" w:hanging="284"/>
            </w:pPr>
            <w:r w:rsidRPr="00E54EEA">
              <w:t>Supports large-scale commodity-tracking activities</w:t>
            </w:r>
          </w:p>
        </w:tc>
      </w:tr>
      <w:tr w:rsidR="004D788E" w:rsidRPr="00E54EEA" w14:paraId="6557371E" w14:textId="77777777" w:rsidTr="005F0DB4">
        <w:tc>
          <w:tcPr>
            <w:tcW w:w="990" w:type="pct"/>
            <w:shd w:val="clear" w:color="auto" w:fill="A6A6A6"/>
          </w:tcPr>
          <w:p w14:paraId="462167CD" w14:textId="77777777" w:rsidR="004D788E" w:rsidRPr="00E54EEA" w:rsidRDefault="004D788E" w:rsidP="00C87512">
            <w:pPr>
              <w:pStyle w:val="ListParagraph"/>
              <w:rPr>
                <w:rFonts w:cs="Arial"/>
              </w:rPr>
            </w:pPr>
            <w:r w:rsidRPr="00E54EEA">
              <w:rPr>
                <w:rFonts w:cs="Arial"/>
              </w:rPr>
              <w:t>Finance</w:t>
            </w:r>
          </w:p>
        </w:tc>
        <w:tc>
          <w:tcPr>
            <w:tcW w:w="4010" w:type="pct"/>
            <w:shd w:val="clear" w:color="auto" w:fill="E6E6E6"/>
          </w:tcPr>
          <w:p w14:paraId="0A97EC62" w14:textId="77777777" w:rsidR="004D788E" w:rsidRPr="00E54EEA" w:rsidRDefault="004D788E" w:rsidP="00193897">
            <w:pPr>
              <w:pStyle w:val="Bullet2"/>
              <w:ind w:left="422" w:hanging="284"/>
            </w:pPr>
            <w:r w:rsidRPr="00E54EEA">
              <w:t>Supports and participates in cash feasibility assessment as the financial experts in the IFRC</w:t>
            </w:r>
          </w:p>
          <w:p w14:paraId="015414F7" w14:textId="77777777" w:rsidR="004D788E" w:rsidRPr="00E54EEA" w:rsidRDefault="004D788E" w:rsidP="00193897">
            <w:pPr>
              <w:pStyle w:val="Bullet2"/>
              <w:ind w:left="422" w:hanging="284"/>
            </w:pPr>
            <w:r w:rsidRPr="00E54EEA">
              <w:t>Establishes financial criteria, identifies third parties/transfer companies (financial intermediaries) to be approached, evaluates financial criteria and approves third parties selected through the tender process in compliance with IFRC Banking and Currency Procedures</w:t>
            </w:r>
          </w:p>
          <w:p w14:paraId="11B50566" w14:textId="77777777" w:rsidR="004D788E" w:rsidRPr="00E54EEA" w:rsidRDefault="004D788E" w:rsidP="00193897">
            <w:pPr>
              <w:pStyle w:val="Bullet2"/>
              <w:ind w:left="422" w:hanging="284"/>
            </w:pPr>
            <w:r w:rsidRPr="00E54EEA">
              <w:t>Supports the design of the financial reporting and reconciliation system at the programme design stage</w:t>
            </w:r>
          </w:p>
          <w:p w14:paraId="689CE056" w14:textId="77777777" w:rsidR="004D788E" w:rsidRPr="00E54EEA" w:rsidRDefault="004D788E" w:rsidP="00193897">
            <w:pPr>
              <w:pStyle w:val="Bullet2"/>
              <w:ind w:left="422" w:hanging="284"/>
            </w:pPr>
            <w:r w:rsidRPr="00E54EEA">
              <w:t>Validates financial reporting and reconciliation to ensure financial accountability</w:t>
            </w:r>
          </w:p>
        </w:tc>
      </w:tr>
      <w:tr w:rsidR="004D788E" w:rsidRPr="00E54EEA" w14:paraId="4F4100AB" w14:textId="77777777" w:rsidTr="005F0DB4">
        <w:tc>
          <w:tcPr>
            <w:tcW w:w="990" w:type="pct"/>
            <w:shd w:val="clear" w:color="auto" w:fill="A6A6A6"/>
          </w:tcPr>
          <w:p w14:paraId="5DEA6365" w14:textId="77777777" w:rsidR="004D788E" w:rsidRPr="00E54EEA" w:rsidRDefault="004D788E" w:rsidP="00C87512">
            <w:pPr>
              <w:pStyle w:val="ListParagraph"/>
              <w:rPr>
                <w:rFonts w:cs="Arial"/>
              </w:rPr>
            </w:pPr>
            <w:r w:rsidRPr="00E54EEA">
              <w:rPr>
                <w:rFonts w:cs="Arial"/>
              </w:rPr>
              <w:t>Security</w:t>
            </w:r>
          </w:p>
        </w:tc>
        <w:tc>
          <w:tcPr>
            <w:tcW w:w="4010" w:type="pct"/>
            <w:shd w:val="clear" w:color="auto" w:fill="E6E6E6"/>
          </w:tcPr>
          <w:p w14:paraId="03F4104F" w14:textId="77777777" w:rsidR="004D788E" w:rsidRPr="00E54EEA" w:rsidRDefault="004D788E" w:rsidP="00193897">
            <w:pPr>
              <w:pStyle w:val="Bullet2"/>
              <w:ind w:left="422" w:hanging="284"/>
            </w:pPr>
            <w:r w:rsidRPr="00E54EEA">
              <w:t>Participates in security risk assessments and reviews to ensure the level of risk is acceptable for programme staff, volunteers and beneficiaries</w:t>
            </w:r>
          </w:p>
          <w:p w14:paraId="4522486B" w14:textId="77777777" w:rsidR="004D788E" w:rsidRPr="00E54EEA" w:rsidRDefault="004D788E" w:rsidP="00193897">
            <w:pPr>
              <w:pStyle w:val="Bullet2"/>
              <w:ind w:left="422" w:hanging="284"/>
            </w:pPr>
            <w:r w:rsidRPr="00E54EEA">
              <w:t>Ensures that the programme/operation is compliant with the minimum security requirement (MSR)</w:t>
            </w:r>
          </w:p>
        </w:tc>
      </w:tr>
      <w:tr w:rsidR="004D788E" w:rsidRPr="00E54EEA" w14:paraId="494C8BD7" w14:textId="77777777" w:rsidTr="005F0DB4">
        <w:tc>
          <w:tcPr>
            <w:tcW w:w="990" w:type="pct"/>
            <w:shd w:val="clear" w:color="auto" w:fill="A6A6A6"/>
          </w:tcPr>
          <w:p w14:paraId="0BC38B1F" w14:textId="77777777" w:rsidR="004D788E" w:rsidRPr="00E54EEA" w:rsidRDefault="004D788E" w:rsidP="00C87512">
            <w:pPr>
              <w:pStyle w:val="ListParagraph"/>
              <w:rPr>
                <w:rFonts w:cs="Arial"/>
              </w:rPr>
            </w:pPr>
            <w:r w:rsidRPr="00E54EEA">
              <w:rPr>
                <w:rFonts w:cs="Arial"/>
              </w:rPr>
              <w:t>Risk management and audit</w:t>
            </w:r>
          </w:p>
        </w:tc>
        <w:tc>
          <w:tcPr>
            <w:tcW w:w="4010" w:type="pct"/>
            <w:shd w:val="clear" w:color="auto" w:fill="E6E6E6"/>
          </w:tcPr>
          <w:p w14:paraId="67BCE66C" w14:textId="77777777" w:rsidR="004D788E" w:rsidRPr="00E54EEA" w:rsidRDefault="004D788E" w:rsidP="00193897">
            <w:pPr>
              <w:pStyle w:val="Bullet2"/>
              <w:ind w:left="422" w:hanging="284"/>
            </w:pPr>
            <w:r w:rsidRPr="00E54EEA">
              <w:t>Provides advice where necessary on risk management processes</w:t>
            </w:r>
          </w:p>
          <w:p w14:paraId="54E0A5FC" w14:textId="77777777" w:rsidR="004D788E" w:rsidRPr="00E54EEA" w:rsidRDefault="004D788E" w:rsidP="00193897">
            <w:pPr>
              <w:pStyle w:val="Bullet2"/>
              <w:ind w:left="422" w:hanging="284"/>
            </w:pPr>
            <w:r w:rsidRPr="00E54EEA">
              <w:t>Reviews any audit clauses in the Memorandum of Understanding (MoU)/agreements made with CBP providers, where there are specific donor audit requirements on CBP</w:t>
            </w:r>
          </w:p>
        </w:tc>
      </w:tr>
      <w:tr w:rsidR="004D788E" w:rsidRPr="00E54EEA" w14:paraId="29A1C7FA" w14:textId="77777777" w:rsidTr="005F0DB4">
        <w:tc>
          <w:tcPr>
            <w:tcW w:w="990" w:type="pct"/>
            <w:shd w:val="clear" w:color="auto" w:fill="A6A6A6"/>
          </w:tcPr>
          <w:p w14:paraId="189D8209" w14:textId="77777777" w:rsidR="004D788E" w:rsidRPr="00E54EEA" w:rsidRDefault="004D788E" w:rsidP="00C87512">
            <w:pPr>
              <w:pStyle w:val="ListParagraph"/>
              <w:rPr>
                <w:rFonts w:cs="Arial"/>
              </w:rPr>
            </w:pPr>
            <w:r w:rsidRPr="00E54EEA">
              <w:rPr>
                <w:rFonts w:cs="Arial"/>
              </w:rPr>
              <w:t>Legal</w:t>
            </w:r>
          </w:p>
        </w:tc>
        <w:tc>
          <w:tcPr>
            <w:tcW w:w="4010" w:type="pct"/>
            <w:shd w:val="clear" w:color="auto" w:fill="E6E6E6"/>
          </w:tcPr>
          <w:p w14:paraId="6D925F52" w14:textId="77777777" w:rsidR="004D788E" w:rsidRPr="00E54EEA" w:rsidRDefault="004D788E" w:rsidP="00193897">
            <w:pPr>
              <w:pStyle w:val="Bullet2"/>
              <w:ind w:left="422" w:hanging="284"/>
            </w:pPr>
            <w:r w:rsidRPr="00E54EEA">
              <w:t>Reviews and guides on contracts when the IFRC standard contract template and conditions (Annex 4) are not acceptable</w:t>
            </w:r>
          </w:p>
          <w:p w14:paraId="235FB4A4" w14:textId="77777777" w:rsidR="004D788E" w:rsidRPr="00E54EEA" w:rsidRDefault="004D788E" w:rsidP="00193897">
            <w:pPr>
              <w:pStyle w:val="Bullet2"/>
              <w:ind w:left="422" w:hanging="284"/>
            </w:pPr>
            <w:r w:rsidRPr="00E54EEA">
              <w:t>Conducts any legal reviews or risk assessments, where necessary, depending on the context</w:t>
            </w:r>
          </w:p>
        </w:tc>
      </w:tr>
      <w:tr w:rsidR="004D788E" w:rsidRPr="00E54EEA" w14:paraId="11937125" w14:textId="77777777" w:rsidTr="005F0DB4">
        <w:tc>
          <w:tcPr>
            <w:tcW w:w="990" w:type="pct"/>
            <w:shd w:val="clear" w:color="auto" w:fill="A6A6A6"/>
          </w:tcPr>
          <w:p w14:paraId="3E8197D7" w14:textId="77777777" w:rsidR="004D788E" w:rsidRPr="00E54EEA" w:rsidRDefault="004D788E" w:rsidP="00C87512">
            <w:pPr>
              <w:pStyle w:val="ListParagraph"/>
              <w:rPr>
                <w:rFonts w:cs="Arial"/>
              </w:rPr>
            </w:pPr>
            <w:r w:rsidRPr="00E54EEA">
              <w:rPr>
                <w:rFonts w:cs="Arial"/>
              </w:rPr>
              <w:t>Information technology (IT) and communication systems support</w:t>
            </w:r>
          </w:p>
        </w:tc>
        <w:tc>
          <w:tcPr>
            <w:tcW w:w="4010" w:type="pct"/>
            <w:shd w:val="clear" w:color="auto" w:fill="E6E6E6"/>
          </w:tcPr>
          <w:p w14:paraId="0CAADAAA" w14:textId="77777777" w:rsidR="004D788E" w:rsidRPr="00E54EEA" w:rsidRDefault="004D788E" w:rsidP="00193897">
            <w:pPr>
              <w:pStyle w:val="Bullet2"/>
              <w:ind w:left="422" w:hanging="284"/>
            </w:pPr>
            <w:r w:rsidRPr="00E54EEA">
              <w:t>Provides technical know-how on IT-related aspects of CBP involving new technologies such as mobile phone banking, digital data gathering and electronic payment systems</w:t>
            </w:r>
          </w:p>
        </w:tc>
      </w:tr>
      <w:tr w:rsidR="004D788E" w:rsidRPr="00E54EEA" w14:paraId="1A9F43E0" w14:textId="77777777" w:rsidTr="005F0DB4">
        <w:tc>
          <w:tcPr>
            <w:tcW w:w="990" w:type="pct"/>
            <w:shd w:val="clear" w:color="auto" w:fill="A6A6A6"/>
          </w:tcPr>
          <w:p w14:paraId="6068538F" w14:textId="77777777" w:rsidR="004D788E" w:rsidRPr="00E54EEA" w:rsidRDefault="004D788E" w:rsidP="00C87512">
            <w:pPr>
              <w:pStyle w:val="ListParagraph"/>
              <w:rPr>
                <w:rFonts w:cs="Arial"/>
              </w:rPr>
            </w:pPr>
            <w:r w:rsidRPr="00E54EEA">
              <w:rPr>
                <w:rFonts w:cs="Arial"/>
              </w:rPr>
              <w:t>Resource mobilization</w:t>
            </w:r>
          </w:p>
        </w:tc>
        <w:tc>
          <w:tcPr>
            <w:tcW w:w="4010" w:type="pct"/>
            <w:shd w:val="clear" w:color="auto" w:fill="E6E6E6"/>
          </w:tcPr>
          <w:p w14:paraId="3327D83C" w14:textId="16244E41" w:rsidR="004D788E" w:rsidRPr="00E54EEA" w:rsidRDefault="004D788E" w:rsidP="00193897">
            <w:pPr>
              <w:pStyle w:val="Bullet2"/>
              <w:ind w:left="422" w:hanging="284"/>
              <w:rPr>
                <w:rFonts w:eastAsia="Calibri"/>
                <w:sz w:val="18"/>
                <w:szCs w:val="18"/>
              </w:rPr>
            </w:pPr>
            <w:r w:rsidRPr="00E54EEA">
              <w:t>Provides support to ongoing fund-raising and partnership efforts</w:t>
            </w:r>
          </w:p>
        </w:tc>
      </w:tr>
    </w:tbl>
    <w:p w14:paraId="38BE3AFB" w14:textId="77777777" w:rsidR="008E5090" w:rsidRPr="00E54EEA" w:rsidRDefault="008E5090" w:rsidP="00193897">
      <w:bookmarkStart w:id="0" w:name="_GoBack"/>
      <w:bookmarkEnd w:id="0"/>
    </w:p>
    <w:sectPr w:rsidR="008E5090" w:rsidRPr="00E54EEA" w:rsidSect="00996396">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3F1BA" w14:textId="77777777" w:rsidR="00EC3A64" w:rsidRDefault="00EC3A64" w:rsidP="00214F3B">
      <w:r>
        <w:separator/>
      </w:r>
    </w:p>
  </w:endnote>
  <w:endnote w:type="continuationSeparator" w:id="0">
    <w:p w14:paraId="2877A7D8" w14:textId="77777777" w:rsidR="00EC3A64" w:rsidRDefault="00EC3A64" w:rsidP="0021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DCE6" w14:textId="77777777" w:rsidR="00996396" w:rsidRPr="00B45C74" w:rsidRDefault="00996396"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F6C47">
      <w:rPr>
        <w:b/>
        <w:noProof/>
        <w:color w:val="808080" w:themeColor="background1" w:themeShade="80"/>
        <w:sz w:val="18"/>
        <w:szCs w:val="18"/>
      </w:rPr>
      <w:t>5</w:t>
    </w:r>
    <w:r w:rsidRPr="00B45C74">
      <w:rPr>
        <w:b/>
        <w:color w:val="808080" w:themeColor="background1" w:themeShade="80"/>
        <w:sz w:val="18"/>
        <w:szCs w:val="18"/>
      </w:rPr>
      <w:fldChar w:fldCharType="end"/>
    </w:r>
  </w:p>
  <w:p w14:paraId="0B2D37C7" w14:textId="1FCD08AA" w:rsidR="00996396" w:rsidRPr="003A3500" w:rsidRDefault="00996396" w:rsidP="00ED1B2B">
    <w:pPr>
      <w:pStyle w:val="Footer"/>
    </w:pPr>
    <w:r w:rsidRPr="00107E15">
      <w:rPr>
        <w:b/>
      </w:rPr>
      <w:t xml:space="preserve">Module </w:t>
    </w:r>
    <w:r>
      <w:rPr>
        <w:b/>
      </w:rPr>
      <w:t>1</w:t>
    </w:r>
    <w:r w:rsidRPr="00107E15">
      <w:rPr>
        <w:b/>
      </w:rPr>
      <w:t>.</w:t>
    </w:r>
    <w:r w:rsidRPr="00107E15">
      <w:t xml:space="preserve"> Step </w:t>
    </w:r>
    <w:r>
      <w:t xml:space="preserve">2. Sub-step 4. </w:t>
    </w:r>
    <w:r w:rsidRPr="00107E15">
      <w:rPr>
        <w:i/>
      </w:rPr>
      <w:fldChar w:fldCharType="begin"/>
    </w:r>
    <w:r w:rsidRPr="00107E15">
      <w:rPr>
        <w:i/>
      </w:rPr>
      <w:instrText xml:space="preserve"> STYLEREF  H1 \t  \* MERGEFORMAT </w:instrText>
    </w:r>
    <w:r w:rsidRPr="00107E15">
      <w:rPr>
        <w:i/>
      </w:rPr>
      <w:fldChar w:fldCharType="separate"/>
    </w:r>
    <w:r w:rsidR="005F6C47" w:rsidRPr="005F6C47">
      <w:rPr>
        <w:noProof/>
      </w:rPr>
      <w:t>CTP standard operating procedures template</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703ED" w14:textId="77777777" w:rsidR="00EC3A64" w:rsidRDefault="00EC3A64" w:rsidP="00214F3B">
      <w:r>
        <w:separator/>
      </w:r>
    </w:p>
  </w:footnote>
  <w:footnote w:type="continuationSeparator" w:id="0">
    <w:p w14:paraId="2DBFE5AD" w14:textId="77777777" w:rsidR="00EC3A64" w:rsidRDefault="00EC3A64" w:rsidP="0021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9A3F" w14:textId="77777777" w:rsidR="00996396" w:rsidRPr="00074036" w:rsidRDefault="00996396"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C139D"/>
    <w:multiLevelType w:val="hybridMultilevel"/>
    <w:tmpl w:val="5F909934"/>
    <w:lvl w:ilvl="0" w:tplc="DDE2BC54">
      <w:start w:val="1"/>
      <w:numFmt w:val="bullet"/>
      <w:pStyle w:val="Bullet2"/>
      <w:lvlText w:val=""/>
      <w:lvlJc w:val="left"/>
      <w:pPr>
        <w:ind w:left="720" w:hanging="360"/>
      </w:pPr>
      <w:rPr>
        <w:rFonts w:ascii="Symbol" w:hAnsi="Symbol" w:hint="default"/>
        <w:b/>
        <w:color w:val="DC28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17"/>
    <w:rsid w:val="00006BBF"/>
    <w:rsid w:val="00010DFE"/>
    <w:rsid w:val="0002541D"/>
    <w:rsid w:val="00030CC0"/>
    <w:rsid w:val="00031FA3"/>
    <w:rsid w:val="0003434B"/>
    <w:rsid w:val="00034AA0"/>
    <w:rsid w:val="000368AB"/>
    <w:rsid w:val="00042735"/>
    <w:rsid w:val="0005150F"/>
    <w:rsid w:val="00084F9F"/>
    <w:rsid w:val="000949C1"/>
    <w:rsid w:val="00096297"/>
    <w:rsid w:val="00096A14"/>
    <w:rsid w:val="000A167A"/>
    <w:rsid w:val="000B42FE"/>
    <w:rsid w:val="000F5FB3"/>
    <w:rsid w:val="00130F7D"/>
    <w:rsid w:val="00134925"/>
    <w:rsid w:val="00137659"/>
    <w:rsid w:val="001418A3"/>
    <w:rsid w:val="00154AE7"/>
    <w:rsid w:val="00166927"/>
    <w:rsid w:val="00167FDA"/>
    <w:rsid w:val="0017388C"/>
    <w:rsid w:val="0018189F"/>
    <w:rsid w:val="00193897"/>
    <w:rsid w:val="001B1B4C"/>
    <w:rsid w:val="001C0FC8"/>
    <w:rsid w:val="001F5B89"/>
    <w:rsid w:val="00214F3B"/>
    <w:rsid w:val="00224867"/>
    <w:rsid w:val="00242E9E"/>
    <w:rsid w:val="00243808"/>
    <w:rsid w:val="002467E6"/>
    <w:rsid w:val="00257AB8"/>
    <w:rsid w:val="00266F5C"/>
    <w:rsid w:val="00267610"/>
    <w:rsid w:val="00271334"/>
    <w:rsid w:val="00276BFB"/>
    <w:rsid w:val="002A33FE"/>
    <w:rsid w:val="002A3623"/>
    <w:rsid w:val="002A5BC1"/>
    <w:rsid w:val="002D1DE8"/>
    <w:rsid w:val="002E6E16"/>
    <w:rsid w:val="002F38C4"/>
    <w:rsid w:val="0030260E"/>
    <w:rsid w:val="00311319"/>
    <w:rsid w:val="00312FC7"/>
    <w:rsid w:val="00315FA2"/>
    <w:rsid w:val="0032645A"/>
    <w:rsid w:val="003302F8"/>
    <w:rsid w:val="00334ADC"/>
    <w:rsid w:val="00343C8A"/>
    <w:rsid w:val="003441CC"/>
    <w:rsid w:val="00376F1D"/>
    <w:rsid w:val="003860BE"/>
    <w:rsid w:val="003A2774"/>
    <w:rsid w:val="003A4C81"/>
    <w:rsid w:val="003A7707"/>
    <w:rsid w:val="003B25BA"/>
    <w:rsid w:val="003B57A7"/>
    <w:rsid w:val="003B5CDD"/>
    <w:rsid w:val="003C6BF3"/>
    <w:rsid w:val="00405BE0"/>
    <w:rsid w:val="00432124"/>
    <w:rsid w:val="0044299B"/>
    <w:rsid w:val="0044743A"/>
    <w:rsid w:val="004544C0"/>
    <w:rsid w:val="00467B15"/>
    <w:rsid w:val="004742CD"/>
    <w:rsid w:val="00477CED"/>
    <w:rsid w:val="00481C65"/>
    <w:rsid w:val="00483585"/>
    <w:rsid w:val="00494645"/>
    <w:rsid w:val="00497B77"/>
    <w:rsid w:val="004C3EED"/>
    <w:rsid w:val="004D2939"/>
    <w:rsid w:val="004D66C9"/>
    <w:rsid w:val="004D6A32"/>
    <w:rsid w:val="004D788E"/>
    <w:rsid w:val="004F6C7D"/>
    <w:rsid w:val="00501173"/>
    <w:rsid w:val="005316C8"/>
    <w:rsid w:val="0054200E"/>
    <w:rsid w:val="00552296"/>
    <w:rsid w:val="00583B60"/>
    <w:rsid w:val="00590509"/>
    <w:rsid w:val="0059323F"/>
    <w:rsid w:val="005941D5"/>
    <w:rsid w:val="005A409A"/>
    <w:rsid w:val="005A50E0"/>
    <w:rsid w:val="005C7D99"/>
    <w:rsid w:val="005D5730"/>
    <w:rsid w:val="005E1A34"/>
    <w:rsid w:val="005E36A1"/>
    <w:rsid w:val="005F0DB4"/>
    <w:rsid w:val="005F6C47"/>
    <w:rsid w:val="005F7EE1"/>
    <w:rsid w:val="00602355"/>
    <w:rsid w:val="006153B3"/>
    <w:rsid w:val="00616565"/>
    <w:rsid w:val="00626529"/>
    <w:rsid w:val="006610CC"/>
    <w:rsid w:val="00662F1B"/>
    <w:rsid w:val="00667A44"/>
    <w:rsid w:val="00670146"/>
    <w:rsid w:val="0067681E"/>
    <w:rsid w:val="00682609"/>
    <w:rsid w:val="006B4442"/>
    <w:rsid w:val="006B4770"/>
    <w:rsid w:val="006C684D"/>
    <w:rsid w:val="006D3BF7"/>
    <w:rsid w:val="006D4416"/>
    <w:rsid w:val="006F2503"/>
    <w:rsid w:val="00706131"/>
    <w:rsid w:val="00734A8B"/>
    <w:rsid w:val="0073592B"/>
    <w:rsid w:val="007553A3"/>
    <w:rsid w:val="00762B34"/>
    <w:rsid w:val="00774B66"/>
    <w:rsid w:val="00776C4C"/>
    <w:rsid w:val="007A32C6"/>
    <w:rsid w:val="007A6E27"/>
    <w:rsid w:val="007B3979"/>
    <w:rsid w:val="007B6BB7"/>
    <w:rsid w:val="007B7ABE"/>
    <w:rsid w:val="007B7B4A"/>
    <w:rsid w:val="007C2235"/>
    <w:rsid w:val="007C4F1C"/>
    <w:rsid w:val="007D217B"/>
    <w:rsid w:val="007D35D5"/>
    <w:rsid w:val="007E3499"/>
    <w:rsid w:val="00806CAA"/>
    <w:rsid w:val="00807338"/>
    <w:rsid w:val="00830226"/>
    <w:rsid w:val="008332CB"/>
    <w:rsid w:val="008463FC"/>
    <w:rsid w:val="00865444"/>
    <w:rsid w:val="00866480"/>
    <w:rsid w:val="00874ACF"/>
    <w:rsid w:val="00876551"/>
    <w:rsid w:val="008779AB"/>
    <w:rsid w:val="0088211A"/>
    <w:rsid w:val="00893A68"/>
    <w:rsid w:val="00894B31"/>
    <w:rsid w:val="008B2C7F"/>
    <w:rsid w:val="008B31D5"/>
    <w:rsid w:val="008C0DA2"/>
    <w:rsid w:val="008C3212"/>
    <w:rsid w:val="008C75D0"/>
    <w:rsid w:val="008D0419"/>
    <w:rsid w:val="008D089D"/>
    <w:rsid w:val="008D2114"/>
    <w:rsid w:val="008E04A9"/>
    <w:rsid w:val="008E3B0A"/>
    <w:rsid w:val="008E5090"/>
    <w:rsid w:val="00903938"/>
    <w:rsid w:val="0091565A"/>
    <w:rsid w:val="00925A38"/>
    <w:rsid w:val="009317C3"/>
    <w:rsid w:val="009423E1"/>
    <w:rsid w:val="00962C54"/>
    <w:rsid w:val="00970E74"/>
    <w:rsid w:val="00971803"/>
    <w:rsid w:val="009728DC"/>
    <w:rsid w:val="009776D6"/>
    <w:rsid w:val="00996396"/>
    <w:rsid w:val="009A6E23"/>
    <w:rsid w:val="009B10DB"/>
    <w:rsid w:val="009C1B85"/>
    <w:rsid w:val="009C3C0F"/>
    <w:rsid w:val="009C3D1A"/>
    <w:rsid w:val="009D2B4A"/>
    <w:rsid w:val="009E631E"/>
    <w:rsid w:val="009E714B"/>
    <w:rsid w:val="00A238BA"/>
    <w:rsid w:val="00A622F2"/>
    <w:rsid w:val="00A65FA6"/>
    <w:rsid w:val="00A72044"/>
    <w:rsid w:val="00A85FA8"/>
    <w:rsid w:val="00A86B11"/>
    <w:rsid w:val="00A87771"/>
    <w:rsid w:val="00AA1ECA"/>
    <w:rsid w:val="00AC36ED"/>
    <w:rsid w:val="00AD003F"/>
    <w:rsid w:val="00AE143C"/>
    <w:rsid w:val="00AE50BC"/>
    <w:rsid w:val="00AF05D8"/>
    <w:rsid w:val="00B202C6"/>
    <w:rsid w:val="00B21E1C"/>
    <w:rsid w:val="00B35509"/>
    <w:rsid w:val="00B35D2B"/>
    <w:rsid w:val="00B4682B"/>
    <w:rsid w:val="00B50ECF"/>
    <w:rsid w:val="00B51F62"/>
    <w:rsid w:val="00B532ED"/>
    <w:rsid w:val="00B54D86"/>
    <w:rsid w:val="00B650D7"/>
    <w:rsid w:val="00B70758"/>
    <w:rsid w:val="00B8129F"/>
    <w:rsid w:val="00B84EAA"/>
    <w:rsid w:val="00B85FDA"/>
    <w:rsid w:val="00B960D0"/>
    <w:rsid w:val="00BB03D4"/>
    <w:rsid w:val="00BB3C24"/>
    <w:rsid w:val="00BC02CC"/>
    <w:rsid w:val="00BC48B3"/>
    <w:rsid w:val="00BC646F"/>
    <w:rsid w:val="00BC79AA"/>
    <w:rsid w:val="00BD4796"/>
    <w:rsid w:val="00C0208B"/>
    <w:rsid w:val="00C04C88"/>
    <w:rsid w:val="00C10C17"/>
    <w:rsid w:val="00C31A2C"/>
    <w:rsid w:val="00C35E27"/>
    <w:rsid w:val="00C37899"/>
    <w:rsid w:val="00C43A1E"/>
    <w:rsid w:val="00C75550"/>
    <w:rsid w:val="00C771C1"/>
    <w:rsid w:val="00C87512"/>
    <w:rsid w:val="00C91E90"/>
    <w:rsid w:val="00C960BE"/>
    <w:rsid w:val="00C970A0"/>
    <w:rsid w:val="00CB7B02"/>
    <w:rsid w:val="00CC4F58"/>
    <w:rsid w:val="00CE5307"/>
    <w:rsid w:val="00CF0B79"/>
    <w:rsid w:val="00D050D3"/>
    <w:rsid w:val="00D27CF6"/>
    <w:rsid w:val="00D5149A"/>
    <w:rsid w:val="00D5579A"/>
    <w:rsid w:val="00D61AD7"/>
    <w:rsid w:val="00D76C8D"/>
    <w:rsid w:val="00D8700E"/>
    <w:rsid w:val="00D9291B"/>
    <w:rsid w:val="00DA617A"/>
    <w:rsid w:val="00DC405D"/>
    <w:rsid w:val="00DE303F"/>
    <w:rsid w:val="00DF3988"/>
    <w:rsid w:val="00DF3E5A"/>
    <w:rsid w:val="00DF4B28"/>
    <w:rsid w:val="00E047BF"/>
    <w:rsid w:val="00E1492E"/>
    <w:rsid w:val="00E23289"/>
    <w:rsid w:val="00E3000C"/>
    <w:rsid w:val="00E345D8"/>
    <w:rsid w:val="00E3717D"/>
    <w:rsid w:val="00E54EEA"/>
    <w:rsid w:val="00E57307"/>
    <w:rsid w:val="00E57504"/>
    <w:rsid w:val="00E64A5D"/>
    <w:rsid w:val="00E72985"/>
    <w:rsid w:val="00E83F26"/>
    <w:rsid w:val="00E86DB9"/>
    <w:rsid w:val="00E92C7F"/>
    <w:rsid w:val="00EA3B6B"/>
    <w:rsid w:val="00EC0EF9"/>
    <w:rsid w:val="00EC251F"/>
    <w:rsid w:val="00EC3A64"/>
    <w:rsid w:val="00ED08F3"/>
    <w:rsid w:val="00EE7E9D"/>
    <w:rsid w:val="00F03560"/>
    <w:rsid w:val="00F0521C"/>
    <w:rsid w:val="00F075D4"/>
    <w:rsid w:val="00F12CB7"/>
    <w:rsid w:val="00F20C41"/>
    <w:rsid w:val="00F37F90"/>
    <w:rsid w:val="00F45BE2"/>
    <w:rsid w:val="00F6269B"/>
    <w:rsid w:val="00F666E6"/>
    <w:rsid w:val="00F8660A"/>
    <w:rsid w:val="00F86E21"/>
    <w:rsid w:val="00FB4FCB"/>
    <w:rsid w:val="00FC3D61"/>
    <w:rsid w:val="00FC52A7"/>
    <w:rsid w:val="00FD07B2"/>
    <w:rsid w:val="00FE04B9"/>
    <w:rsid w:val="00FE77EF"/>
    <w:rsid w:val="00FF5A48"/>
    <w:rsid w:val="00FF7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8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7F"/>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996396"/>
  </w:style>
  <w:style w:type="paragraph" w:styleId="Heading2">
    <w:name w:val="heading 2"/>
    <w:basedOn w:val="Normal"/>
    <w:next w:val="Normal"/>
    <w:link w:val="Heading2Char"/>
    <w:autoRedefine/>
    <w:uiPriority w:val="9"/>
    <w:unhideWhenUsed/>
    <w:qFormat/>
    <w:rsid w:val="00996396"/>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99639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396"/>
    <w:rPr>
      <w:rFonts w:ascii="Arial" w:eastAsiaTheme="minorEastAsia" w:hAnsi="Arial" w:cs="Arial"/>
      <w:b/>
      <w:caps/>
      <w:sz w:val="24"/>
      <w:szCs w:val="26"/>
    </w:rPr>
  </w:style>
  <w:style w:type="table" w:styleId="TableGrid">
    <w:name w:val="Table Grid"/>
    <w:basedOn w:val="TableNormal"/>
    <w:uiPriority w:val="59"/>
    <w:rsid w:val="00996396"/>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3"/>
    <w:basedOn w:val="Normal"/>
    <w:link w:val="ListParagraphChar"/>
    <w:autoRedefine/>
    <w:uiPriority w:val="34"/>
    <w:qFormat/>
    <w:rsid w:val="00C87512"/>
    <w:pPr>
      <w:spacing w:after="0"/>
      <w:contextualSpacing/>
      <w:jc w:val="left"/>
    </w:pPr>
    <w:rPr>
      <w:rFonts w:eastAsiaTheme="minorHAnsi" w:cstheme="minorBidi"/>
      <w:szCs w:val="22"/>
    </w:rPr>
  </w:style>
  <w:style w:type="paragraph" w:customStyle="1" w:styleId="Explanation">
    <w:name w:val="Explanation"/>
    <w:basedOn w:val="Normal"/>
    <w:qFormat/>
    <w:rsid w:val="00B8129F"/>
    <w:pPr>
      <w:shd w:val="clear" w:color="auto" w:fill="FFFFE1"/>
      <w:ind w:left="113" w:right="113"/>
    </w:pPr>
    <w:rPr>
      <w:rFonts w:ascii="Calibri" w:eastAsia="Times New Roman" w:hAnsi="Calibri" w:cs="Times New Roman"/>
      <w:i/>
      <w:iCs/>
      <w:szCs w:val="24"/>
    </w:rPr>
  </w:style>
  <w:style w:type="paragraph" w:customStyle="1" w:styleId="Exaplanationbullets">
    <w:name w:val="Exaplanation bullets"/>
    <w:basedOn w:val="Explanation"/>
    <w:qFormat/>
    <w:rsid w:val="00B8129F"/>
    <w:pPr>
      <w:numPr>
        <w:numId w:val="1"/>
      </w:numPr>
    </w:pPr>
  </w:style>
  <w:style w:type="character" w:customStyle="1" w:styleId="ListParagraphChar">
    <w:name w:val="List Paragraph Char"/>
    <w:aliases w:val="Bullet 3 Char"/>
    <w:basedOn w:val="DefaultParagraphFont"/>
    <w:link w:val="ListParagraph"/>
    <w:uiPriority w:val="34"/>
    <w:rsid w:val="00C87512"/>
    <w:rPr>
      <w:rFonts w:ascii="Arial" w:hAnsi="Arial"/>
      <w:sz w:val="20"/>
    </w:rPr>
  </w:style>
  <w:style w:type="paragraph" w:styleId="Header">
    <w:name w:val="header"/>
    <w:basedOn w:val="Normal"/>
    <w:link w:val="HeaderChar"/>
    <w:uiPriority w:val="99"/>
    <w:unhideWhenUsed/>
    <w:rsid w:val="00996396"/>
    <w:pPr>
      <w:spacing w:after="0" w:line="288" w:lineRule="auto"/>
      <w:jc w:val="left"/>
    </w:pPr>
    <w:rPr>
      <w:sz w:val="16"/>
    </w:rPr>
  </w:style>
  <w:style w:type="character" w:customStyle="1" w:styleId="HeaderChar">
    <w:name w:val="Header Char"/>
    <w:basedOn w:val="DefaultParagraphFont"/>
    <w:link w:val="Header"/>
    <w:uiPriority w:val="99"/>
    <w:rsid w:val="00996396"/>
    <w:rPr>
      <w:rFonts w:ascii="Arial" w:eastAsiaTheme="minorEastAsia" w:hAnsi="Arial" w:cs="Arial"/>
      <w:sz w:val="16"/>
      <w:szCs w:val="21"/>
    </w:rPr>
  </w:style>
  <w:style w:type="paragraph" w:styleId="Footer">
    <w:name w:val="footer"/>
    <w:basedOn w:val="Normal"/>
    <w:link w:val="FooterChar"/>
    <w:uiPriority w:val="99"/>
    <w:unhideWhenUsed/>
    <w:rsid w:val="00996396"/>
    <w:pPr>
      <w:spacing w:after="0"/>
      <w:jc w:val="left"/>
    </w:pPr>
    <w:rPr>
      <w:sz w:val="16"/>
      <w:szCs w:val="18"/>
    </w:rPr>
  </w:style>
  <w:style w:type="character" w:customStyle="1" w:styleId="FooterChar">
    <w:name w:val="Footer Char"/>
    <w:basedOn w:val="DefaultParagraphFont"/>
    <w:link w:val="Footer"/>
    <w:uiPriority w:val="99"/>
    <w:rsid w:val="00996396"/>
    <w:rPr>
      <w:rFonts w:ascii="Arial" w:eastAsiaTheme="minorEastAsia" w:hAnsi="Arial" w:cs="Arial"/>
      <w:sz w:val="16"/>
      <w:szCs w:val="18"/>
    </w:rPr>
  </w:style>
  <w:style w:type="paragraph" w:customStyle="1" w:styleId="ecxmsonormal">
    <w:name w:val="ecxmsonormal"/>
    <w:basedOn w:val="Normal"/>
    <w:rsid w:val="007E349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6396"/>
    <w:rPr>
      <w:sz w:val="18"/>
      <w:szCs w:val="18"/>
    </w:rPr>
  </w:style>
  <w:style w:type="paragraph" w:styleId="CommentText">
    <w:name w:val="annotation text"/>
    <w:basedOn w:val="Normal"/>
    <w:link w:val="CommentTextChar"/>
    <w:uiPriority w:val="99"/>
    <w:semiHidden/>
    <w:unhideWhenUsed/>
    <w:rsid w:val="00E64A5D"/>
    <w:rPr>
      <w:sz w:val="24"/>
      <w:szCs w:val="24"/>
    </w:rPr>
  </w:style>
  <w:style w:type="character" w:customStyle="1" w:styleId="CommentTextChar">
    <w:name w:val="Comment Text Char"/>
    <w:basedOn w:val="DefaultParagraphFont"/>
    <w:link w:val="CommentText"/>
    <w:uiPriority w:val="99"/>
    <w:semiHidden/>
    <w:rsid w:val="00E64A5D"/>
    <w:rPr>
      <w:sz w:val="24"/>
      <w:szCs w:val="24"/>
    </w:rPr>
  </w:style>
  <w:style w:type="paragraph" w:styleId="CommentSubject">
    <w:name w:val="annotation subject"/>
    <w:basedOn w:val="Normal"/>
    <w:link w:val="CommentSubjectChar"/>
    <w:uiPriority w:val="99"/>
    <w:semiHidden/>
    <w:unhideWhenUsed/>
    <w:rsid w:val="00996396"/>
    <w:rPr>
      <w:b/>
      <w:bCs/>
    </w:rPr>
  </w:style>
  <w:style w:type="character" w:customStyle="1" w:styleId="CommentSubjectChar">
    <w:name w:val="Comment Subject Char"/>
    <w:basedOn w:val="DefaultParagraphFont"/>
    <w:link w:val="CommentSubject"/>
    <w:uiPriority w:val="99"/>
    <w:semiHidden/>
    <w:rsid w:val="00996396"/>
    <w:rPr>
      <w:rFonts w:ascii="Arial" w:eastAsiaTheme="minorEastAsia" w:hAnsi="Arial" w:cs="Arial"/>
      <w:b/>
      <w:bCs/>
      <w:sz w:val="20"/>
      <w:szCs w:val="21"/>
    </w:rPr>
  </w:style>
  <w:style w:type="paragraph" w:styleId="BalloonText">
    <w:name w:val="Balloon Text"/>
    <w:basedOn w:val="Normal"/>
    <w:link w:val="BalloonTextChar"/>
    <w:uiPriority w:val="99"/>
    <w:semiHidden/>
    <w:unhideWhenUsed/>
    <w:rsid w:val="009963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396"/>
    <w:rPr>
      <w:rFonts w:ascii="Lucida Grande" w:eastAsiaTheme="minorEastAsia" w:hAnsi="Lucida Grande" w:cs="Lucida Grande"/>
      <w:sz w:val="18"/>
      <w:szCs w:val="18"/>
    </w:rPr>
  </w:style>
  <w:style w:type="paragraph" w:styleId="Revision">
    <w:name w:val="Revision"/>
    <w:hidden/>
    <w:uiPriority w:val="99"/>
    <w:semiHidden/>
    <w:rsid w:val="00996396"/>
    <w:pPr>
      <w:spacing w:line="240" w:lineRule="auto"/>
      <w:jc w:val="left"/>
    </w:pPr>
    <w:rPr>
      <w:rFonts w:ascii="Arial" w:eastAsiaTheme="minorEastAsia" w:hAnsi="Arial" w:cs="Arial"/>
      <w:sz w:val="21"/>
      <w:szCs w:val="21"/>
      <w:lang w:val="en-US"/>
    </w:rPr>
  </w:style>
  <w:style w:type="character" w:customStyle="1" w:styleId="Heading1Char">
    <w:name w:val="Heading 1 Char"/>
    <w:basedOn w:val="DefaultParagraphFont"/>
    <w:link w:val="Heading1"/>
    <w:uiPriority w:val="9"/>
    <w:rsid w:val="00996396"/>
    <w:rPr>
      <w:rFonts w:ascii="Arial" w:eastAsiaTheme="minorEastAsia" w:hAnsi="Arial" w:cs="Arial"/>
      <w:b/>
      <w:sz w:val="40"/>
      <w:szCs w:val="52"/>
    </w:rPr>
  </w:style>
  <w:style w:type="character" w:customStyle="1" w:styleId="Heading3Char">
    <w:name w:val="Heading 3 Char"/>
    <w:basedOn w:val="DefaultParagraphFont"/>
    <w:link w:val="Heading3"/>
    <w:uiPriority w:val="9"/>
    <w:rsid w:val="00996396"/>
    <w:rPr>
      <w:rFonts w:ascii="Arial" w:eastAsiaTheme="minorEastAsia" w:hAnsi="Arial" w:cs="Arial"/>
      <w:b/>
      <w:szCs w:val="24"/>
    </w:rPr>
  </w:style>
  <w:style w:type="paragraph" w:customStyle="1" w:styleId="Default">
    <w:name w:val="Default"/>
    <w:rsid w:val="00996396"/>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996396"/>
    <w:rPr>
      <w:b/>
    </w:rPr>
  </w:style>
  <w:style w:type="character" w:styleId="Hyperlink">
    <w:name w:val="Hyperlink"/>
    <w:basedOn w:val="DefaultParagraphFont"/>
    <w:uiPriority w:val="99"/>
    <w:unhideWhenUsed/>
    <w:rsid w:val="00996396"/>
    <w:rPr>
      <w:color w:val="0000FF" w:themeColor="hyperlink"/>
      <w:u w:val="single"/>
    </w:rPr>
  </w:style>
  <w:style w:type="character" w:styleId="FollowedHyperlink">
    <w:name w:val="FollowedHyperlink"/>
    <w:basedOn w:val="DefaultParagraphFont"/>
    <w:uiPriority w:val="99"/>
    <w:semiHidden/>
    <w:unhideWhenUsed/>
    <w:rsid w:val="00996396"/>
    <w:rPr>
      <w:color w:val="800080" w:themeColor="followedHyperlink"/>
      <w:u w:val="single"/>
    </w:rPr>
  </w:style>
  <w:style w:type="paragraph" w:styleId="FootnoteText">
    <w:name w:val="footnote text"/>
    <w:basedOn w:val="Normal"/>
    <w:link w:val="FootnoteTextChar"/>
    <w:autoRedefine/>
    <w:uiPriority w:val="99"/>
    <w:unhideWhenUsed/>
    <w:rsid w:val="00996396"/>
    <w:pPr>
      <w:spacing w:after="0"/>
    </w:pPr>
    <w:rPr>
      <w:sz w:val="16"/>
      <w:szCs w:val="18"/>
      <w:lang w:val="en-US"/>
    </w:rPr>
  </w:style>
  <w:style w:type="character" w:customStyle="1" w:styleId="FootnoteTextChar">
    <w:name w:val="Footnote Text Char"/>
    <w:basedOn w:val="DefaultParagraphFont"/>
    <w:link w:val="FootnoteText"/>
    <w:uiPriority w:val="99"/>
    <w:rsid w:val="00996396"/>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996396"/>
    <w:rPr>
      <w:vertAlign w:val="superscript"/>
    </w:rPr>
  </w:style>
  <w:style w:type="paragraph" w:customStyle="1" w:styleId="BasicParagraph">
    <w:name w:val="[Basic Paragraph]"/>
    <w:basedOn w:val="Normal"/>
    <w:uiPriority w:val="99"/>
    <w:rsid w:val="0099639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6396"/>
    <w:pPr>
      <w:spacing w:before="360" w:after="240"/>
      <w:jc w:val="left"/>
      <w:outlineLvl w:val="0"/>
    </w:pPr>
    <w:rPr>
      <w:b/>
      <w:sz w:val="40"/>
      <w:szCs w:val="52"/>
    </w:rPr>
  </w:style>
  <w:style w:type="paragraph" w:customStyle="1" w:styleId="Bullet1">
    <w:name w:val="Bullet 1"/>
    <w:basedOn w:val="ListParagraph"/>
    <w:autoRedefine/>
    <w:rsid w:val="00996396"/>
    <w:pPr>
      <w:numPr>
        <w:numId w:val="2"/>
      </w:numPr>
      <w:spacing w:after="60"/>
      <w:contextualSpacing w:val="0"/>
    </w:pPr>
    <w:rPr>
      <w:rFonts w:eastAsia="Times New Roman" w:cs="Arial"/>
      <w:color w:val="000000"/>
      <w:szCs w:val="21"/>
    </w:rPr>
  </w:style>
  <w:style w:type="paragraph" w:customStyle="1" w:styleId="RefItem1">
    <w:name w:val="Ref Item 1"/>
    <w:basedOn w:val="Normal"/>
    <w:rsid w:val="00996396"/>
    <w:pPr>
      <w:jc w:val="left"/>
    </w:pPr>
    <w:rPr>
      <w:color w:val="000000"/>
      <w:szCs w:val="24"/>
      <w:lang w:eastAsia="it-IT"/>
    </w:rPr>
  </w:style>
  <w:style w:type="paragraph" w:customStyle="1" w:styleId="RefTitre">
    <w:name w:val="Ref Titre"/>
    <w:basedOn w:val="Normal"/>
    <w:rsid w:val="00996396"/>
    <w:pPr>
      <w:jc w:val="left"/>
    </w:pPr>
    <w:rPr>
      <w:rFonts w:eastAsia="Times New Roman"/>
      <w:b/>
      <w:bCs/>
      <w:sz w:val="26"/>
      <w:szCs w:val="26"/>
    </w:rPr>
  </w:style>
  <w:style w:type="paragraph" w:customStyle="1" w:styleId="Header1">
    <w:name w:val="Header 1"/>
    <w:basedOn w:val="Header"/>
    <w:rsid w:val="00996396"/>
    <w:rPr>
      <w:b/>
      <w:color w:val="CC0000"/>
      <w:sz w:val="24"/>
      <w:szCs w:val="24"/>
    </w:rPr>
  </w:style>
  <w:style w:type="character" w:customStyle="1" w:styleId="Pantone485">
    <w:name w:val="Pantone 485"/>
    <w:basedOn w:val="DefaultParagraphFont"/>
    <w:uiPriority w:val="1"/>
    <w:qFormat/>
    <w:rsid w:val="00996396"/>
    <w:rPr>
      <w:rFonts w:cs="Caecilia-Light"/>
      <w:color w:val="F0281E"/>
      <w:szCs w:val="16"/>
    </w:rPr>
  </w:style>
  <w:style w:type="character" w:customStyle="1" w:styleId="H1Char">
    <w:name w:val="H1 Char"/>
    <w:basedOn w:val="DefaultParagraphFont"/>
    <w:link w:val="H1"/>
    <w:rsid w:val="00996396"/>
    <w:rPr>
      <w:rFonts w:ascii="Arial" w:eastAsiaTheme="minorEastAsia" w:hAnsi="Arial" w:cs="Arial"/>
      <w:b/>
      <w:sz w:val="40"/>
      <w:szCs w:val="52"/>
    </w:rPr>
  </w:style>
  <w:style w:type="table" w:customStyle="1" w:styleId="TableGray">
    <w:name w:val="Table Gray"/>
    <w:basedOn w:val="TableNormal"/>
    <w:uiPriority w:val="99"/>
    <w:rsid w:val="00996396"/>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autoRedefine/>
    <w:rsid w:val="007B3979"/>
    <w:pPr>
      <w:numPr>
        <w:numId w:val="3"/>
      </w:numPr>
      <w:tabs>
        <w:tab w:val="left" w:pos="7230"/>
      </w:tabs>
      <w:ind w:left="714" w:hanging="357"/>
    </w:pPr>
    <w:rPr>
      <w:rFonts w:cs="Arial"/>
    </w:rPr>
  </w:style>
  <w:style w:type="paragraph" w:customStyle="1" w:styleId="ListNumber1">
    <w:name w:val="List Number 1"/>
    <w:basedOn w:val="ListParagraph"/>
    <w:rsid w:val="00996396"/>
    <w:pPr>
      <w:numPr>
        <w:numId w:val="4"/>
      </w:numPr>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C7F"/>
    <w:pPr>
      <w:spacing w:after="120" w:line="240" w:lineRule="auto"/>
    </w:pPr>
    <w:rPr>
      <w:rFonts w:ascii="Arial" w:eastAsiaTheme="minorEastAsia" w:hAnsi="Arial" w:cs="Arial"/>
      <w:sz w:val="20"/>
      <w:szCs w:val="21"/>
    </w:rPr>
  </w:style>
  <w:style w:type="paragraph" w:styleId="Heading1">
    <w:name w:val="heading 1"/>
    <w:basedOn w:val="H1"/>
    <w:next w:val="Normal"/>
    <w:link w:val="Heading1Char"/>
    <w:uiPriority w:val="9"/>
    <w:rsid w:val="00996396"/>
  </w:style>
  <w:style w:type="paragraph" w:styleId="Heading2">
    <w:name w:val="heading 2"/>
    <w:basedOn w:val="Normal"/>
    <w:next w:val="Normal"/>
    <w:link w:val="Heading2Char"/>
    <w:autoRedefine/>
    <w:uiPriority w:val="9"/>
    <w:unhideWhenUsed/>
    <w:qFormat/>
    <w:rsid w:val="00996396"/>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996396"/>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396"/>
    <w:rPr>
      <w:rFonts w:ascii="Arial" w:eastAsiaTheme="minorEastAsia" w:hAnsi="Arial" w:cs="Arial"/>
      <w:b/>
      <w:caps/>
      <w:sz w:val="24"/>
      <w:szCs w:val="26"/>
    </w:rPr>
  </w:style>
  <w:style w:type="table" w:styleId="TableGrid">
    <w:name w:val="Table Grid"/>
    <w:basedOn w:val="TableNormal"/>
    <w:uiPriority w:val="59"/>
    <w:rsid w:val="00996396"/>
    <w:pPr>
      <w:spacing w:line="240" w:lineRule="auto"/>
      <w:jc w:val="left"/>
    </w:pPr>
    <w:rPr>
      <w:rFonts w:asciiTheme="majorHAnsi" w:eastAsiaTheme="minorEastAsia" w:hAnsiTheme="majorHAnsi" w:cs="ArialM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3"/>
    <w:basedOn w:val="Normal"/>
    <w:link w:val="ListParagraphChar"/>
    <w:autoRedefine/>
    <w:uiPriority w:val="34"/>
    <w:qFormat/>
    <w:rsid w:val="00C87512"/>
    <w:pPr>
      <w:spacing w:after="0"/>
      <w:contextualSpacing/>
      <w:jc w:val="left"/>
    </w:pPr>
    <w:rPr>
      <w:rFonts w:eastAsiaTheme="minorHAnsi" w:cstheme="minorBidi"/>
      <w:szCs w:val="22"/>
    </w:rPr>
  </w:style>
  <w:style w:type="paragraph" w:customStyle="1" w:styleId="Explanation">
    <w:name w:val="Explanation"/>
    <w:basedOn w:val="Normal"/>
    <w:qFormat/>
    <w:rsid w:val="00B8129F"/>
    <w:pPr>
      <w:shd w:val="clear" w:color="auto" w:fill="FFFFE1"/>
      <w:ind w:left="113" w:right="113"/>
    </w:pPr>
    <w:rPr>
      <w:rFonts w:ascii="Calibri" w:eastAsia="Times New Roman" w:hAnsi="Calibri" w:cs="Times New Roman"/>
      <w:i/>
      <w:iCs/>
      <w:szCs w:val="24"/>
    </w:rPr>
  </w:style>
  <w:style w:type="paragraph" w:customStyle="1" w:styleId="Exaplanationbullets">
    <w:name w:val="Exaplanation bullets"/>
    <w:basedOn w:val="Explanation"/>
    <w:qFormat/>
    <w:rsid w:val="00B8129F"/>
    <w:pPr>
      <w:numPr>
        <w:numId w:val="1"/>
      </w:numPr>
    </w:pPr>
  </w:style>
  <w:style w:type="character" w:customStyle="1" w:styleId="ListParagraphChar">
    <w:name w:val="List Paragraph Char"/>
    <w:aliases w:val="Bullet 3 Char"/>
    <w:basedOn w:val="DefaultParagraphFont"/>
    <w:link w:val="ListParagraph"/>
    <w:uiPriority w:val="34"/>
    <w:rsid w:val="00C87512"/>
    <w:rPr>
      <w:rFonts w:ascii="Arial" w:hAnsi="Arial"/>
      <w:sz w:val="20"/>
    </w:rPr>
  </w:style>
  <w:style w:type="paragraph" w:styleId="Header">
    <w:name w:val="header"/>
    <w:basedOn w:val="Normal"/>
    <w:link w:val="HeaderChar"/>
    <w:uiPriority w:val="99"/>
    <w:unhideWhenUsed/>
    <w:rsid w:val="00996396"/>
    <w:pPr>
      <w:spacing w:after="0" w:line="288" w:lineRule="auto"/>
      <w:jc w:val="left"/>
    </w:pPr>
    <w:rPr>
      <w:sz w:val="16"/>
    </w:rPr>
  </w:style>
  <w:style w:type="character" w:customStyle="1" w:styleId="HeaderChar">
    <w:name w:val="Header Char"/>
    <w:basedOn w:val="DefaultParagraphFont"/>
    <w:link w:val="Header"/>
    <w:uiPriority w:val="99"/>
    <w:rsid w:val="00996396"/>
    <w:rPr>
      <w:rFonts w:ascii="Arial" w:eastAsiaTheme="minorEastAsia" w:hAnsi="Arial" w:cs="Arial"/>
      <w:sz w:val="16"/>
      <w:szCs w:val="21"/>
    </w:rPr>
  </w:style>
  <w:style w:type="paragraph" w:styleId="Footer">
    <w:name w:val="footer"/>
    <w:basedOn w:val="Normal"/>
    <w:link w:val="FooterChar"/>
    <w:uiPriority w:val="99"/>
    <w:unhideWhenUsed/>
    <w:rsid w:val="00996396"/>
    <w:pPr>
      <w:spacing w:after="0"/>
      <w:jc w:val="left"/>
    </w:pPr>
    <w:rPr>
      <w:sz w:val="16"/>
      <w:szCs w:val="18"/>
    </w:rPr>
  </w:style>
  <w:style w:type="character" w:customStyle="1" w:styleId="FooterChar">
    <w:name w:val="Footer Char"/>
    <w:basedOn w:val="DefaultParagraphFont"/>
    <w:link w:val="Footer"/>
    <w:uiPriority w:val="99"/>
    <w:rsid w:val="00996396"/>
    <w:rPr>
      <w:rFonts w:ascii="Arial" w:eastAsiaTheme="minorEastAsia" w:hAnsi="Arial" w:cs="Arial"/>
      <w:sz w:val="16"/>
      <w:szCs w:val="18"/>
    </w:rPr>
  </w:style>
  <w:style w:type="paragraph" w:customStyle="1" w:styleId="ecxmsonormal">
    <w:name w:val="ecxmsonormal"/>
    <w:basedOn w:val="Normal"/>
    <w:rsid w:val="007E3499"/>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6396"/>
    <w:rPr>
      <w:sz w:val="18"/>
      <w:szCs w:val="18"/>
    </w:rPr>
  </w:style>
  <w:style w:type="paragraph" w:styleId="CommentText">
    <w:name w:val="annotation text"/>
    <w:basedOn w:val="Normal"/>
    <w:link w:val="CommentTextChar"/>
    <w:uiPriority w:val="99"/>
    <w:semiHidden/>
    <w:unhideWhenUsed/>
    <w:rsid w:val="00E64A5D"/>
    <w:rPr>
      <w:sz w:val="24"/>
      <w:szCs w:val="24"/>
    </w:rPr>
  </w:style>
  <w:style w:type="character" w:customStyle="1" w:styleId="CommentTextChar">
    <w:name w:val="Comment Text Char"/>
    <w:basedOn w:val="DefaultParagraphFont"/>
    <w:link w:val="CommentText"/>
    <w:uiPriority w:val="99"/>
    <w:semiHidden/>
    <w:rsid w:val="00E64A5D"/>
    <w:rPr>
      <w:sz w:val="24"/>
      <w:szCs w:val="24"/>
    </w:rPr>
  </w:style>
  <w:style w:type="paragraph" w:styleId="CommentSubject">
    <w:name w:val="annotation subject"/>
    <w:basedOn w:val="Normal"/>
    <w:link w:val="CommentSubjectChar"/>
    <w:uiPriority w:val="99"/>
    <w:semiHidden/>
    <w:unhideWhenUsed/>
    <w:rsid w:val="00996396"/>
    <w:rPr>
      <w:b/>
      <w:bCs/>
    </w:rPr>
  </w:style>
  <w:style w:type="character" w:customStyle="1" w:styleId="CommentSubjectChar">
    <w:name w:val="Comment Subject Char"/>
    <w:basedOn w:val="DefaultParagraphFont"/>
    <w:link w:val="CommentSubject"/>
    <w:uiPriority w:val="99"/>
    <w:semiHidden/>
    <w:rsid w:val="00996396"/>
    <w:rPr>
      <w:rFonts w:ascii="Arial" w:eastAsiaTheme="minorEastAsia" w:hAnsi="Arial" w:cs="Arial"/>
      <w:b/>
      <w:bCs/>
      <w:sz w:val="20"/>
      <w:szCs w:val="21"/>
    </w:rPr>
  </w:style>
  <w:style w:type="paragraph" w:styleId="BalloonText">
    <w:name w:val="Balloon Text"/>
    <w:basedOn w:val="Normal"/>
    <w:link w:val="BalloonTextChar"/>
    <w:uiPriority w:val="99"/>
    <w:semiHidden/>
    <w:unhideWhenUsed/>
    <w:rsid w:val="0099639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396"/>
    <w:rPr>
      <w:rFonts w:ascii="Lucida Grande" w:eastAsiaTheme="minorEastAsia" w:hAnsi="Lucida Grande" w:cs="Lucida Grande"/>
      <w:sz w:val="18"/>
      <w:szCs w:val="18"/>
    </w:rPr>
  </w:style>
  <w:style w:type="paragraph" w:styleId="Revision">
    <w:name w:val="Revision"/>
    <w:hidden/>
    <w:uiPriority w:val="99"/>
    <w:semiHidden/>
    <w:rsid w:val="00996396"/>
    <w:pPr>
      <w:spacing w:line="240" w:lineRule="auto"/>
      <w:jc w:val="left"/>
    </w:pPr>
    <w:rPr>
      <w:rFonts w:ascii="Arial" w:eastAsiaTheme="minorEastAsia" w:hAnsi="Arial" w:cs="Arial"/>
      <w:sz w:val="21"/>
      <w:szCs w:val="21"/>
      <w:lang w:val="en-US"/>
    </w:rPr>
  </w:style>
  <w:style w:type="character" w:customStyle="1" w:styleId="Heading1Char">
    <w:name w:val="Heading 1 Char"/>
    <w:basedOn w:val="DefaultParagraphFont"/>
    <w:link w:val="Heading1"/>
    <w:uiPriority w:val="9"/>
    <w:rsid w:val="00996396"/>
    <w:rPr>
      <w:rFonts w:ascii="Arial" w:eastAsiaTheme="minorEastAsia" w:hAnsi="Arial" w:cs="Arial"/>
      <w:b/>
      <w:sz w:val="40"/>
      <w:szCs w:val="52"/>
    </w:rPr>
  </w:style>
  <w:style w:type="character" w:customStyle="1" w:styleId="Heading3Char">
    <w:name w:val="Heading 3 Char"/>
    <w:basedOn w:val="DefaultParagraphFont"/>
    <w:link w:val="Heading3"/>
    <w:uiPriority w:val="9"/>
    <w:rsid w:val="00996396"/>
    <w:rPr>
      <w:rFonts w:ascii="Arial" w:eastAsiaTheme="minorEastAsia" w:hAnsi="Arial" w:cs="Arial"/>
      <w:b/>
      <w:szCs w:val="24"/>
    </w:rPr>
  </w:style>
  <w:style w:type="paragraph" w:customStyle="1" w:styleId="Default">
    <w:name w:val="Default"/>
    <w:rsid w:val="00996396"/>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996396"/>
    <w:rPr>
      <w:b/>
    </w:rPr>
  </w:style>
  <w:style w:type="character" w:styleId="Hyperlink">
    <w:name w:val="Hyperlink"/>
    <w:basedOn w:val="DefaultParagraphFont"/>
    <w:uiPriority w:val="99"/>
    <w:unhideWhenUsed/>
    <w:rsid w:val="00996396"/>
    <w:rPr>
      <w:color w:val="0000FF" w:themeColor="hyperlink"/>
      <w:u w:val="single"/>
    </w:rPr>
  </w:style>
  <w:style w:type="character" w:styleId="FollowedHyperlink">
    <w:name w:val="FollowedHyperlink"/>
    <w:basedOn w:val="DefaultParagraphFont"/>
    <w:uiPriority w:val="99"/>
    <w:semiHidden/>
    <w:unhideWhenUsed/>
    <w:rsid w:val="00996396"/>
    <w:rPr>
      <w:color w:val="800080" w:themeColor="followedHyperlink"/>
      <w:u w:val="single"/>
    </w:rPr>
  </w:style>
  <w:style w:type="paragraph" w:styleId="FootnoteText">
    <w:name w:val="footnote text"/>
    <w:basedOn w:val="Normal"/>
    <w:link w:val="FootnoteTextChar"/>
    <w:autoRedefine/>
    <w:uiPriority w:val="99"/>
    <w:unhideWhenUsed/>
    <w:rsid w:val="00996396"/>
    <w:pPr>
      <w:spacing w:after="0"/>
    </w:pPr>
    <w:rPr>
      <w:sz w:val="16"/>
      <w:szCs w:val="18"/>
      <w:lang w:val="en-US"/>
    </w:rPr>
  </w:style>
  <w:style w:type="character" w:customStyle="1" w:styleId="FootnoteTextChar">
    <w:name w:val="Footnote Text Char"/>
    <w:basedOn w:val="DefaultParagraphFont"/>
    <w:link w:val="FootnoteText"/>
    <w:uiPriority w:val="99"/>
    <w:rsid w:val="00996396"/>
    <w:rPr>
      <w:rFonts w:ascii="Arial" w:eastAsiaTheme="minorEastAsia" w:hAnsi="Arial" w:cs="Arial"/>
      <w:sz w:val="16"/>
      <w:szCs w:val="18"/>
      <w:lang w:val="en-US"/>
    </w:rPr>
  </w:style>
  <w:style w:type="character" w:styleId="FootnoteReference">
    <w:name w:val="footnote reference"/>
    <w:basedOn w:val="DefaultParagraphFont"/>
    <w:uiPriority w:val="99"/>
    <w:unhideWhenUsed/>
    <w:rsid w:val="00996396"/>
    <w:rPr>
      <w:vertAlign w:val="superscript"/>
    </w:rPr>
  </w:style>
  <w:style w:type="paragraph" w:customStyle="1" w:styleId="BasicParagraph">
    <w:name w:val="[Basic Paragraph]"/>
    <w:basedOn w:val="Normal"/>
    <w:uiPriority w:val="99"/>
    <w:rsid w:val="00996396"/>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996396"/>
    <w:pPr>
      <w:spacing w:before="360" w:after="240"/>
      <w:jc w:val="left"/>
      <w:outlineLvl w:val="0"/>
    </w:pPr>
    <w:rPr>
      <w:b/>
      <w:sz w:val="40"/>
      <w:szCs w:val="52"/>
    </w:rPr>
  </w:style>
  <w:style w:type="paragraph" w:customStyle="1" w:styleId="Bullet1">
    <w:name w:val="Bullet 1"/>
    <w:basedOn w:val="ListParagraph"/>
    <w:autoRedefine/>
    <w:rsid w:val="00996396"/>
    <w:pPr>
      <w:numPr>
        <w:numId w:val="2"/>
      </w:numPr>
      <w:spacing w:after="60"/>
      <w:contextualSpacing w:val="0"/>
    </w:pPr>
    <w:rPr>
      <w:rFonts w:eastAsia="Times New Roman" w:cs="Arial"/>
      <w:color w:val="000000"/>
      <w:szCs w:val="21"/>
    </w:rPr>
  </w:style>
  <w:style w:type="paragraph" w:customStyle="1" w:styleId="RefItem1">
    <w:name w:val="Ref Item 1"/>
    <w:basedOn w:val="Normal"/>
    <w:rsid w:val="00996396"/>
    <w:pPr>
      <w:jc w:val="left"/>
    </w:pPr>
    <w:rPr>
      <w:color w:val="000000"/>
      <w:szCs w:val="24"/>
      <w:lang w:eastAsia="it-IT"/>
    </w:rPr>
  </w:style>
  <w:style w:type="paragraph" w:customStyle="1" w:styleId="RefTitre">
    <w:name w:val="Ref Titre"/>
    <w:basedOn w:val="Normal"/>
    <w:rsid w:val="00996396"/>
    <w:pPr>
      <w:jc w:val="left"/>
    </w:pPr>
    <w:rPr>
      <w:rFonts w:eastAsia="Times New Roman"/>
      <w:b/>
      <w:bCs/>
      <w:sz w:val="26"/>
      <w:szCs w:val="26"/>
    </w:rPr>
  </w:style>
  <w:style w:type="paragraph" w:customStyle="1" w:styleId="Header1">
    <w:name w:val="Header 1"/>
    <w:basedOn w:val="Header"/>
    <w:rsid w:val="00996396"/>
    <w:rPr>
      <w:b/>
      <w:color w:val="CC0000"/>
      <w:sz w:val="24"/>
      <w:szCs w:val="24"/>
    </w:rPr>
  </w:style>
  <w:style w:type="character" w:customStyle="1" w:styleId="Pantone485">
    <w:name w:val="Pantone 485"/>
    <w:basedOn w:val="DefaultParagraphFont"/>
    <w:uiPriority w:val="1"/>
    <w:qFormat/>
    <w:rsid w:val="00996396"/>
    <w:rPr>
      <w:rFonts w:cs="Caecilia-Light"/>
      <w:color w:val="F0281E"/>
      <w:szCs w:val="16"/>
    </w:rPr>
  </w:style>
  <w:style w:type="character" w:customStyle="1" w:styleId="H1Char">
    <w:name w:val="H1 Char"/>
    <w:basedOn w:val="DefaultParagraphFont"/>
    <w:link w:val="H1"/>
    <w:rsid w:val="00996396"/>
    <w:rPr>
      <w:rFonts w:ascii="Arial" w:eastAsiaTheme="minorEastAsia" w:hAnsi="Arial" w:cs="Arial"/>
      <w:b/>
      <w:sz w:val="40"/>
      <w:szCs w:val="52"/>
    </w:rPr>
  </w:style>
  <w:style w:type="table" w:customStyle="1" w:styleId="TableGray">
    <w:name w:val="Table Gray"/>
    <w:basedOn w:val="TableNormal"/>
    <w:uiPriority w:val="99"/>
    <w:rsid w:val="00996396"/>
    <w:pPr>
      <w:spacing w:line="240" w:lineRule="auto"/>
      <w:jc w:val="left"/>
    </w:pPr>
    <w:rPr>
      <w:rFonts w:eastAsiaTheme="minorEastAsia" w:cs="ArialMT"/>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autoRedefine/>
    <w:rsid w:val="007B3979"/>
    <w:pPr>
      <w:numPr>
        <w:numId w:val="3"/>
      </w:numPr>
      <w:tabs>
        <w:tab w:val="left" w:pos="7230"/>
      </w:tabs>
      <w:ind w:left="714" w:hanging="357"/>
    </w:pPr>
    <w:rPr>
      <w:rFonts w:cs="Arial"/>
    </w:rPr>
  </w:style>
  <w:style w:type="paragraph" w:customStyle="1" w:styleId="ListNumber1">
    <w:name w:val="List Number 1"/>
    <w:basedOn w:val="ListParagraph"/>
    <w:rsid w:val="00996396"/>
    <w:pPr>
      <w:numPr>
        <w:numId w:val="4"/>
      </w:numPr>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1500">
      <w:bodyDiv w:val="1"/>
      <w:marLeft w:val="0"/>
      <w:marRight w:val="0"/>
      <w:marTop w:val="0"/>
      <w:marBottom w:val="0"/>
      <w:divBdr>
        <w:top w:val="none" w:sz="0" w:space="0" w:color="auto"/>
        <w:left w:val="none" w:sz="0" w:space="0" w:color="auto"/>
        <w:bottom w:val="none" w:sz="0" w:space="0" w:color="auto"/>
        <w:right w:val="none" w:sz="0" w:space="0" w:color="auto"/>
      </w:divBdr>
    </w:div>
    <w:div w:id="210508683">
      <w:bodyDiv w:val="1"/>
      <w:marLeft w:val="0"/>
      <w:marRight w:val="0"/>
      <w:marTop w:val="0"/>
      <w:marBottom w:val="0"/>
      <w:divBdr>
        <w:top w:val="none" w:sz="0" w:space="0" w:color="auto"/>
        <w:left w:val="none" w:sz="0" w:space="0" w:color="auto"/>
        <w:bottom w:val="none" w:sz="0" w:space="0" w:color="auto"/>
        <w:right w:val="none" w:sz="0" w:space="0" w:color="auto"/>
      </w:divBdr>
    </w:div>
    <w:div w:id="234977411">
      <w:bodyDiv w:val="1"/>
      <w:marLeft w:val="0"/>
      <w:marRight w:val="0"/>
      <w:marTop w:val="0"/>
      <w:marBottom w:val="0"/>
      <w:divBdr>
        <w:top w:val="none" w:sz="0" w:space="0" w:color="auto"/>
        <w:left w:val="none" w:sz="0" w:space="0" w:color="auto"/>
        <w:bottom w:val="none" w:sz="0" w:space="0" w:color="auto"/>
        <w:right w:val="none" w:sz="0" w:space="0" w:color="auto"/>
      </w:divBdr>
    </w:div>
    <w:div w:id="629438441">
      <w:bodyDiv w:val="1"/>
      <w:marLeft w:val="0"/>
      <w:marRight w:val="0"/>
      <w:marTop w:val="0"/>
      <w:marBottom w:val="0"/>
      <w:divBdr>
        <w:top w:val="none" w:sz="0" w:space="0" w:color="auto"/>
        <w:left w:val="none" w:sz="0" w:space="0" w:color="auto"/>
        <w:bottom w:val="none" w:sz="0" w:space="0" w:color="auto"/>
        <w:right w:val="none" w:sz="0" w:space="0" w:color="auto"/>
      </w:divBdr>
    </w:div>
    <w:div w:id="797265463">
      <w:bodyDiv w:val="1"/>
      <w:marLeft w:val="0"/>
      <w:marRight w:val="0"/>
      <w:marTop w:val="0"/>
      <w:marBottom w:val="0"/>
      <w:divBdr>
        <w:top w:val="none" w:sz="0" w:space="0" w:color="auto"/>
        <w:left w:val="none" w:sz="0" w:space="0" w:color="auto"/>
        <w:bottom w:val="none" w:sz="0" w:space="0" w:color="auto"/>
        <w:right w:val="none" w:sz="0" w:space="0" w:color="auto"/>
      </w:divBdr>
    </w:div>
    <w:div w:id="819737406">
      <w:bodyDiv w:val="1"/>
      <w:marLeft w:val="0"/>
      <w:marRight w:val="0"/>
      <w:marTop w:val="0"/>
      <w:marBottom w:val="0"/>
      <w:divBdr>
        <w:top w:val="none" w:sz="0" w:space="0" w:color="auto"/>
        <w:left w:val="none" w:sz="0" w:space="0" w:color="auto"/>
        <w:bottom w:val="none" w:sz="0" w:space="0" w:color="auto"/>
        <w:right w:val="none" w:sz="0" w:space="0" w:color="auto"/>
      </w:divBdr>
    </w:div>
    <w:div w:id="901870979">
      <w:bodyDiv w:val="1"/>
      <w:marLeft w:val="0"/>
      <w:marRight w:val="0"/>
      <w:marTop w:val="0"/>
      <w:marBottom w:val="0"/>
      <w:divBdr>
        <w:top w:val="none" w:sz="0" w:space="0" w:color="auto"/>
        <w:left w:val="none" w:sz="0" w:space="0" w:color="auto"/>
        <w:bottom w:val="none" w:sz="0" w:space="0" w:color="auto"/>
        <w:right w:val="none" w:sz="0" w:space="0" w:color="auto"/>
      </w:divBdr>
    </w:div>
    <w:div w:id="964502298">
      <w:bodyDiv w:val="1"/>
      <w:marLeft w:val="0"/>
      <w:marRight w:val="0"/>
      <w:marTop w:val="0"/>
      <w:marBottom w:val="0"/>
      <w:divBdr>
        <w:top w:val="none" w:sz="0" w:space="0" w:color="auto"/>
        <w:left w:val="none" w:sz="0" w:space="0" w:color="auto"/>
        <w:bottom w:val="none" w:sz="0" w:space="0" w:color="auto"/>
        <w:right w:val="none" w:sz="0" w:space="0" w:color="auto"/>
      </w:divBdr>
    </w:div>
    <w:div w:id="1362513018">
      <w:bodyDiv w:val="1"/>
      <w:marLeft w:val="0"/>
      <w:marRight w:val="0"/>
      <w:marTop w:val="0"/>
      <w:marBottom w:val="0"/>
      <w:divBdr>
        <w:top w:val="none" w:sz="0" w:space="0" w:color="auto"/>
        <w:left w:val="none" w:sz="0" w:space="0" w:color="auto"/>
        <w:bottom w:val="none" w:sz="0" w:space="0" w:color="auto"/>
        <w:right w:val="none" w:sz="0" w:space="0" w:color="auto"/>
      </w:divBdr>
    </w:div>
    <w:div w:id="1462726707">
      <w:bodyDiv w:val="1"/>
      <w:marLeft w:val="0"/>
      <w:marRight w:val="0"/>
      <w:marTop w:val="0"/>
      <w:marBottom w:val="0"/>
      <w:divBdr>
        <w:top w:val="none" w:sz="0" w:space="0" w:color="auto"/>
        <w:left w:val="none" w:sz="0" w:space="0" w:color="auto"/>
        <w:bottom w:val="none" w:sz="0" w:space="0" w:color="auto"/>
        <w:right w:val="none" w:sz="0" w:space="0" w:color="auto"/>
      </w:divBdr>
    </w:div>
    <w:div w:id="1646354496">
      <w:bodyDiv w:val="1"/>
      <w:marLeft w:val="0"/>
      <w:marRight w:val="0"/>
      <w:marTop w:val="0"/>
      <w:marBottom w:val="0"/>
      <w:divBdr>
        <w:top w:val="none" w:sz="0" w:space="0" w:color="auto"/>
        <w:left w:val="none" w:sz="0" w:space="0" w:color="auto"/>
        <w:bottom w:val="none" w:sz="0" w:space="0" w:color="auto"/>
        <w:right w:val="none" w:sz="0" w:space="0" w:color="auto"/>
      </w:divBdr>
    </w:div>
    <w:div w:id="1757093606">
      <w:bodyDiv w:val="1"/>
      <w:marLeft w:val="0"/>
      <w:marRight w:val="0"/>
      <w:marTop w:val="0"/>
      <w:marBottom w:val="0"/>
      <w:divBdr>
        <w:top w:val="none" w:sz="0" w:space="0" w:color="auto"/>
        <w:left w:val="none" w:sz="0" w:space="0" w:color="auto"/>
        <w:bottom w:val="none" w:sz="0" w:space="0" w:color="auto"/>
        <w:right w:val="none" w:sz="0" w:space="0" w:color="auto"/>
      </w:divBdr>
    </w:div>
    <w:div w:id="193901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144</TotalTime>
  <Pages>5</Pages>
  <Words>1990</Words>
  <Characters>11348</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Nicole Francoeur</cp:lastModifiedBy>
  <cp:revision>34</cp:revision>
  <cp:lastPrinted>2015-09-08T20:07:00Z</cp:lastPrinted>
  <dcterms:created xsi:type="dcterms:W3CDTF">2015-04-28T08:49:00Z</dcterms:created>
  <dcterms:modified xsi:type="dcterms:W3CDTF">2015-09-24T15:20:00Z</dcterms:modified>
</cp:coreProperties>
</file>