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2102A" w14:textId="01A80832" w:rsidR="00EC0EF9" w:rsidRPr="00193AF1" w:rsidRDefault="00E55BB3" w:rsidP="00996396">
      <w:pPr>
        <w:pStyle w:val="H1"/>
        <w:rPr>
          <w:lang w:val="es-ES"/>
        </w:rPr>
      </w:pPr>
      <w:r>
        <w:rPr>
          <w:lang w:val="es-ES"/>
        </w:rPr>
        <w:t>Plantilla de p</w:t>
      </w:r>
      <w:r w:rsidR="00193AF1" w:rsidRPr="00193AF1">
        <w:rPr>
          <w:lang w:val="es-ES"/>
        </w:rPr>
        <w:t>rocedimientos operativos est</w:t>
      </w:r>
      <w:r>
        <w:rPr>
          <w:lang w:val="es-ES"/>
        </w:rPr>
        <w:t>ándar</w:t>
      </w:r>
      <w:r w:rsidR="00193AF1">
        <w:rPr>
          <w:lang w:val="es-ES"/>
        </w:rPr>
        <w:t xml:space="preserve"> para PTE</w:t>
      </w:r>
    </w:p>
    <w:p w14:paraId="06261441" w14:textId="67AC8C08" w:rsidR="00F1772E" w:rsidRDefault="00297957" w:rsidP="00996396">
      <w:pPr>
        <w:pStyle w:val="Heading3"/>
        <w:rPr>
          <w:b w:val="0"/>
          <w:sz w:val="20"/>
          <w:szCs w:val="21"/>
          <w:lang w:val="es-ES"/>
        </w:rPr>
      </w:pPr>
      <w:r>
        <w:rPr>
          <w:b w:val="0"/>
          <w:sz w:val="20"/>
          <w:szCs w:val="21"/>
          <w:lang w:val="es-ES"/>
        </w:rPr>
        <w:t xml:space="preserve">Los </w:t>
      </w:r>
      <w:r w:rsidR="00E55BB3">
        <w:rPr>
          <w:b w:val="0"/>
          <w:sz w:val="20"/>
          <w:szCs w:val="21"/>
          <w:lang w:val="es-ES"/>
        </w:rPr>
        <w:t>p</w:t>
      </w:r>
      <w:r w:rsidRPr="00297957">
        <w:rPr>
          <w:b w:val="0"/>
          <w:sz w:val="20"/>
          <w:szCs w:val="21"/>
          <w:lang w:val="es-ES"/>
        </w:rPr>
        <w:t>rocedimientos operativos estándar</w:t>
      </w:r>
      <w:r>
        <w:rPr>
          <w:b w:val="0"/>
          <w:sz w:val="20"/>
          <w:szCs w:val="21"/>
          <w:lang w:val="es-ES"/>
        </w:rPr>
        <w:t xml:space="preserve"> (SOP)</w:t>
      </w:r>
      <w:r w:rsidR="00926BFA">
        <w:rPr>
          <w:rStyle w:val="FootnoteReference"/>
          <w:b w:val="0"/>
          <w:sz w:val="20"/>
          <w:szCs w:val="21"/>
          <w:lang w:val="es-ES"/>
        </w:rPr>
        <w:footnoteReference w:id="1"/>
      </w:r>
      <w:r w:rsidRPr="00297957">
        <w:rPr>
          <w:b w:val="0"/>
          <w:sz w:val="20"/>
          <w:szCs w:val="21"/>
          <w:lang w:val="es-ES"/>
        </w:rPr>
        <w:t xml:space="preserve"> </w:t>
      </w:r>
      <w:r>
        <w:rPr>
          <w:b w:val="0"/>
          <w:sz w:val="20"/>
          <w:szCs w:val="21"/>
          <w:lang w:val="es-ES"/>
        </w:rPr>
        <w:t>son una herramienta de utilidad para asegurar una</w:t>
      </w:r>
      <w:r w:rsidRPr="00297957">
        <w:rPr>
          <w:b w:val="0"/>
          <w:sz w:val="20"/>
          <w:szCs w:val="21"/>
          <w:lang w:val="es-ES"/>
        </w:rPr>
        <w:t xml:space="preserve"> program</w:t>
      </w:r>
      <w:r w:rsidR="00E55BB3">
        <w:rPr>
          <w:b w:val="0"/>
          <w:sz w:val="20"/>
          <w:szCs w:val="21"/>
          <w:lang w:val="es-ES"/>
        </w:rPr>
        <w:t xml:space="preserve">ación eficaz. La elaboración de </w:t>
      </w:r>
      <w:r w:rsidR="00926BFA">
        <w:rPr>
          <w:b w:val="0"/>
          <w:sz w:val="20"/>
          <w:szCs w:val="21"/>
          <w:lang w:val="es-ES"/>
        </w:rPr>
        <w:t>SOP específicos de PTE,</w:t>
      </w:r>
      <w:r w:rsidRPr="00297957">
        <w:rPr>
          <w:b w:val="0"/>
          <w:sz w:val="20"/>
          <w:szCs w:val="21"/>
          <w:lang w:val="es-ES"/>
        </w:rPr>
        <w:t xml:space="preserve"> como parte de las actividades de preparación, permitirá una mejor respuesta coordinada en la que todos </w:t>
      </w:r>
      <w:r w:rsidR="00926BFA">
        <w:rPr>
          <w:b w:val="0"/>
          <w:sz w:val="20"/>
          <w:szCs w:val="21"/>
          <w:lang w:val="es-ES"/>
        </w:rPr>
        <w:t>los actores de</w:t>
      </w:r>
      <w:r w:rsidRPr="00297957">
        <w:rPr>
          <w:b w:val="0"/>
          <w:sz w:val="20"/>
          <w:szCs w:val="21"/>
          <w:lang w:val="es-ES"/>
        </w:rPr>
        <w:t xml:space="preserve">l Movimiento de la </w:t>
      </w:r>
      <w:r w:rsidR="00E55BB3" w:rsidRPr="00297957">
        <w:rPr>
          <w:b w:val="0"/>
          <w:sz w:val="20"/>
          <w:szCs w:val="21"/>
          <w:lang w:val="es-ES"/>
        </w:rPr>
        <w:t xml:space="preserve">Cruz Roja </w:t>
      </w:r>
      <w:r w:rsidR="00E55BB3">
        <w:rPr>
          <w:b w:val="0"/>
          <w:sz w:val="20"/>
          <w:szCs w:val="21"/>
          <w:lang w:val="es-ES"/>
        </w:rPr>
        <w:t xml:space="preserve">y de la </w:t>
      </w:r>
      <w:r w:rsidRPr="00297957">
        <w:rPr>
          <w:b w:val="0"/>
          <w:sz w:val="20"/>
          <w:szCs w:val="21"/>
          <w:lang w:val="es-ES"/>
        </w:rPr>
        <w:t xml:space="preserve">Media Luna Roja </w:t>
      </w:r>
      <w:r w:rsidR="00926BFA">
        <w:rPr>
          <w:b w:val="0"/>
          <w:sz w:val="20"/>
          <w:szCs w:val="21"/>
          <w:lang w:val="es-ES"/>
        </w:rPr>
        <w:t xml:space="preserve">tendrán claro su </w:t>
      </w:r>
      <w:r w:rsidRPr="00297957">
        <w:rPr>
          <w:b w:val="0"/>
          <w:sz w:val="20"/>
          <w:szCs w:val="21"/>
          <w:lang w:val="es-ES"/>
        </w:rPr>
        <w:t xml:space="preserve">papel y responsabilidad. El proceso de elaboración </w:t>
      </w:r>
      <w:r w:rsidR="00E55BB3">
        <w:rPr>
          <w:b w:val="0"/>
          <w:sz w:val="20"/>
          <w:szCs w:val="21"/>
          <w:lang w:val="es-ES"/>
        </w:rPr>
        <w:t xml:space="preserve">de </w:t>
      </w:r>
      <w:r w:rsidRPr="00297957">
        <w:rPr>
          <w:b w:val="0"/>
          <w:sz w:val="20"/>
          <w:szCs w:val="21"/>
          <w:lang w:val="es-ES"/>
        </w:rPr>
        <w:t>SOP es tan importante como lo es el docu</w:t>
      </w:r>
      <w:r w:rsidR="00926BFA">
        <w:rPr>
          <w:b w:val="0"/>
          <w:sz w:val="20"/>
          <w:szCs w:val="21"/>
          <w:lang w:val="es-ES"/>
        </w:rPr>
        <w:t>mento final. Si bien el diseño,</w:t>
      </w:r>
      <w:r w:rsidRPr="00297957">
        <w:rPr>
          <w:b w:val="0"/>
          <w:sz w:val="20"/>
          <w:szCs w:val="21"/>
          <w:lang w:val="es-ES"/>
        </w:rPr>
        <w:t xml:space="preserve"> la ejecución y </w:t>
      </w:r>
      <w:r w:rsidR="00926BFA">
        <w:rPr>
          <w:b w:val="0"/>
          <w:sz w:val="20"/>
          <w:szCs w:val="21"/>
          <w:lang w:val="es-ES"/>
        </w:rPr>
        <w:t xml:space="preserve">la </w:t>
      </w:r>
      <w:r w:rsidRPr="00297957">
        <w:rPr>
          <w:b w:val="0"/>
          <w:sz w:val="20"/>
          <w:szCs w:val="21"/>
          <w:lang w:val="es-ES"/>
        </w:rPr>
        <w:t>evaluación del programa caerán fundamentalmente bajo la responsabilidad de</w:t>
      </w:r>
      <w:r w:rsidR="00926BFA">
        <w:rPr>
          <w:b w:val="0"/>
          <w:sz w:val="20"/>
          <w:szCs w:val="21"/>
          <w:lang w:val="es-ES"/>
        </w:rPr>
        <w:t xml:space="preserve">l departamento de </w:t>
      </w:r>
      <w:r w:rsidRPr="00297957">
        <w:rPr>
          <w:b w:val="0"/>
          <w:sz w:val="20"/>
          <w:szCs w:val="21"/>
          <w:lang w:val="es-ES"/>
        </w:rPr>
        <w:t xml:space="preserve">gestión de desastres o equipo </w:t>
      </w:r>
      <w:r w:rsidR="00E55BB3">
        <w:rPr>
          <w:b w:val="0"/>
          <w:sz w:val="20"/>
          <w:szCs w:val="21"/>
          <w:lang w:val="es-ES"/>
        </w:rPr>
        <w:t>de respuesta durante la</w:t>
      </w:r>
      <w:r w:rsidRPr="00297957">
        <w:rPr>
          <w:b w:val="0"/>
          <w:sz w:val="20"/>
          <w:szCs w:val="21"/>
          <w:lang w:val="es-ES"/>
        </w:rPr>
        <w:t xml:space="preserve"> </w:t>
      </w:r>
      <w:r w:rsidR="00926BFA" w:rsidRPr="00297957">
        <w:rPr>
          <w:b w:val="0"/>
          <w:sz w:val="20"/>
          <w:szCs w:val="21"/>
          <w:lang w:val="es-ES"/>
        </w:rPr>
        <w:t>emergencia</w:t>
      </w:r>
      <w:r w:rsidR="00926BFA">
        <w:rPr>
          <w:b w:val="0"/>
          <w:sz w:val="20"/>
          <w:szCs w:val="21"/>
          <w:lang w:val="es-ES"/>
        </w:rPr>
        <w:t>,</w:t>
      </w:r>
      <w:r w:rsidR="00926BFA" w:rsidRPr="00297957">
        <w:rPr>
          <w:b w:val="0"/>
          <w:sz w:val="20"/>
          <w:szCs w:val="21"/>
          <w:lang w:val="es-ES"/>
        </w:rPr>
        <w:t xml:space="preserve"> las</w:t>
      </w:r>
      <w:r w:rsidRPr="00297957">
        <w:rPr>
          <w:b w:val="0"/>
          <w:sz w:val="20"/>
          <w:szCs w:val="21"/>
          <w:lang w:val="es-ES"/>
        </w:rPr>
        <w:t xml:space="preserve"> competencias </w:t>
      </w:r>
      <w:r w:rsidR="00926BFA" w:rsidRPr="00926BFA">
        <w:rPr>
          <w:b w:val="0"/>
          <w:sz w:val="20"/>
          <w:szCs w:val="21"/>
          <w:lang w:val="es-ES"/>
        </w:rPr>
        <w:t xml:space="preserve">especiales </w:t>
      </w:r>
      <w:r w:rsidRPr="00297957">
        <w:rPr>
          <w:b w:val="0"/>
          <w:sz w:val="20"/>
          <w:szCs w:val="21"/>
          <w:lang w:val="es-ES"/>
        </w:rPr>
        <w:t xml:space="preserve">y responsabilidades de los departamentos de logística y finanzas </w:t>
      </w:r>
      <w:r w:rsidR="00926BFA">
        <w:rPr>
          <w:b w:val="0"/>
          <w:sz w:val="20"/>
          <w:szCs w:val="21"/>
          <w:lang w:val="es-ES"/>
        </w:rPr>
        <w:t xml:space="preserve">serán necesarias para los </w:t>
      </w:r>
      <w:r>
        <w:rPr>
          <w:b w:val="0"/>
          <w:sz w:val="20"/>
          <w:szCs w:val="21"/>
          <w:lang w:val="es-ES"/>
        </w:rPr>
        <w:t>PTE</w:t>
      </w:r>
      <w:r w:rsidRPr="00297957">
        <w:rPr>
          <w:b w:val="0"/>
          <w:sz w:val="20"/>
          <w:szCs w:val="21"/>
          <w:lang w:val="es-ES"/>
        </w:rPr>
        <w:t xml:space="preserve">. Esto significa que </w:t>
      </w:r>
      <w:r w:rsidR="00F1772E">
        <w:rPr>
          <w:b w:val="0"/>
          <w:sz w:val="20"/>
          <w:szCs w:val="21"/>
          <w:lang w:val="es-ES"/>
        </w:rPr>
        <w:t xml:space="preserve">el proceso de elaboración </w:t>
      </w:r>
      <w:r w:rsidRPr="00297957">
        <w:rPr>
          <w:b w:val="0"/>
          <w:sz w:val="20"/>
          <w:szCs w:val="21"/>
          <w:lang w:val="es-ES"/>
        </w:rPr>
        <w:t xml:space="preserve">de los procedimientos </w:t>
      </w:r>
      <w:r w:rsidR="00926BFA">
        <w:rPr>
          <w:b w:val="0"/>
          <w:sz w:val="20"/>
          <w:szCs w:val="21"/>
          <w:lang w:val="es-ES"/>
        </w:rPr>
        <w:t xml:space="preserve">operativos estándar de </w:t>
      </w:r>
      <w:r>
        <w:rPr>
          <w:b w:val="0"/>
          <w:sz w:val="20"/>
          <w:szCs w:val="21"/>
          <w:lang w:val="es-ES"/>
        </w:rPr>
        <w:t>PTE</w:t>
      </w:r>
      <w:r w:rsidRPr="00297957">
        <w:rPr>
          <w:b w:val="0"/>
          <w:sz w:val="20"/>
          <w:szCs w:val="21"/>
          <w:lang w:val="es-ES"/>
        </w:rPr>
        <w:t xml:space="preserve"> necesita ser guiado por un grupo de trabajo </w:t>
      </w:r>
      <w:r w:rsidR="00926BFA">
        <w:rPr>
          <w:b w:val="0"/>
          <w:sz w:val="20"/>
          <w:szCs w:val="21"/>
          <w:lang w:val="es-ES"/>
        </w:rPr>
        <w:t xml:space="preserve">sobre </w:t>
      </w:r>
      <w:r>
        <w:rPr>
          <w:b w:val="0"/>
          <w:sz w:val="20"/>
          <w:szCs w:val="21"/>
          <w:lang w:val="es-ES"/>
        </w:rPr>
        <w:t>PTE</w:t>
      </w:r>
      <w:r w:rsidR="00926BFA">
        <w:rPr>
          <w:b w:val="0"/>
          <w:sz w:val="20"/>
          <w:szCs w:val="21"/>
          <w:lang w:val="es-ES"/>
        </w:rPr>
        <w:t xml:space="preserve"> que represente</w:t>
      </w:r>
      <w:r w:rsidRPr="00297957">
        <w:rPr>
          <w:b w:val="0"/>
          <w:sz w:val="20"/>
          <w:szCs w:val="21"/>
          <w:lang w:val="es-ES"/>
        </w:rPr>
        <w:t xml:space="preserve"> a todas las principales funciones relevantes para la </w:t>
      </w:r>
      <w:r>
        <w:rPr>
          <w:b w:val="0"/>
          <w:sz w:val="20"/>
          <w:szCs w:val="21"/>
          <w:lang w:val="es-ES"/>
        </w:rPr>
        <w:t>PTE</w:t>
      </w:r>
      <w:r w:rsidRPr="00297957">
        <w:rPr>
          <w:b w:val="0"/>
          <w:sz w:val="20"/>
          <w:szCs w:val="21"/>
          <w:lang w:val="es-ES"/>
        </w:rPr>
        <w:t xml:space="preserve"> dentro de una Sociedad Nacional. Juntos, los miembros del grupo de trabajo </w:t>
      </w:r>
      <w:r w:rsidR="00F1772E">
        <w:rPr>
          <w:b w:val="0"/>
          <w:sz w:val="20"/>
          <w:szCs w:val="21"/>
          <w:lang w:val="es-ES"/>
        </w:rPr>
        <w:t xml:space="preserve">sobre </w:t>
      </w:r>
      <w:r>
        <w:rPr>
          <w:b w:val="0"/>
          <w:sz w:val="20"/>
          <w:szCs w:val="21"/>
          <w:lang w:val="es-ES"/>
        </w:rPr>
        <w:t>PTE</w:t>
      </w:r>
      <w:r w:rsidRPr="00297957">
        <w:rPr>
          <w:b w:val="0"/>
          <w:sz w:val="20"/>
          <w:szCs w:val="21"/>
          <w:lang w:val="es-ES"/>
        </w:rPr>
        <w:t xml:space="preserve"> deben discutir y acordar formas </w:t>
      </w:r>
      <w:r w:rsidR="00F1772E">
        <w:rPr>
          <w:b w:val="0"/>
          <w:sz w:val="20"/>
          <w:szCs w:val="21"/>
          <w:lang w:val="es-ES"/>
        </w:rPr>
        <w:t xml:space="preserve">de trabajo y elaborar SOP </w:t>
      </w:r>
      <w:r w:rsidRPr="00297957">
        <w:rPr>
          <w:b w:val="0"/>
          <w:sz w:val="20"/>
          <w:szCs w:val="21"/>
          <w:lang w:val="es-ES"/>
        </w:rPr>
        <w:t>avalados</w:t>
      </w:r>
      <w:r w:rsidR="00E55BB3">
        <w:rPr>
          <w:b w:val="0"/>
          <w:sz w:val="20"/>
          <w:szCs w:val="21"/>
          <w:lang w:val="es-ES"/>
        </w:rPr>
        <w:t xml:space="preserve"> por todos. La difusión de los p</w:t>
      </w:r>
      <w:r w:rsidRPr="00297957">
        <w:rPr>
          <w:b w:val="0"/>
          <w:sz w:val="20"/>
          <w:szCs w:val="21"/>
          <w:lang w:val="es-ES"/>
        </w:rPr>
        <w:t>rocedimientos</w:t>
      </w:r>
      <w:r w:rsidR="00F1772E">
        <w:rPr>
          <w:b w:val="0"/>
          <w:sz w:val="20"/>
          <w:szCs w:val="21"/>
          <w:lang w:val="es-ES"/>
        </w:rPr>
        <w:t xml:space="preserve"> operativos estándar para</w:t>
      </w:r>
      <w:r w:rsidRPr="00297957">
        <w:rPr>
          <w:b w:val="0"/>
          <w:sz w:val="20"/>
          <w:szCs w:val="21"/>
          <w:lang w:val="es-ES"/>
        </w:rPr>
        <w:t xml:space="preserve"> </w:t>
      </w:r>
      <w:r>
        <w:rPr>
          <w:b w:val="0"/>
          <w:sz w:val="20"/>
          <w:szCs w:val="21"/>
          <w:lang w:val="es-ES"/>
        </w:rPr>
        <w:t>PTE</w:t>
      </w:r>
      <w:r w:rsidRPr="00297957">
        <w:rPr>
          <w:b w:val="0"/>
          <w:sz w:val="20"/>
          <w:szCs w:val="21"/>
          <w:lang w:val="es-ES"/>
        </w:rPr>
        <w:t xml:space="preserve"> </w:t>
      </w:r>
      <w:r w:rsidR="00F1772E" w:rsidRPr="00297957">
        <w:rPr>
          <w:b w:val="0"/>
          <w:sz w:val="20"/>
          <w:szCs w:val="21"/>
          <w:lang w:val="es-ES"/>
        </w:rPr>
        <w:t xml:space="preserve">también </w:t>
      </w:r>
      <w:r w:rsidRPr="00297957">
        <w:rPr>
          <w:b w:val="0"/>
          <w:sz w:val="20"/>
          <w:szCs w:val="21"/>
          <w:lang w:val="es-ES"/>
        </w:rPr>
        <w:t>será una parte importante de las actividades de preparación de las Sociedades Nacionales</w:t>
      </w:r>
      <w:r w:rsidR="00F1772E">
        <w:rPr>
          <w:b w:val="0"/>
          <w:sz w:val="20"/>
          <w:szCs w:val="21"/>
          <w:lang w:val="es-ES"/>
        </w:rPr>
        <w:t>.</w:t>
      </w:r>
      <w:r w:rsidRPr="00297957">
        <w:rPr>
          <w:b w:val="0"/>
          <w:sz w:val="20"/>
          <w:szCs w:val="21"/>
          <w:lang w:val="es-ES"/>
        </w:rPr>
        <w:t xml:space="preserve"> </w:t>
      </w:r>
    </w:p>
    <w:p w14:paraId="3542C01C" w14:textId="72917F9F" w:rsidR="00996396" w:rsidRDefault="00B3455A" w:rsidP="00B3455A">
      <w:pPr>
        <w:pStyle w:val="Heading3"/>
        <w:numPr>
          <w:ilvl w:val="0"/>
          <w:numId w:val="5"/>
        </w:numPr>
      </w:pPr>
      <w:proofErr w:type="spellStart"/>
      <w:r>
        <w:t>Resumen</w:t>
      </w:r>
      <w:proofErr w:type="spellEnd"/>
      <w:r>
        <w:t xml:space="preserve"> de la </w:t>
      </w:r>
      <w:proofErr w:type="spellStart"/>
      <w:r>
        <w:t>información</w:t>
      </w:r>
      <w:proofErr w:type="spellEnd"/>
      <w:r w:rsidR="00996396" w:rsidRPr="00F1772E">
        <w:t xml:space="preserve"> </w:t>
      </w:r>
    </w:p>
    <w:p w14:paraId="51E3BC75" w14:textId="7F40EB70" w:rsidR="00B3455A" w:rsidRPr="00B3455A" w:rsidRDefault="00B3455A" w:rsidP="00B3455A">
      <w:pPr>
        <w:rPr>
          <w:i/>
          <w:lang w:val="es-ES"/>
        </w:rPr>
      </w:pPr>
      <w:r w:rsidRPr="00B3455A">
        <w:rPr>
          <w:b/>
          <w:lang w:val="es-ES"/>
        </w:rPr>
        <w:t>Título:</w:t>
      </w:r>
      <w:r w:rsidRPr="00B3455A">
        <w:rPr>
          <w:lang w:val="es-ES"/>
        </w:rPr>
        <w:t xml:space="preserve"> procedimientos operativos estándar PTE para </w:t>
      </w:r>
      <w:r w:rsidRPr="00B3455A">
        <w:rPr>
          <w:i/>
          <w:lang w:val="es-ES"/>
        </w:rPr>
        <w:t xml:space="preserve">insertar el país o distrito o </w:t>
      </w:r>
      <w:r w:rsidR="00E55BB3">
        <w:rPr>
          <w:i/>
          <w:lang w:val="es-ES"/>
        </w:rPr>
        <w:t xml:space="preserve">nombre de </w:t>
      </w:r>
      <w:r w:rsidRPr="00B3455A">
        <w:rPr>
          <w:i/>
          <w:lang w:val="es-ES"/>
        </w:rPr>
        <w:t xml:space="preserve">la </w:t>
      </w:r>
      <w:r>
        <w:rPr>
          <w:i/>
          <w:lang w:val="es-ES"/>
        </w:rPr>
        <w:t>intervención, de la manera</w:t>
      </w:r>
      <w:r w:rsidRPr="00B3455A">
        <w:rPr>
          <w:i/>
          <w:lang w:val="es-ES"/>
        </w:rPr>
        <w:t xml:space="preserve"> más precisa posible</w:t>
      </w:r>
    </w:p>
    <w:p w14:paraId="28C1AC06" w14:textId="1F202BBE" w:rsidR="00B3455A" w:rsidRPr="00B3455A" w:rsidRDefault="00B3455A" w:rsidP="00B3455A">
      <w:pPr>
        <w:rPr>
          <w:i/>
          <w:lang w:val="es-ES"/>
        </w:rPr>
      </w:pPr>
      <w:r w:rsidRPr="00B3455A">
        <w:rPr>
          <w:b/>
          <w:lang w:val="es-ES"/>
        </w:rPr>
        <w:t>Fecha:</w:t>
      </w:r>
      <w:r w:rsidRPr="00B3455A">
        <w:rPr>
          <w:lang w:val="es-ES"/>
        </w:rPr>
        <w:t xml:space="preserve"> </w:t>
      </w:r>
      <w:r w:rsidRPr="00B3455A">
        <w:rPr>
          <w:i/>
          <w:lang w:val="es-ES"/>
        </w:rPr>
        <w:t>insertar la fecha de finalización en caso de que se actualicen</w:t>
      </w:r>
    </w:p>
    <w:p w14:paraId="28F11BA7" w14:textId="281C1C38" w:rsidR="00B3455A" w:rsidRPr="00B3455A" w:rsidRDefault="00B3455A" w:rsidP="00B3455A">
      <w:pPr>
        <w:rPr>
          <w:lang w:val="es-ES"/>
        </w:rPr>
      </w:pPr>
      <w:r w:rsidRPr="00B3455A">
        <w:rPr>
          <w:b/>
          <w:lang w:val="es-ES"/>
        </w:rPr>
        <w:t>Personas de contacto</w:t>
      </w:r>
      <w:r w:rsidRPr="00B3455A">
        <w:rPr>
          <w:lang w:val="es-ES"/>
        </w:rPr>
        <w:t xml:space="preserve">: </w:t>
      </w:r>
      <w:r w:rsidR="00E55BB3">
        <w:rPr>
          <w:i/>
          <w:lang w:val="es-ES"/>
        </w:rPr>
        <w:t>insertar los nombres</w:t>
      </w:r>
      <w:r w:rsidRPr="00B3455A">
        <w:rPr>
          <w:i/>
          <w:lang w:val="es-ES"/>
        </w:rPr>
        <w:t>, funciones y datos de contacto</w:t>
      </w:r>
    </w:p>
    <w:p w14:paraId="75405582" w14:textId="201DA120" w:rsidR="00B3455A" w:rsidRPr="00B3455A" w:rsidRDefault="00B3455A" w:rsidP="00B3455A">
      <w:pPr>
        <w:rPr>
          <w:b/>
        </w:rPr>
      </w:pPr>
      <w:proofErr w:type="spellStart"/>
      <w:r>
        <w:rPr>
          <w:b/>
        </w:rPr>
        <w:t>Objetivo</w:t>
      </w:r>
      <w:proofErr w:type="spellEnd"/>
      <w:r>
        <w:rPr>
          <w:b/>
        </w:rPr>
        <w:t xml:space="preserve"> </w:t>
      </w:r>
      <w:r w:rsidRPr="00B3455A">
        <w:rPr>
          <w:b/>
        </w:rPr>
        <w:t xml:space="preserve">de </w:t>
      </w:r>
      <w:proofErr w:type="spellStart"/>
      <w:r>
        <w:rPr>
          <w:b/>
        </w:rPr>
        <w:t>los</w:t>
      </w:r>
      <w:proofErr w:type="spellEnd"/>
      <w:r>
        <w:rPr>
          <w:b/>
        </w:rPr>
        <w:t xml:space="preserve"> </w:t>
      </w:r>
      <w:r w:rsidRPr="00B3455A">
        <w:rPr>
          <w:b/>
        </w:rPr>
        <w:t>SOP</w:t>
      </w:r>
    </w:p>
    <w:tbl>
      <w:tblPr>
        <w:tblStyle w:val="TableGray"/>
        <w:tblW w:w="0" w:type="auto"/>
        <w:tblLook w:val="04A0" w:firstRow="1" w:lastRow="0" w:firstColumn="1" w:lastColumn="0" w:noHBand="0" w:noVBand="1"/>
      </w:tblPr>
      <w:tblGrid>
        <w:gridCol w:w="9638"/>
      </w:tblGrid>
      <w:tr w:rsidR="00996396" w:rsidRPr="0069390C" w14:paraId="61670931" w14:textId="77777777" w:rsidTr="00B3455A">
        <w:tc>
          <w:tcPr>
            <w:tcW w:w="9638" w:type="dxa"/>
          </w:tcPr>
          <w:p w14:paraId="27D660F0" w14:textId="77777777" w:rsidR="00B3455A" w:rsidRPr="00B3455A" w:rsidRDefault="00B3455A" w:rsidP="00B3455A">
            <w:pPr>
              <w:spacing w:before="20"/>
              <w:rPr>
                <w:i/>
                <w:sz w:val="18"/>
                <w:szCs w:val="18"/>
                <w:lang w:val="es-ES"/>
              </w:rPr>
            </w:pPr>
            <w:r w:rsidRPr="00B3455A">
              <w:rPr>
                <w:i/>
                <w:sz w:val="18"/>
                <w:szCs w:val="18"/>
                <w:lang w:val="es-ES"/>
              </w:rPr>
              <w:t>Por ejemplo</w:t>
            </w:r>
          </w:p>
          <w:p w14:paraId="66519AB2" w14:textId="4522C85A" w:rsidR="00B3455A" w:rsidRPr="00B3455A" w:rsidRDefault="00B3455A" w:rsidP="00B3455A">
            <w:pPr>
              <w:spacing w:before="20"/>
              <w:rPr>
                <w:i/>
                <w:sz w:val="18"/>
                <w:szCs w:val="18"/>
                <w:lang w:val="es-ES"/>
              </w:rPr>
            </w:pPr>
            <w:r w:rsidRPr="00B3455A">
              <w:rPr>
                <w:i/>
                <w:sz w:val="18"/>
                <w:szCs w:val="18"/>
                <w:lang w:val="es-ES"/>
              </w:rPr>
              <w:t>Para aclarar las fun</w:t>
            </w:r>
            <w:r>
              <w:rPr>
                <w:i/>
                <w:sz w:val="18"/>
                <w:szCs w:val="18"/>
                <w:lang w:val="es-ES"/>
              </w:rPr>
              <w:t>ciones y responsabilidades de los miembros de la</w:t>
            </w:r>
            <w:r w:rsidRPr="00B3455A">
              <w:rPr>
                <w:i/>
                <w:sz w:val="18"/>
                <w:szCs w:val="18"/>
                <w:lang w:val="es-ES"/>
              </w:rPr>
              <w:t xml:space="preserve"> Sociedad </w:t>
            </w:r>
            <w:r w:rsidR="008C4D52" w:rsidRPr="00B3455A">
              <w:rPr>
                <w:i/>
                <w:sz w:val="18"/>
                <w:szCs w:val="18"/>
                <w:lang w:val="es-ES"/>
              </w:rPr>
              <w:t>Nacional que</w:t>
            </w:r>
            <w:r w:rsidRPr="00B3455A">
              <w:rPr>
                <w:i/>
                <w:sz w:val="18"/>
                <w:szCs w:val="18"/>
                <w:lang w:val="es-ES"/>
              </w:rPr>
              <w:t xml:space="preserve"> participa en la respuesta de emergencia </w:t>
            </w:r>
            <w:r w:rsidR="008C4D52">
              <w:rPr>
                <w:i/>
                <w:sz w:val="18"/>
                <w:szCs w:val="18"/>
                <w:lang w:val="es-ES"/>
              </w:rPr>
              <w:t xml:space="preserve">con </w:t>
            </w:r>
            <w:r w:rsidRPr="00B3455A">
              <w:rPr>
                <w:i/>
                <w:sz w:val="18"/>
                <w:szCs w:val="18"/>
                <w:lang w:val="es-ES"/>
              </w:rPr>
              <w:t>transferencias en efectivo.</w:t>
            </w:r>
          </w:p>
          <w:p w14:paraId="63A891C1" w14:textId="527A04EC" w:rsidR="00B3455A" w:rsidRPr="00B3455A" w:rsidRDefault="00B3455A" w:rsidP="00B3455A">
            <w:pPr>
              <w:spacing w:before="20"/>
              <w:rPr>
                <w:i/>
                <w:sz w:val="18"/>
                <w:szCs w:val="18"/>
                <w:lang w:val="es-ES"/>
              </w:rPr>
            </w:pPr>
            <w:r w:rsidRPr="00B3455A">
              <w:rPr>
                <w:i/>
                <w:sz w:val="18"/>
                <w:szCs w:val="18"/>
                <w:lang w:val="es-ES"/>
              </w:rPr>
              <w:t xml:space="preserve">El objetivo de estos procedimientos </w:t>
            </w:r>
            <w:r w:rsidR="00E55BB3">
              <w:rPr>
                <w:i/>
                <w:sz w:val="18"/>
                <w:szCs w:val="18"/>
                <w:lang w:val="es-ES"/>
              </w:rPr>
              <w:t xml:space="preserve">operativos </w:t>
            </w:r>
            <w:r w:rsidRPr="00B3455A">
              <w:rPr>
                <w:i/>
                <w:sz w:val="18"/>
                <w:szCs w:val="18"/>
                <w:lang w:val="es-ES"/>
              </w:rPr>
              <w:t xml:space="preserve">estándar es apoyar y facilitar la </w:t>
            </w:r>
            <w:r w:rsidR="008C4D52">
              <w:rPr>
                <w:i/>
                <w:sz w:val="18"/>
                <w:szCs w:val="18"/>
                <w:lang w:val="es-ES"/>
              </w:rPr>
              <w:t>implementación</w:t>
            </w:r>
            <w:r w:rsidRPr="00B3455A">
              <w:rPr>
                <w:i/>
                <w:sz w:val="18"/>
                <w:szCs w:val="18"/>
                <w:lang w:val="es-ES"/>
              </w:rPr>
              <w:t xml:space="preserve"> de los programas de transferencia de efectivo mediante la especificación de las funciones y responsabilidades de</w:t>
            </w:r>
            <w:r w:rsidR="008C4D52">
              <w:rPr>
                <w:i/>
                <w:sz w:val="18"/>
                <w:szCs w:val="18"/>
                <w:lang w:val="es-ES"/>
              </w:rPr>
              <w:t>l personal de administración, logística</w:t>
            </w:r>
            <w:r w:rsidRPr="00B3455A">
              <w:rPr>
                <w:i/>
                <w:sz w:val="18"/>
                <w:szCs w:val="18"/>
                <w:lang w:val="es-ES"/>
              </w:rPr>
              <w:t xml:space="preserve"> y </w:t>
            </w:r>
            <w:r w:rsidR="008C4D52">
              <w:rPr>
                <w:i/>
                <w:sz w:val="18"/>
                <w:szCs w:val="18"/>
                <w:lang w:val="es-ES"/>
              </w:rPr>
              <w:t>programas en los PTE</w:t>
            </w:r>
            <w:r w:rsidRPr="00B3455A">
              <w:rPr>
                <w:i/>
                <w:sz w:val="18"/>
                <w:szCs w:val="18"/>
                <w:lang w:val="es-ES"/>
              </w:rPr>
              <w:t xml:space="preserve"> y la definición de los procesos que intervienen y los requisitos mínimos para la documentación.</w:t>
            </w:r>
          </w:p>
          <w:p w14:paraId="54EC72F4" w14:textId="77777777" w:rsidR="00B3455A" w:rsidRPr="00B3455A" w:rsidRDefault="00B3455A" w:rsidP="00B3455A">
            <w:pPr>
              <w:spacing w:before="20"/>
              <w:rPr>
                <w:i/>
                <w:sz w:val="18"/>
                <w:szCs w:val="18"/>
                <w:lang w:val="es-ES"/>
              </w:rPr>
            </w:pPr>
            <w:r w:rsidRPr="00B3455A">
              <w:rPr>
                <w:i/>
                <w:sz w:val="18"/>
                <w:szCs w:val="18"/>
                <w:lang w:val="es-ES"/>
              </w:rPr>
              <w:t>Para proporcionar una visión estructurada de cómo se deben administrar los programas de transferencia de efectivo en situaciones de emergencia</w:t>
            </w:r>
          </w:p>
          <w:p w14:paraId="009EA686" w14:textId="2D9E7BB4" w:rsidR="00996396" w:rsidRPr="00B3455A" w:rsidRDefault="00996396" w:rsidP="00D61AD7">
            <w:pPr>
              <w:spacing w:before="20" w:after="20"/>
              <w:rPr>
                <w:b/>
                <w:sz w:val="18"/>
                <w:szCs w:val="18"/>
                <w:lang w:val="es-ES"/>
              </w:rPr>
            </w:pPr>
          </w:p>
        </w:tc>
      </w:tr>
    </w:tbl>
    <w:p w14:paraId="78280C80" w14:textId="4DA72E09" w:rsidR="00996396" w:rsidRPr="008C4D52" w:rsidRDefault="008C4D52" w:rsidP="00B51F62">
      <w:pPr>
        <w:spacing w:before="240"/>
        <w:rPr>
          <w:i/>
          <w:shd w:val="clear" w:color="auto" w:fill="FFFF00"/>
          <w:lang w:val="es-ES"/>
        </w:rPr>
      </w:pPr>
      <w:r w:rsidRPr="008C4D52">
        <w:rPr>
          <w:b/>
          <w:lang w:val="es-ES"/>
        </w:rPr>
        <w:t xml:space="preserve">Dirigido a: </w:t>
      </w:r>
      <w:r w:rsidRPr="008C4D52">
        <w:rPr>
          <w:i/>
          <w:lang w:val="es-ES"/>
        </w:rPr>
        <w:t>especifica</w:t>
      </w:r>
      <w:r>
        <w:rPr>
          <w:i/>
          <w:lang w:val="es-ES"/>
        </w:rPr>
        <w:t>r cuál es exactamente la audiencia de la</w:t>
      </w:r>
      <w:r w:rsidRPr="008C4D52">
        <w:rPr>
          <w:i/>
          <w:lang w:val="es-ES"/>
        </w:rPr>
        <w:t xml:space="preserve"> Cruz Roja</w:t>
      </w:r>
      <w:r>
        <w:rPr>
          <w:i/>
          <w:lang w:val="es-ES"/>
        </w:rPr>
        <w:t xml:space="preserve"> y la</w:t>
      </w:r>
      <w:r w:rsidRPr="008C4D52">
        <w:rPr>
          <w:i/>
          <w:lang w:val="es-ES"/>
        </w:rPr>
        <w:t xml:space="preserve"> Media Luna </w:t>
      </w:r>
      <w:r w:rsidR="00AD0FF5" w:rsidRPr="008C4D52">
        <w:rPr>
          <w:i/>
          <w:lang w:val="es-ES"/>
        </w:rPr>
        <w:t xml:space="preserve">Roja </w:t>
      </w:r>
      <w:r w:rsidR="00AD0FF5">
        <w:rPr>
          <w:i/>
          <w:lang w:val="es-ES"/>
        </w:rPr>
        <w:t>a</w:t>
      </w:r>
      <w:r>
        <w:rPr>
          <w:i/>
          <w:lang w:val="es-ES"/>
        </w:rPr>
        <w:t xml:space="preserve"> quién se dirigen los SOP</w:t>
      </w:r>
    </w:p>
    <w:tbl>
      <w:tblPr>
        <w:tblStyle w:val="TableGray"/>
        <w:tblW w:w="0" w:type="auto"/>
        <w:tblLook w:val="04A0" w:firstRow="1" w:lastRow="0" w:firstColumn="1" w:lastColumn="0" w:noHBand="0" w:noVBand="1"/>
      </w:tblPr>
      <w:tblGrid>
        <w:gridCol w:w="9638"/>
      </w:tblGrid>
      <w:tr w:rsidR="00B51F62" w:rsidRPr="0069390C" w14:paraId="7350B03F" w14:textId="77777777" w:rsidTr="00B51F62">
        <w:tc>
          <w:tcPr>
            <w:tcW w:w="9854" w:type="dxa"/>
          </w:tcPr>
          <w:p w14:paraId="6CD112FF" w14:textId="77777777" w:rsidR="008C4D52" w:rsidRPr="008C4D52" w:rsidRDefault="008C4D52" w:rsidP="008C4D52">
            <w:pPr>
              <w:spacing w:before="20"/>
              <w:rPr>
                <w:i/>
                <w:sz w:val="18"/>
                <w:szCs w:val="18"/>
                <w:lang w:val="es-ES"/>
              </w:rPr>
            </w:pPr>
            <w:r w:rsidRPr="008C4D52">
              <w:rPr>
                <w:i/>
                <w:sz w:val="18"/>
                <w:szCs w:val="18"/>
                <w:lang w:val="es-ES"/>
              </w:rPr>
              <w:t>Por ejemplo</w:t>
            </w:r>
          </w:p>
          <w:p w14:paraId="2BD2C38A" w14:textId="2FDAEB6B" w:rsidR="008C4D52" w:rsidRPr="008C4D52" w:rsidRDefault="008C4D52" w:rsidP="008C4D52">
            <w:pPr>
              <w:spacing w:before="20"/>
              <w:rPr>
                <w:i/>
                <w:sz w:val="18"/>
                <w:szCs w:val="18"/>
                <w:lang w:val="es-ES"/>
              </w:rPr>
            </w:pPr>
            <w:r w:rsidRPr="00582ADB">
              <w:rPr>
                <w:b/>
                <w:i/>
                <w:sz w:val="18"/>
                <w:szCs w:val="18"/>
                <w:lang w:val="es-ES"/>
              </w:rPr>
              <w:t>CICR</w:t>
            </w:r>
            <w:r>
              <w:rPr>
                <w:i/>
                <w:sz w:val="18"/>
                <w:szCs w:val="18"/>
                <w:lang w:val="es-ES"/>
              </w:rPr>
              <w:t xml:space="preserve">: </w:t>
            </w:r>
            <w:r w:rsidR="00E55BB3">
              <w:rPr>
                <w:i/>
                <w:sz w:val="18"/>
                <w:szCs w:val="18"/>
                <w:lang w:val="es-ES"/>
              </w:rPr>
              <w:t xml:space="preserve"> Personal de a</w:t>
            </w:r>
            <w:r>
              <w:rPr>
                <w:i/>
                <w:sz w:val="18"/>
                <w:szCs w:val="18"/>
                <w:lang w:val="es-ES"/>
              </w:rPr>
              <w:t xml:space="preserve">dministración, </w:t>
            </w:r>
            <w:r w:rsidR="00E55BB3">
              <w:rPr>
                <w:i/>
                <w:sz w:val="18"/>
                <w:szCs w:val="18"/>
                <w:lang w:val="es-ES"/>
              </w:rPr>
              <w:t>l</w:t>
            </w:r>
            <w:r>
              <w:rPr>
                <w:i/>
                <w:sz w:val="18"/>
                <w:szCs w:val="18"/>
                <w:lang w:val="es-ES"/>
              </w:rPr>
              <w:t xml:space="preserve">ogística y </w:t>
            </w:r>
            <w:r w:rsidR="00E55BB3">
              <w:rPr>
                <w:i/>
                <w:sz w:val="18"/>
                <w:szCs w:val="18"/>
                <w:lang w:val="es-ES"/>
              </w:rPr>
              <w:t>p</w:t>
            </w:r>
            <w:r w:rsidRPr="008C4D52">
              <w:rPr>
                <w:i/>
                <w:sz w:val="18"/>
                <w:szCs w:val="18"/>
                <w:lang w:val="es-ES"/>
              </w:rPr>
              <w:t>rogramas</w:t>
            </w:r>
            <w:r w:rsidR="00582ADB">
              <w:rPr>
                <w:i/>
                <w:sz w:val="18"/>
                <w:szCs w:val="18"/>
                <w:lang w:val="es-ES"/>
              </w:rPr>
              <w:t xml:space="preserve"> de</w:t>
            </w:r>
            <w:r w:rsidRPr="008C4D52">
              <w:rPr>
                <w:i/>
                <w:sz w:val="18"/>
                <w:szCs w:val="18"/>
                <w:lang w:val="es-ES"/>
              </w:rPr>
              <w:t xml:space="preserve"> Eco</w:t>
            </w:r>
            <w:r w:rsidR="00E55BB3">
              <w:rPr>
                <w:i/>
                <w:sz w:val="18"/>
                <w:szCs w:val="18"/>
                <w:lang w:val="es-ES"/>
              </w:rPr>
              <w:t>-</w:t>
            </w:r>
            <w:proofErr w:type="spellStart"/>
            <w:r w:rsidRPr="008C4D52">
              <w:rPr>
                <w:i/>
                <w:sz w:val="18"/>
                <w:szCs w:val="18"/>
                <w:lang w:val="es-ES"/>
              </w:rPr>
              <w:t>sec</w:t>
            </w:r>
            <w:proofErr w:type="spellEnd"/>
            <w:r w:rsidRPr="008C4D52">
              <w:rPr>
                <w:i/>
                <w:sz w:val="18"/>
                <w:szCs w:val="18"/>
                <w:lang w:val="es-ES"/>
              </w:rPr>
              <w:t xml:space="preserve"> en programas de transferenci</w:t>
            </w:r>
            <w:r w:rsidR="00E55BB3">
              <w:rPr>
                <w:i/>
                <w:sz w:val="18"/>
                <w:szCs w:val="18"/>
                <w:lang w:val="es-ES"/>
              </w:rPr>
              <w:t>a de efectivo a nivel de país.</w:t>
            </w:r>
          </w:p>
          <w:p w14:paraId="4FA44532" w14:textId="25DD781F" w:rsidR="008C4D52" w:rsidRPr="008C4D52" w:rsidRDefault="008C4D52" w:rsidP="008C4D52">
            <w:pPr>
              <w:spacing w:before="20"/>
              <w:rPr>
                <w:i/>
                <w:sz w:val="18"/>
                <w:szCs w:val="18"/>
                <w:lang w:val="es-ES"/>
              </w:rPr>
            </w:pPr>
            <w:r w:rsidRPr="00582ADB">
              <w:rPr>
                <w:b/>
                <w:i/>
                <w:sz w:val="18"/>
                <w:szCs w:val="18"/>
                <w:lang w:val="es-ES"/>
              </w:rPr>
              <w:t>FICR:</w:t>
            </w:r>
            <w:r w:rsidR="00E55BB3">
              <w:rPr>
                <w:i/>
                <w:sz w:val="18"/>
                <w:szCs w:val="18"/>
                <w:lang w:val="es-ES"/>
              </w:rPr>
              <w:t xml:space="preserve"> personal de apoyo a</w:t>
            </w:r>
            <w:r w:rsidRPr="008C4D52">
              <w:rPr>
                <w:i/>
                <w:sz w:val="18"/>
                <w:szCs w:val="18"/>
                <w:lang w:val="es-ES"/>
              </w:rPr>
              <w:t xml:space="preserve"> emergencia</w:t>
            </w:r>
            <w:r w:rsidR="00E55BB3">
              <w:rPr>
                <w:i/>
                <w:sz w:val="18"/>
                <w:szCs w:val="18"/>
                <w:lang w:val="es-ES"/>
              </w:rPr>
              <w:t>s</w:t>
            </w:r>
            <w:r w:rsidRPr="008C4D52">
              <w:rPr>
                <w:i/>
                <w:sz w:val="18"/>
                <w:szCs w:val="18"/>
                <w:lang w:val="es-ES"/>
              </w:rPr>
              <w:t xml:space="preserve"> involucrado en</w:t>
            </w:r>
            <w:r w:rsidR="00582ADB">
              <w:rPr>
                <w:i/>
                <w:sz w:val="18"/>
                <w:szCs w:val="18"/>
                <w:lang w:val="es-ES"/>
              </w:rPr>
              <w:t xml:space="preserve"> la toma inicial de decisiones para las operaciones de emergencia: </w:t>
            </w:r>
            <w:r w:rsidR="00E55BB3">
              <w:rPr>
                <w:i/>
                <w:sz w:val="18"/>
                <w:szCs w:val="18"/>
                <w:lang w:val="es-ES"/>
              </w:rPr>
              <w:t>l</w:t>
            </w:r>
            <w:r w:rsidRPr="008C4D52">
              <w:rPr>
                <w:i/>
                <w:sz w:val="18"/>
                <w:szCs w:val="18"/>
                <w:lang w:val="es-ES"/>
              </w:rPr>
              <w:t>ogística,</w:t>
            </w:r>
            <w:r w:rsidR="00E55BB3">
              <w:rPr>
                <w:i/>
                <w:sz w:val="18"/>
                <w:szCs w:val="18"/>
                <w:lang w:val="es-ES"/>
              </w:rPr>
              <w:t xml:space="preserve"> finanzas, legal, s</w:t>
            </w:r>
            <w:r w:rsidRPr="008C4D52">
              <w:rPr>
                <w:i/>
                <w:sz w:val="18"/>
                <w:szCs w:val="18"/>
                <w:lang w:val="es-ES"/>
              </w:rPr>
              <w:t>egur</w:t>
            </w:r>
            <w:r w:rsidR="00582ADB">
              <w:rPr>
                <w:i/>
                <w:sz w:val="18"/>
                <w:szCs w:val="18"/>
                <w:lang w:val="es-ES"/>
              </w:rPr>
              <w:t xml:space="preserve">idad </w:t>
            </w:r>
            <w:r w:rsidR="00E55BB3">
              <w:rPr>
                <w:i/>
                <w:sz w:val="18"/>
                <w:szCs w:val="18"/>
                <w:lang w:val="es-ES"/>
              </w:rPr>
              <w:t>y programas, incluyendo o</w:t>
            </w:r>
            <w:r w:rsidRPr="008C4D52">
              <w:rPr>
                <w:i/>
                <w:sz w:val="18"/>
                <w:szCs w:val="18"/>
                <w:lang w:val="es-ES"/>
              </w:rPr>
              <w:t>peraciones/</w:t>
            </w:r>
            <w:r w:rsidR="00E55BB3">
              <w:rPr>
                <w:i/>
                <w:sz w:val="18"/>
                <w:szCs w:val="18"/>
                <w:lang w:val="es-ES"/>
              </w:rPr>
              <w:t>d</w:t>
            </w:r>
            <w:r w:rsidR="00582ADB">
              <w:rPr>
                <w:i/>
                <w:sz w:val="18"/>
                <w:szCs w:val="18"/>
                <w:lang w:val="es-ES"/>
              </w:rPr>
              <w:t xml:space="preserve">irectores de </w:t>
            </w:r>
            <w:r w:rsidR="00E55BB3">
              <w:rPr>
                <w:i/>
                <w:sz w:val="18"/>
                <w:szCs w:val="18"/>
                <w:lang w:val="es-ES"/>
              </w:rPr>
              <w:t>p</w:t>
            </w:r>
            <w:r w:rsidRPr="008C4D52">
              <w:rPr>
                <w:i/>
                <w:sz w:val="18"/>
                <w:szCs w:val="18"/>
                <w:lang w:val="es-ES"/>
              </w:rPr>
              <w:t>ro</w:t>
            </w:r>
            <w:r w:rsidR="00E55BB3">
              <w:rPr>
                <w:i/>
                <w:sz w:val="18"/>
                <w:szCs w:val="18"/>
                <w:lang w:val="es-ES"/>
              </w:rPr>
              <w:t>yectos/r</w:t>
            </w:r>
            <w:r w:rsidR="00582ADB">
              <w:rPr>
                <w:i/>
                <w:sz w:val="18"/>
                <w:szCs w:val="18"/>
                <w:lang w:val="es-ES"/>
              </w:rPr>
              <w:t xml:space="preserve">esponsables de los </w:t>
            </w:r>
            <w:r w:rsidR="00E55BB3">
              <w:rPr>
                <w:i/>
                <w:sz w:val="18"/>
                <w:szCs w:val="18"/>
                <w:lang w:val="es-ES"/>
              </w:rPr>
              <w:t>llamamientos</w:t>
            </w:r>
            <w:r w:rsidR="00582ADB">
              <w:rPr>
                <w:i/>
                <w:sz w:val="18"/>
                <w:szCs w:val="18"/>
                <w:lang w:val="es-ES"/>
              </w:rPr>
              <w:t xml:space="preserve">. </w:t>
            </w:r>
          </w:p>
          <w:p w14:paraId="435C454B" w14:textId="0DF5C128" w:rsidR="00B85FDA" w:rsidRPr="008C4D52" w:rsidRDefault="008C4D52" w:rsidP="008C4D52">
            <w:pPr>
              <w:spacing w:before="20"/>
              <w:rPr>
                <w:i/>
                <w:sz w:val="18"/>
                <w:szCs w:val="18"/>
                <w:lang w:val="es-ES"/>
              </w:rPr>
            </w:pPr>
            <w:r w:rsidRPr="00582ADB">
              <w:rPr>
                <w:b/>
                <w:i/>
                <w:sz w:val="18"/>
                <w:szCs w:val="18"/>
                <w:lang w:val="es-ES"/>
              </w:rPr>
              <w:t>Sociedad Nacional</w:t>
            </w:r>
            <w:r w:rsidRPr="008C4D52">
              <w:rPr>
                <w:i/>
                <w:sz w:val="18"/>
                <w:szCs w:val="18"/>
                <w:lang w:val="es-ES"/>
              </w:rPr>
              <w:t xml:space="preserve">: personal </w:t>
            </w:r>
            <w:r w:rsidR="00582ADB">
              <w:rPr>
                <w:i/>
                <w:sz w:val="18"/>
                <w:szCs w:val="18"/>
                <w:lang w:val="es-ES"/>
              </w:rPr>
              <w:t xml:space="preserve">de las seccionales y </w:t>
            </w:r>
            <w:r w:rsidRPr="008C4D52">
              <w:rPr>
                <w:i/>
                <w:sz w:val="18"/>
                <w:szCs w:val="18"/>
                <w:lang w:val="es-ES"/>
              </w:rPr>
              <w:t xml:space="preserve">voluntarios que participan en PTE, departamentos </w:t>
            </w:r>
            <w:r w:rsidR="00582ADB">
              <w:rPr>
                <w:i/>
                <w:sz w:val="18"/>
                <w:szCs w:val="18"/>
                <w:lang w:val="es-ES"/>
              </w:rPr>
              <w:t>de la sede</w:t>
            </w:r>
            <w:r w:rsidRPr="008C4D52">
              <w:rPr>
                <w:i/>
                <w:sz w:val="18"/>
                <w:szCs w:val="18"/>
                <w:lang w:val="es-ES"/>
              </w:rPr>
              <w:t xml:space="preserve">, los equipos de gestión de desastres y los departamentos y unidades adicionales </w:t>
            </w:r>
            <w:r w:rsidR="00BF0A76">
              <w:rPr>
                <w:i/>
                <w:sz w:val="18"/>
                <w:szCs w:val="18"/>
                <w:lang w:val="es-ES"/>
              </w:rPr>
              <w:t xml:space="preserve">envueltos en el </w:t>
            </w:r>
            <w:r w:rsidRPr="008C4D52">
              <w:rPr>
                <w:i/>
                <w:sz w:val="18"/>
                <w:szCs w:val="18"/>
                <w:lang w:val="es-ES"/>
              </w:rPr>
              <w:t>diseño y la</w:t>
            </w:r>
            <w:r w:rsidR="00BF0A76">
              <w:rPr>
                <w:i/>
                <w:sz w:val="18"/>
                <w:szCs w:val="18"/>
                <w:lang w:val="es-ES"/>
              </w:rPr>
              <w:t>s intervenciones</w:t>
            </w:r>
          </w:p>
          <w:p w14:paraId="0903D6B6" w14:textId="6C9C1621" w:rsidR="00B51F62" w:rsidRPr="00E067AA" w:rsidRDefault="00B51F62" w:rsidP="00D61AD7">
            <w:pPr>
              <w:spacing w:before="20" w:after="20"/>
              <w:rPr>
                <w:i/>
                <w:sz w:val="18"/>
                <w:szCs w:val="18"/>
                <w:lang w:val="es-ES"/>
              </w:rPr>
            </w:pPr>
          </w:p>
        </w:tc>
      </w:tr>
    </w:tbl>
    <w:p w14:paraId="174AB1CE" w14:textId="1861FD40" w:rsidR="00BF0A76" w:rsidRPr="00BF0A76" w:rsidRDefault="00BF0A76" w:rsidP="00BF0A76">
      <w:pPr>
        <w:pStyle w:val="Heading3"/>
        <w:rPr>
          <w:lang w:val="es-ES"/>
        </w:rPr>
      </w:pPr>
      <w:r w:rsidRPr="00BF0A76">
        <w:rPr>
          <w:lang w:val="es-ES"/>
        </w:rPr>
        <w:lastRenderedPageBreak/>
        <w:t xml:space="preserve">II. Breve descripción de </w:t>
      </w:r>
      <w:r w:rsidR="00E55BB3">
        <w:rPr>
          <w:lang w:val="es-ES"/>
        </w:rPr>
        <w:t>PTE</w:t>
      </w:r>
      <w:r w:rsidRPr="00BF0A76">
        <w:rPr>
          <w:lang w:val="es-ES"/>
        </w:rPr>
        <w:t xml:space="preserve"> en el país</w:t>
      </w:r>
    </w:p>
    <w:p w14:paraId="2793ECE0" w14:textId="77777777" w:rsidR="00BF0A76" w:rsidRPr="00BF0A76" w:rsidRDefault="00BF0A76" w:rsidP="00BF0A76">
      <w:pPr>
        <w:rPr>
          <w:i/>
          <w:lang w:val="es-ES"/>
        </w:rPr>
      </w:pPr>
      <w:r w:rsidRPr="00BF0A76">
        <w:rPr>
          <w:i/>
          <w:lang w:val="es-ES"/>
        </w:rPr>
        <w:t>Proporcionar una descripción genérica de los tipos de PTE</w:t>
      </w:r>
    </w:p>
    <w:p w14:paraId="51646BAC" w14:textId="50B81FD9" w:rsidR="00996396" w:rsidRPr="00E067AA" w:rsidRDefault="00B00246" w:rsidP="00FF617E">
      <w:pPr>
        <w:rPr>
          <w:rFonts w:eastAsia="Calibri"/>
          <w:i/>
          <w:lang w:val="es-ES"/>
        </w:rPr>
      </w:pPr>
      <w:r>
        <w:rPr>
          <w:i/>
          <w:lang w:val="es-ES"/>
        </w:rPr>
        <w:t>Los PTE son</w:t>
      </w:r>
      <w:r w:rsidR="00BF0A76" w:rsidRPr="00BF0A76">
        <w:rPr>
          <w:i/>
          <w:lang w:val="es-ES"/>
        </w:rPr>
        <w:t xml:space="preserve"> un mecanismo eficaz y flexible para salvar vidas, proteger los medios de </w:t>
      </w:r>
      <w:r>
        <w:rPr>
          <w:i/>
          <w:lang w:val="es-ES"/>
        </w:rPr>
        <w:t>vida</w:t>
      </w:r>
      <w:r w:rsidR="00BF0A76" w:rsidRPr="00BF0A76">
        <w:rPr>
          <w:i/>
          <w:lang w:val="es-ES"/>
        </w:rPr>
        <w:t xml:space="preserve"> y fortalecer la recuperación </w:t>
      </w:r>
      <w:r>
        <w:rPr>
          <w:i/>
          <w:lang w:val="es-ES"/>
        </w:rPr>
        <w:t>después de</w:t>
      </w:r>
      <w:r w:rsidR="00BF0A76" w:rsidRPr="00BF0A76">
        <w:rPr>
          <w:i/>
          <w:lang w:val="es-ES"/>
        </w:rPr>
        <w:t xml:space="preserve"> desastres y conflictos. </w:t>
      </w:r>
      <w:r>
        <w:rPr>
          <w:i/>
          <w:lang w:val="es-ES"/>
        </w:rPr>
        <w:t xml:space="preserve">Los </w:t>
      </w:r>
      <w:r w:rsidR="00BF0A76" w:rsidRPr="00BF0A76">
        <w:rPr>
          <w:i/>
          <w:lang w:val="es-ES"/>
        </w:rPr>
        <w:t>PTE representa</w:t>
      </w:r>
      <w:r>
        <w:rPr>
          <w:i/>
          <w:lang w:val="es-ES"/>
        </w:rPr>
        <w:t>n</w:t>
      </w:r>
      <w:r w:rsidR="00BF0A76" w:rsidRPr="00BF0A76">
        <w:rPr>
          <w:i/>
          <w:lang w:val="es-ES"/>
        </w:rPr>
        <w:t xml:space="preserve"> todas las formas de</w:t>
      </w:r>
      <w:r>
        <w:rPr>
          <w:i/>
          <w:lang w:val="es-ES"/>
        </w:rPr>
        <w:t xml:space="preserve"> asistencia basadas en la entrega de dinero en efectivo y cupones. </w:t>
      </w:r>
      <w:r w:rsidR="00BF0A76" w:rsidRPr="00BF0A76">
        <w:rPr>
          <w:i/>
          <w:lang w:val="es-ES"/>
        </w:rPr>
        <w:t>Es una de las opciones d</w:t>
      </w:r>
      <w:r>
        <w:rPr>
          <w:i/>
          <w:lang w:val="es-ES"/>
        </w:rPr>
        <w:t>e intervención</w:t>
      </w:r>
      <w:r w:rsidR="00BF0A76" w:rsidRPr="00BF0A76">
        <w:rPr>
          <w:i/>
          <w:lang w:val="es-ES"/>
        </w:rPr>
        <w:t xml:space="preserve"> disponibles para apoyar a las personas afectadas po</w:t>
      </w:r>
      <w:r>
        <w:rPr>
          <w:i/>
          <w:lang w:val="es-ES"/>
        </w:rPr>
        <w:t>r crisis humanitarias. Su uso depende d</w:t>
      </w:r>
      <w:r w:rsidR="00BF0A76" w:rsidRPr="00BF0A76">
        <w:rPr>
          <w:i/>
          <w:lang w:val="es-ES"/>
        </w:rPr>
        <w:t xml:space="preserve">el contexto operativo. </w:t>
      </w:r>
      <w:r>
        <w:rPr>
          <w:i/>
          <w:lang w:val="es-ES"/>
        </w:rPr>
        <w:t xml:space="preserve">Los </w:t>
      </w:r>
      <w:r w:rsidR="00BF0A76" w:rsidRPr="00BF0A76">
        <w:rPr>
          <w:i/>
          <w:lang w:val="es-ES"/>
        </w:rPr>
        <w:t xml:space="preserve">PTE </w:t>
      </w:r>
      <w:r w:rsidR="00014DFC">
        <w:rPr>
          <w:i/>
          <w:lang w:val="es-ES"/>
        </w:rPr>
        <w:t xml:space="preserve">son una alternativa o un </w:t>
      </w:r>
      <w:r w:rsidR="00E55BB3">
        <w:rPr>
          <w:i/>
          <w:lang w:val="es-ES"/>
        </w:rPr>
        <w:t>complemento a</w:t>
      </w:r>
      <w:r w:rsidR="00014DFC">
        <w:rPr>
          <w:i/>
          <w:lang w:val="es-ES"/>
        </w:rPr>
        <w:t xml:space="preserve"> la asistencia </w:t>
      </w:r>
      <w:r w:rsidR="00BF0A76" w:rsidRPr="00BF0A76">
        <w:rPr>
          <w:i/>
          <w:lang w:val="es-ES"/>
        </w:rPr>
        <w:t>en especie</w:t>
      </w:r>
      <w:r w:rsidR="00014DFC">
        <w:rPr>
          <w:i/>
          <w:lang w:val="es-ES"/>
        </w:rPr>
        <w:t xml:space="preserve">. Los </w:t>
      </w:r>
      <w:r w:rsidR="00BF0A76" w:rsidRPr="00BF0A76">
        <w:rPr>
          <w:i/>
          <w:lang w:val="es-ES"/>
        </w:rPr>
        <w:t xml:space="preserve">PTE no </w:t>
      </w:r>
      <w:r w:rsidR="00014DFC">
        <w:rPr>
          <w:i/>
          <w:lang w:val="es-ES"/>
        </w:rPr>
        <w:t xml:space="preserve">son </w:t>
      </w:r>
      <w:r w:rsidR="00BF0A76" w:rsidRPr="00BF0A76">
        <w:rPr>
          <w:i/>
          <w:lang w:val="es-ES"/>
        </w:rPr>
        <w:t xml:space="preserve">un sector por derecho </w:t>
      </w:r>
      <w:r w:rsidR="00014DFC">
        <w:rPr>
          <w:i/>
          <w:lang w:val="es-ES"/>
        </w:rPr>
        <w:t>propio; se trata</w:t>
      </w:r>
      <w:r w:rsidR="00BF0A76" w:rsidRPr="00BF0A76">
        <w:rPr>
          <w:i/>
          <w:lang w:val="es-ES"/>
        </w:rPr>
        <w:t xml:space="preserve"> simplemente </w:t>
      </w:r>
      <w:r w:rsidR="00014DFC">
        <w:rPr>
          <w:i/>
          <w:lang w:val="es-ES"/>
        </w:rPr>
        <w:t xml:space="preserve">de </w:t>
      </w:r>
      <w:r w:rsidR="00BF0A76" w:rsidRPr="00BF0A76">
        <w:rPr>
          <w:i/>
          <w:lang w:val="es-ES"/>
        </w:rPr>
        <w:t>un instru</w:t>
      </w:r>
      <w:r w:rsidR="00014DFC">
        <w:rPr>
          <w:i/>
          <w:lang w:val="es-ES"/>
        </w:rPr>
        <w:t>mento que puede ser utilizado para</w:t>
      </w:r>
      <w:r w:rsidR="00BF0A76" w:rsidRPr="00BF0A76">
        <w:rPr>
          <w:i/>
          <w:lang w:val="es-ES"/>
        </w:rPr>
        <w:t xml:space="preserve"> cumplir objetivos específicos en cont</w:t>
      </w:r>
      <w:r w:rsidR="00E55BB3">
        <w:rPr>
          <w:i/>
          <w:lang w:val="es-ES"/>
        </w:rPr>
        <w:t>extos y sectores de la intervención</w:t>
      </w:r>
      <w:r w:rsidR="00BF0A76" w:rsidRPr="00BF0A76">
        <w:rPr>
          <w:i/>
          <w:lang w:val="es-ES"/>
        </w:rPr>
        <w:t>.</w:t>
      </w:r>
      <w:r w:rsidR="00014DFC">
        <w:rPr>
          <w:i/>
          <w:lang w:val="es-ES"/>
        </w:rPr>
        <w:t xml:space="preserve"> </w:t>
      </w:r>
    </w:p>
    <w:tbl>
      <w:tblPr>
        <w:tblStyle w:val="TableGray"/>
        <w:tblW w:w="0" w:type="auto"/>
        <w:jc w:val="center"/>
        <w:tblLook w:val="04A0" w:firstRow="1" w:lastRow="0" w:firstColumn="1" w:lastColumn="0" w:noHBand="0" w:noVBand="1"/>
      </w:tblPr>
      <w:tblGrid>
        <w:gridCol w:w="9638"/>
      </w:tblGrid>
      <w:tr w:rsidR="00E92C7F" w:rsidRPr="0069390C" w14:paraId="674BC7AE" w14:textId="77777777" w:rsidTr="00B51F62">
        <w:trPr>
          <w:jc w:val="center"/>
        </w:trPr>
        <w:tc>
          <w:tcPr>
            <w:tcW w:w="9854" w:type="dxa"/>
          </w:tcPr>
          <w:p w14:paraId="7459B496" w14:textId="1DCE7F3F" w:rsidR="00B51F62" w:rsidRPr="00014DFC" w:rsidRDefault="00B51F62" w:rsidP="009317C3">
            <w:pPr>
              <w:shd w:val="clear" w:color="auto" w:fill="D9D9D9" w:themeFill="background1" w:themeFillShade="D9"/>
              <w:rPr>
                <w:b/>
                <w:sz w:val="18"/>
                <w:szCs w:val="18"/>
                <w:lang w:val="es-ES"/>
              </w:rPr>
            </w:pPr>
            <w:r w:rsidRPr="00014DFC">
              <w:rPr>
                <w:b/>
                <w:sz w:val="18"/>
                <w:szCs w:val="18"/>
                <w:lang w:val="es-ES"/>
              </w:rPr>
              <w:t>T</w:t>
            </w:r>
            <w:r w:rsidR="00014DFC" w:rsidRPr="00014DFC">
              <w:rPr>
                <w:b/>
                <w:sz w:val="18"/>
                <w:szCs w:val="18"/>
                <w:lang w:val="es-ES"/>
              </w:rPr>
              <w:t>ipos de PTE</w:t>
            </w:r>
            <w:r w:rsidRPr="00014DFC">
              <w:rPr>
                <w:b/>
                <w:sz w:val="18"/>
                <w:szCs w:val="18"/>
                <w:lang w:val="es-ES"/>
              </w:rPr>
              <w:t>:</w:t>
            </w:r>
          </w:p>
          <w:p w14:paraId="4132A5C6" w14:textId="09157B30" w:rsidR="00014DFC" w:rsidRPr="00BC21AB" w:rsidRDefault="00695009" w:rsidP="00014DFC">
            <w:pPr>
              <w:shd w:val="clear" w:color="auto" w:fill="D9D9D9" w:themeFill="background1" w:themeFillShade="D9"/>
              <w:spacing w:after="20"/>
              <w:rPr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Las transferencias de</w:t>
            </w:r>
            <w:r w:rsidR="00BC21AB">
              <w:rPr>
                <w:b/>
                <w:sz w:val="18"/>
                <w:szCs w:val="18"/>
                <w:lang w:val="es-ES"/>
              </w:rPr>
              <w:t xml:space="preserve"> </w:t>
            </w:r>
            <w:r w:rsidR="00014DFC" w:rsidRPr="00014DFC">
              <w:rPr>
                <w:b/>
                <w:sz w:val="18"/>
                <w:szCs w:val="18"/>
                <w:lang w:val="es-ES"/>
              </w:rPr>
              <w:t xml:space="preserve">efectivo </w:t>
            </w:r>
            <w:r w:rsidR="00BC21AB">
              <w:rPr>
                <w:b/>
                <w:sz w:val="18"/>
                <w:szCs w:val="18"/>
                <w:lang w:val="es-ES"/>
              </w:rPr>
              <w:t>in</w:t>
            </w:r>
            <w:r w:rsidR="00BC21AB" w:rsidRPr="00014DFC">
              <w:rPr>
                <w:b/>
                <w:sz w:val="18"/>
                <w:szCs w:val="18"/>
                <w:lang w:val="es-ES"/>
              </w:rPr>
              <w:t>condiciona</w:t>
            </w:r>
            <w:r w:rsidR="00BC21AB">
              <w:rPr>
                <w:b/>
                <w:sz w:val="18"/>
                <w:szCs w:val="18"/>
                <w:lang w:val="es-ES"/>
              </w:rPr>
              <w:t>les -</w:t>
            </w:r>
            <w:r w:rsidR="00BC21AB" w:rsidRPr="00BC21AB">
              <w:rPr>
                <w:sz w:val="18"/>
                <w:szCs w:val="18"/>
                <w:lang w:val="es-ES"/>
              </w:rPr>
              <w:t xml:space="preserve"> se</w:t>
            </w:r>
            <w:r w:rsidR="00014DFC" w:rsidRPr="00BC21AB">
              <w:rPr>
                <w:sz w:val="18"/>
                <w:szCs w:val="18"/>
                <w:lang w:val="es-ES"/>
              </w:rPr>
              <w:t xml:space="preserve"> </w:t>
            </w:r>
            <w:r w:rsidR="00BC21AB">
              <w:rPr>
                <w:sz w:val="18"/>
                <w:szCs w:val="18"/>
                <w:lang w:val="es-ES"/>
              </w:rPr>
              <w:t>entregan</w:t>
            </w:r>
            <w:r w:rsidR="00014DFC" w:rsidRPr="00BC21AB">
              <w:rPr>
                <w:sz w:val="18"/>
                <w:szCs w:val="18"/>
                <w:lang w:val="es-ES"/>
              </w:rPr>
              <w:t xml:space="preserve"> sin condiciones </w:t>
            </w:r>
            <w:r w:rsidR="00BC21AB">
              <w:rPr>
                <w:sz w:val="18"/>
                <w:szCs w:val="18"/>
                <w:lang w:val="es-ES"/>
              </w:rPr>
              <w:t>sobre</w:t>
            </w:r>
            <w:r w:rsidR="00014DFC" w:rsidRPr="00BC21AB">
              <w:rPr>
                <w:sz w:val="18"/>
                <w:szCs w:val="18"/>
                <w:lang w:val="es-ES"/>
              </w:rPr>
              <w:t xml:space="preserve"> cómo debe ser utilizado </w:t>
            </w:r>
            <w:r w:rsidR="00BC21AB" w:rsidRPr="00BC21AB">
              <w:rPr>
                <w:sz w:val="18"/>
                <w:szCs w:val="18"/>
                <w:lang w:val="es-ES"/>
              </w:rPr>
              <w:t xml:space="preserve">el dinero </w:t>
            </w:r>
            <w:r w:rsidR="00014DFC" w:rsidRPr="00BC21AB">
              <w:rPr>
                <w:sz w:val="18"/>
                <w:szCs w:val="18"/>
                <w:lang w:val="es-ES"/>
              </w:rPr>
              <w:t xml:space="preserve">por </w:t>
            </w:r>
            <w:r w:rsidR="00BC21AB">
              <w:rPr>
                <w:sz w:val="18"/>
                <w:szCs w:val="18"/>
                <w:lang w:val="es-ES"/>
              </w:rPr>
              <w:t xml:space="preserve">parte de </w:t>
            </w:r>
            <w:r w:rsidR="00014DFC" w:rsidRPr="00BC21AB">
              <w:rPr>
                <w:sz w:val="18"/>
                <w:szCs w:val="18"/>
                <w:lang w:val="es-ES"/>
              </w:rPr>
              <w:t xml:space="preserve">los beneficiarios o sin condiciones específicas que los beneficiarios deben cumplir. Se </w:t>
            </w:r>
            <w:r w:rsidR="00BC21AB">
              <w:rPr>
                <w:sz w:val="18"/>
                <w:szCs w:val="18"/>
                <w:lang w:val="es-ES"/>
              </w:rPr>
              <w:t>pre</w:t>
            </w:r>
            <w:r w:rsidR="00014DFC" w:rsidRPr="00BC21AB">
              <w:rPr>
                <w:sz w:val="18"/>
                <w:szCs w:val="18"/>
                <w:lang w:val="es-ES"/>
              </w:rPr>
              <w:t>supone que</w:t>
            </w:r>
            <w:r w:rsidR="00BC21AB">
              <w:rPr>
                <w:sz w:val="18"/>
                <w:szCs w:val="18"/>
                <w:lang w:val="es-ES"/>
              </w:rPr>
              <w:t xml:space="preserve">, si las necesidades básicas </w:t>
            </w:r>
            <w:r w:rsidR="00014DFC" w:rsidRPr="00BC21AB">
              <w:rPr>
                <w:sz w:val="18"/>
                <w:szCs w:val="18"/>
                <w:lang w:val="es-ES"/>
              </w:rPr>
              <w:t xml:space="preserve">han </w:t>
            </w:r>
            <w:r w:rsidR="00BC21AB">
              <w:rPr>
                <w:sz w:val="18"/>
                <w:szCs w:val="18"/>
                <w:lang w:val="es-ES"/>
              </w:rPr>
              <w:t>sido identificadas</w:t>
            </w:r>
            <w:r w:rsidR="00014DFC" w:rsidRPr="00BC21AB">
              <w:rPr>
                <w:sz w:val="18"/>
                <w:szCs w:val="18"/>
                <w:lang w:val="es-ES"/>
              </w:rPr>
              <w:t xml:space="preserve"> en la evaluación, el dinero se utilizará para cubrir estas necesidades. </w:t>
            </w:r>
            <w:r w:rsidR="00BC21AB">
              <w:rPr>
                <w:sz w:val="18"/>
                <w:szCs w:val="18"/>
                <w:lang w:val="es-ES"/>
              </w:rPr>
              <w:t xml:space="preserve">Se pueden realizar </w:t>
            </w:r>
            <w:r w:rsidR="00014DFC" w:rsidRPr="00BC21AB">
              <w:rPr>
                <w:sz w:val="18"/>
                <w:szCs w:val="18"/>
                <w:lang w:val="es-ES"/>
              </w:rPr>
              <w:t>pagos únicos, se puede</w:t>
            </w:r>
            <w:r>
              <w:rPr>
                <w:sz w:val="18"/>
                <w:szCs w:val="18"/>
                <w:lang w:val="es-ES"/>
              </w:rPr>
              <w:t>n realizar transferencias con la misma cantidad de manera periódica, o c</w:t>
            </w:r>
            <w:r w:rsidR="00014DFC" w:rsidRPr="00BC21AB">
              <w:rPr>
                <w:sz w:val="18"/>
                <w:szCs w:val="18"/>
                <w:lang w:val="es-ES"/>
              </w:rPr>
              <w:t>antidades variables</w:t>
            </w:r>
            <w:r>
              <w:rPr>
                <w:sz w:val="18"/>
                <w:szCs w:val="18"/>
                <w:lang w:val="es-ES"/>
              </w:rPr>
              <w:t xml:space="preserve"> a lo largo de varios meses. </w:t>
            </w:r>
          </w:p>
          <w:p w14:paraId="4F0E7891" w14:textId="6A07EE4B" w:rsidR="00014DFC" w:rsidRPr="00014DFC" w:rsidRDefault="00014DFC" w:rsidP="00014DFC">
            <w:pPr>
              <w:shd w:val="clear" w:color="auto" w:fill="D9D9D9" w:themeFill="background1" w:themeFillShade="D9"/>
              <w:spacing w:after="20"/>
              <w:rPr>
                <w:b/>
                <w:sz w:val="18"/>
                <w:szCs w:val="18"/>
                <w:lang w:val="es-ES"/>
              </w:rPr>
            </w:pPr>
            <w:r w:rsidRPr="00014DFC">
              <w:rPr>
                <w:b/>
                <w:sz w:val="18"/>
                <w:szCs w:val="18"/>
                <w:lang w:val="es-ES"/>
              </w:rPr>
              <w:t xml:space="preserve">Las transferencias </w:t>
            </w:r>
            <w:r w:rsidR="00695009">
              <w:rPr>
                <w:b/>
                <w:sz w:val="18"/>
                <w:szCs w:val="18"/>
                <w:lang w:val="es-ES"/>
              </w:rPr>
              <w:t xml:space="preserve">de efectivo </w:t>
            </w:r>
            <w:r w:rsidRPr="00014DFC">
              <w:rPr>
                <w:b/>
                <w:sz w:val="18"/>
                <w:szCs w:val="18"/>
                <w:lang w:val="es-ES"/>
              </w:rPr>
              <w:t>condiciona</w:t>
            </w:r>
            <w:r w:rsidR="00695009">
              <w:rPr>
                <w:b/>
                <w:sz w:val="18"/>
                <w:szCs w:val="18"/>
                <w:lang w:val="es-ES"/>
              </w:rPr>
              <w:t>les</w:t>
            </w:r>
            <w:r w:rsidRPr="00014DFC">
              <w:rPr>
                <w:b/>
                <w:sz w:val="18"/>
                <w:szCs w:val="18"/>
                <w:lang w:val="es-ES"/>
              </w:rPr>
              <w:t xml:space="preserve"> </w:t>
            </w:r>
            <w:r w:rsidR="00695009">
              <w:rPr>
                <w:b/>
                <w:sz w:val="18"/>
                <w:szCs w:val="18"/>
                <w:lang w:val="es-ES"/>
              </w:rPr>
              <w:t>–</w:t>
            </w:r>
            <w:r w:rsidRPr="00014DFC">
              <w:rPr>
                <w:b/>
                <w:sz w:val="18"/>
                <w:szCs w:val="18"/>
                <w:lang w:val="es-ES"/>
              </w:rPr>
              <w:t xml:space="preserve"> </w:t>
            </w:r>
            <w:r w:rsidRPr="00695009">
              <w:rPr>
                <w:sz w:val="18"/>
                <w:szCs w:val="18"/>
                <w:lang w:val="es-ES"/>
              </w:rPr>
              <w:t>se</w:t>
            </w:r>
            <w:r w:rsidR="00695009" w:rsidRPr="00695009">
              <w:rPr>
                <w:sz w:val="18"/>
                <w:szCs w:val="18"/>
                <w:lang w:val="es-ES"/>
              </w:rPr>
              <w:t xml:space="preserve"> entregan </w:t>
            </w:r>
            <w:r w:rsidRPr="00695009">
              <w:rPr>
                <w:sz w:val="18"/>
                <w:szCs w:val="18"/>
                <w:lang w:val="es-ES"/>
              </w:rPr>
              <w:t>a los destinatarios para un fin determinado o en contra</w:t>
            </w:r>
            <w:r w:rsidR="00695009" w:rsidRPr="00695009">
              <w:rPr>
                <w:sz w:val="18"/>
                <w:szCs w:val="18"/>
                <w:lang w:val="es-ES"/>
              </w:rPr>
              <w:t xml:space="preserve">partida a </w:t>
            </w:r>
            <w:r w:rsidRPr="00695009">
              <w:rPr>
                <w:sz w:val="18"/>
                <w:szCs w:val="18"/>
                <w:lang w:val="es-ES"/>
              </w:rPr>
              <w:t>condiciones específicas, tales como iniciar un negocio, comprar herramientas o</w:t>
            </w:r>
            <w:r w:rsidR="00695009" w:rsidRPr="00695009">
              <w:rPr>
                <w:sz w:val="18"/>
                <w:szCs w:val="18"/>
                <w:lang w:val="es-ES"/>
              </w:rPr>
              <w:t xml:space="preserve"> productos agrícolas, asistir a los servicios de salud o enviar</w:t>
            </w:r>
            <w:r w:rsidRPr="00695009">
              <w:rPr>
                <w:sz w:val="18"/>
                <w:szCs w:val="18"/>
                <w:lang w:val="es-ES"/>
              </w:rPr>
              <w:t xml:space="preserve"> a los niños a la escuela. Siempre y cuando se respeten los objetivos acordados, los beneficiarios son libres de utilizar las cantidades de dinero en efectivo puesto a su disposición para elegir el tipo, calidad o cantidad de los productos que desean comprar.</w:t>
            </w:r>
          </w:p>
          <w:p w14:paraId="79343222" w14:textId="14A38BAD" w:rsidR="00014DFC" w:rsidRPr="00014DFC" w:rsidRDefault="00695009" w:rsidP="00014DFC">
            <w:pPr>
              <w:shd w:val="clear" w:color="auto" w:fill="D9D9D9" w:themeFill="background1" w:themeFillShade="D9"/>
              <w:spacing w:after="20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Dinero por trabajo</w:t>
            </w:r>
            <w:r w:rsidR="00014DFC" w:rsidRPr="00014DFC">
              <w:rPr>
                <w:b/>
                <w:sz w:val="18"/>
                <w:szCs w:val="18"/>
                <w:lang w:val="es-ES"/>
              </w:rPr>
              <w:t xml:space="preserve"> - </w:t>
            </w:r>
            <w:r w:rsidR="00014DFC" w:rsidRPr="007E386A">
              <w:rPr>
                <w:sz w:val="18"/>
                <w:szCs w:val="18"/>
                <w:lang w:val="es-ES"/>
              </w:rPr>
              <w:t xml:space="preserve">Pagos (en </w:t>
            </w:r>
            <w:r w:rsidRPr="007E386A">
              <w:rPr>
                <w:sz w:val="18"/>
                <w:szCs w:val="18"/>
                <w:lang w:val="es-ES"/>
              </w:rPr>
              <w:t xml:space="preserve">dinero o cupones) como salario por </w:t>
            </w:r>
            <w:r w:rsidR="00014DFC" w:rsidRPr="007E386A">
              <w:rPr>
                <w:sz w:val="18"/>
                <w:szCs w:val="18"/>
                <w:lang w:val="es-ES"/>
              </w:rPr>
              <w:t xml:space="preserve">el trabajo en </w:t>
            </w:r>
            <w:r w:rsidR="007E386A" w:rsidRPr="007E386A">
              <w:rPr>
                <w:sz w:val="18"/>
                <w:szCs w:val="18"/>
                <w:lang w:val="es-ES"/>
              </w:rPr>
              <w:t>programas de obras públicas o para la comunidad</w:t>
            </w:r>
            <w:r w:rsidR="00014DFC" w:rsidRPr="007E386A">
              <w:rPr>
                <w:sz w:val="18"/>
                <w:szCs w:val="18"/>
                <w:lang w:val="es-ES"/>
              </w:rPr>
              <w:t>, que mejora</w:t>
            </w:r>
            <w:r w:rsidR="007E386A" w:rsidRPr="007E386A">
              <w:rPr>
                <w:sz w:val="18"/>
                <w:szCs w:val="18"/>
                <w:lang w:val="es-ES"/>
              </w:rPr>
              <w:t xml:space="preserve">n </w:t>
            </w:r>
            <w:r w:rsidR="00014DFC" w:rsidRPr="007E386A">
              <w:rPr>
                <w:sz w:val="18"/>
                <w:szCs w:val="18"/>
                <w:lang w:val="es-ES"/>
              </w:rPr>
              <w:t>o rehabilita</w:t>
            </w:r>
            <w:r w:rsidR="007E386A" w:rsidRPr="007E386A">
              <w:rPr>
                <w:sz w:val="18"/>
                <w:szCs w:val="18"/>
                <w:lang w:val="es-ES"/>
              </w:rPr>
              <w:t>n</w:t>
            </w:r>
            <w:r w:rsidR="00014DFC" w:rsidRPr="007E386A">
              <w:rPr>
                <w:sz w:val="18"/>
                <w:szCs w:val="18"/>
                <w:lang w:val="es-ES"/>
              </w:rPr>
              <w:t xml:space="preserve"> servicios o infraestructura de la comunidad.</w:t>
            </w:r>
          </w:p>
          <w:p w14:paraId="62742BEC" w14:textId="47F0F5ED" w:rsidR="00014DFC" w:rsidRPr="00014DFC" w:rsidRDefault="007E386A" w:rsidP="00014DFC">
            <w:pPr>
              <w:shd w:val="clear" w:color="auto" w:fill="D9D9D9" w:themeFill="background1" w:themeFillShade="D9"/>
              <w:spacing w:after="20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Cupones de efectivo</w:t>
            </w:r>
            <w:r w:rsidR="00014DFC" w:rsidRPr="00014DFC">
              <w:rPr>
                <w:b/>
                <w:sz w:val="18"/>
                <w:szCs w:val="18"/>
                <w:lang w:val="es-ES"/>
              </w:rPr>
              <w:t xml:space="preserve"> - </w:t>
            </w:r>
            <w:r w:rsidR="00014DFC" w:rsidRPr="007E386A">
              <w:rPr>
                <w:sz w:val="18"/>
                <w:szCs w:val="18"/>
                <w:lang w:val="es-ES"/>
              </w:rPr>
              <w:t xml:space="preserve">cada </w:t>
            </w:r>
            <w:r w:rsidR="00961477">
              <w:rPr>
                <w:sz w:val="18"/>
                <w:szCs w:val="18"/>
                <w:lang w:val="es-ES"/>
              </w:rPr>
              <w:t>cupón</w:t>
            </w:r>
            <w:r w:rsidR="00014DFC" w:rsidRPr="007E386A">
              <w:rPr>
                <w:sz w:val="18"/>
                <w:szCs w:val="18"/>
                <w:lang w:val="es-ES"/>
              </w:rPr>
              <w:t xml:space="preserve"> tiene un valor mone</w:t>
            </w:r>
            <w:r>
              <w:rPr>
                <w:sz w:val="18"/>
                <w:szCs w:val="18"/>
                <w:lang w:val="es-ES"/>
              </w:rPr>
              <w:t>tario específico y puede corresponder a un servicio y un producto o conjunto de productos por</w:t>
            </w:r>
            <w:r w:rsidR="00014DFC" w:rsidRPr="007E386A">
              <w:rPr>
                <w:sz w:val="18"/>
                <w:szCs w:val="18"/>
                <w:lang w:val="es-ES"/>
              </w:rPr>
              <w:t xml:space="preserve"> los que se puede intercambiar el </w:t>
            </w:r>
            <w:r w:rsidR="00961477">
              <w:rPr>
                <w:sz w:val="18"/>
                <w:szCs w:val="18"/>
                <w:lang w:val="es-ES"/>
              </w:rPr>
              <w:t>cupón</w:t>
            </w:r>
            <w:r w:rsidR="00014DFC" w:rsidRPr="007E386A">
              <w:rPr>
                <w:sz w:val="18"/>
                <w:szCs w:val="18"/>
                <w:lang w:val="es-ES"/>
              </w:rPr>
              <w:t xml:space="preserve">. Alternativamente, </w:t>
            </w:r>
            <w:r w:rsidRPr="007E386A">
              <w:rPr>
                <w:sz w:val="18"/>
                <w:szCs w:val="18"/>
                <w:lang w:val="es-ES"/>
              </w:rPr>
              <w:t xml:space="preserve">el beneficiario </w:t>
            </w:r>
            <w:r>
              <w:rPr>
                <w:sz w:val="18"/>
                <w:szCs w:val="18"/>
                <w:lang w:val="es-ES"/>
              </w:rPr>
              <w:t xml:space="preserve">lo </w:t>
            </w:r>
            <w:r w:rsidR="00014DFC" w:rsidRPr="007E386A">
              <w:rPr>
                <w:sz w:val="18"/>
                <w:szCs w:val="18"/>
                <w:lang w:val="es-ES"/>
              </w:rPr>
              <w:t>pue</w:t>
            </w:r>
            <w:r>
              <w:rPr>
                <w:sz w:val="18"/>
                <w:szCs w:val="18"/>
                <w:lang w:val="es-ES"/>
              </w:rPr>
              <w:t xml:space="preserve">de intercambiar libremente por </w:t>
            </w:r>
            <w:r w:rsidR="00014DFC" w:rsidRPr="007E386A">
              <w:rPr>
                <w:sz w:val="18"/>
                <w:szCs w:val="18"/>
                <w:lang w:val="es-ES"/>
              </w:rPr>
              <w:t>cualquier</w:t>
            </w:r>
            <w:r>
              <w:rPr>
                <w:sz w:val="18"/>
                <w:szCs w:val="18"/>
                <w:lang w:val="es-ES"/>
              </w:rPr>
              <w:t xml:space="preserve"> producto en las </w:t>
            </w:r>
            <w:r w:rsidR="00014DFC" w:rsidRPr="007E386A">
              <w:rPr>
                <w:sz w:val="18"/>
                <w:szCs w:val="18"/>
                <w:lang w:val="es-ES"/>
              </w:rPr>
              <w:t>tiendas que participan en el p</w:t>
            </w:r>
            <w:r>
              <w:rPr>
                <w:sz w:val="18"/>
                <w:szCs w:val="18"/>
                <w:lang w:val="es-ES"/>
              </w:rPr>
              <w:t>rograma</w:t>
            </w:r>
            <w:r w:rsidR="00014DFC" w:rsidRPr="007E386A">
              <w:rPr>
                <w:sz w:val="18"/>
                <w:szCs w:val="18"/>
                <w:lang w:val="es-ES"/>
              </w:rPr>
              <w:t xml:space="preserve">. </w:t>
            </w:r>
            <w:r w:rsidR="004D34AD">
              <w:rPr>
                <w:sz w:val="18"/>
                <w:szCs w:val="18"/>
                <w:lang w:val="es-ES"/>
              </w:rPr>
              <w:t>Se considera que e</w:t>
            </w:r>
            <w:r w:rsidR="00014DFC" w:rsidRPr="007E386A">
              <w:rPr>
                <w:sz w:val="18"/>
                <w:szCs w:val="18"/>
                <w:lang w:val="es-ES"/>
              </w:rPr>
              <w:t xml:space="preserve">l </w:t>
            </w:r>
            <w:r w:rsidR="00961477">
              <w:rPr>
                <w:sz w:val="18"/>
                <w:szCs w:val="18"/>
                <w:lang w:val="es-ES"/>
              </w:rPr>
              <w:t>cupón</w:t>
            </w:r>
            <w:r w:rsidR="00014DFC" w:rsidRPr="007E386A">
              <w:rPr>
                <w:sz w:val="18"/>
                <w:szCs w:val="18"/>
                <w:lang w:val="es-ES"/>
              </w:rPr>
              <w:t xml:space="preserve"> tiene el mismo valor </w:t>
            </w:r>
            <w:r w:rsidR="004D34AD">
              <w:rPr>
                <w:sz w:val="18"/>
                <w:szCs w:val="18"/>
                <w:lang w:val="es-ES"/>
              </w:rPr>
              <w:t>que el</w:t>
            </w:r>
            <w:r w:rsidR="00014DFC" w:rsidRPr="007E386A">
              <w:rPr>
                <w:sz w:val="18"/>
                <w:szCs w:val="18"/>
                <w:lang w:val="es-ES"/>
              </w:rPr>
              <w:t xml:space="preserve"> dinero en efectivo. Las tiendas </w:t>
            </w:r>
            <w:r w:rsidR="004D34AD">
              <w:rPr>
                <w:sz w:val="18"/>
                <w:szCs w:val="18"/>
                <w:lang w:val="es-ES"/>
              </w:rPr>
              <w:t xml:space="preserve">o </w:t>
            </w:r>
            <w:r w:rsidR="004D34AD" w:rsidRPr="007E386A">
              <w:rPr>
                <w:sz w:val="18"/>
                <w:szCs w:val="18"/>
                <w:lang w:val="es-ES"/>
              </w:rPr>
              <w:t>comerciantes</w:t>
            </w:r>
            <w:r w:rsidR="004D34AD">
              <w:rPr>
                <w:sz w:val="18"/>
                <w:szCs w:val="18"/>
                <w:lang w:val="es-ES"/>
              </w:rPr>
              <w:t xml:space="preserve"> que </w:t>
            </w:r>
            <w:r w:rsidR="00014DFC" w:rsidRPr="007E386A">
              <w:rPr>
                <w:sz w:val="18"/>
                <w:szCs w:val="18"/>
                <w:lang w:val="es-ES"/>
              </w:rPr>
              <w:t>participan</w:t>
            </w:r>
            <w:r w:rsidR="004D34AD">
              <w:rPr>
                <w:sz w:val="18"/>
                <w:szCs w:val="18"/>
                <w:lang w:val="es-ES"/>
              </w:rPr>
              <w:t xml:space="preserve"> entregan</w:t>
            </w:r>
            <w:r w:rsidR="00014DFC" w:rsidRPr="007E386A">
              <w:rPr>
                <w:sz w:val="18"/>
                <w:szCs w:val="18"/>
                <w:lang w:val="es-ES"/>
              </w:rPr>
              <w:t xml:space="preserve"> los </w:t>
            </w:r>
            <w:r w:rsidR="00961477">
              <w:rPr>
                <w:sz w:val="18"/>
                <w:szCs w:val="18"/>
                <w:lang w:val="es-ES"/>
              </w:rPr>
              <w:t>cupones</w:t>
            </w:r>
            <w:r w:rsidR="00014DFC" w:rsidRPr="007E386A">
              <w:rPr>
                <w:sz w:val="18"/>
                <w:szCs w:val="18"/>
                <w:lang w:val="es-ES"/>
              </w:rPr>
              <w:t xml:space="preserve"> a</w:t>
            </w:r>
            <w:r w:rsidR="00015712">
              <w:rPr>
                <w:sz w:val="18"/>
                <w:szCs w:val="18"/>
                <w:lang w:val="es-ES"/>
              </w:rPr>
              <w:t xml:space="preserve"> </w:t>
            </w:r>
            <w:r w:rsidR="00014DFC" w:rsidRPr="007E386A">
              <w:rPr>
                <w:sz w:val="18"/>
                <w:szCs w:val="18"/>
                <w:lang w:val="es-ES"/>
              </w:rPr>
              <w:t>l</w:t>
            </w:r>
            <w:r w:rsidR="00015712">
              <w:rPr>
                <w:sz w:val="18"/>
                <w:szCs w:val="18"/>
                <w:lang w:val="es-ES"/>
              </w:rPr>
              <w:t xml:space="preserve">a organización </w:t>
            </w:r>
            <w:r w:rsidR="00014DFC" w:rsidRPr="007E386A">
              <w:rPr>
                <w:sz w:val="18"/>
                <w:szCs w:val="18"/>
                <w:lang w:val="es-ES"/>
              </w:rPr>
              <w:t>a cambio de una remuneración</w:t>
            </w:r>
            <w:r w:rsidR="00014DFC" w:rsidRPr="00014DFC">
              <w:rPr>
                <w:b/>
                <w:sz w:val="18"/>
                <w:szCs w:val="18"/>
                <w:lang w:val="es-ES"/>
              </w:rPr>
              <w:t>.</w:t>
            </w:r>
          </w:p>
          <w:p w14:paraId="1DC5FA64" w14:textId="5AC31216" w:rsidR="00014DFC" w:rsidRPr="00014DFC" w:rsidRDefault="004D34AD" w:rsidP="00014DFC">
            <w:pPr>
              <w:shd w:val="clear" w:color="auto" w:fill="D9D9D9" w:themeFill="background1" w:themeFillShade="D9"/>
              <w:spacing w:after="20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Cupones de productos -</w:t>
            </w:r>
            <w:r w:rsidR="00014DFC" w:rsidRPr="00014DFC">
              <w:rPr>
                <w:b/>
                <w:sz w:val="18"/>
                <w:szCs w:val="18"/>
                <w:lang w:val="es-ES"/>
              </w:rPr>
              <w:t xml:space="preserve">- </w:t>
            </w:r>
            <w:r w:rsidR="00014DFC" w:rsidRPr="00961477">
              <w:rPr>
                <w:sz w:val="18"/>
                <w:szCs w:val="18"/>
                <w:lang w:val="es-ES"/>
              </w:rPr>
              <w:t xml:space="preserve">se cambia por una cantidad fija de bienes o servicios en las tiendas o mercados </w:t>
            </w:r>
            <w:r w:rsidR="00961477" w:rsidRPr="00961477">
              <w:rPr>
                <w:sz w:val="18"/>
                <w:szCs w:val="18"/>
                <w:lang w:val="es-ES"/>
              </w:rPr>
              <w:t xml:space="preserve">que </w:t>
            </w:r>
            <w:r w:rsidR="00014DFC" w:rsidRPr="00961477">
              <w:rPr>
                <w:sz w:val="18"/>
                <w:szCs w:val="18"/>
                <w:lang w:val="es-ES"/>
              </w:rPr>
              <w:t xml:space="preserve">participan en el </w:t>
            </w:r>
            <w:r w:rsidR="00961477" w:rsidRPr="00961477">
              <w:rPr>
                <w:sz w:val="18"/>
                <w:szCs w:val="18"/>
                <w:lang w:val="es-ES"/>
              </w:rPr>
              <w:t>programa</w:t>
            </w:r>
            <w:r w:rsidR="00014DFC" w:rsidRPr="00961477">
              <w:rPr>
                <w:sz w:val="18"/>
                <w:szCs w:val="18"/>
                <w:lang w:val="es-ES"/>
              </w:rPr>
              <w:t xml:space="preserve">. </w:t>
            </w:r>
            <w:r w:rsidR="00961477" w:rsidRPr="00961477">
              <w:rPr>
                <w:sz w:val="18"/>
                <w:szCs w:val="18"/>
                <w:lang w:val="es-ES"/>
              </w:rPr>
              <w:t>Los vendedores devuelven los cupon</w:t>
            </w:r>
            <w:r w:rsidR="00014DFC" w:rsidRPr="00961477">
              <w:rPr>
                <w:sz w:val="18"/>
                <w:szCs w:val="18"/>
                <w:lang w:val="es-ES"/>
              </w:rPr>
              <w:t xml:space="preserve">es al CICR a cambio de una remuneración. Es muy similar a la ayuda en especie </w:t>
            </w:r>
            <w:r w:rsidR="00961477" w:rsidRPr="00961477">
              <w:rPr>
                <w:sz w:val="18"/>
                <w:szCs w:val="18"/>
                <w:lang w:val="es-ES"/>
              </w:rPr>
              <w:t xml:space="preserve">ya que la solo puede optar por unos determinados </w:t>
            </w:r>
            <w:r w:rsidR="00014DFC" w:rsidRPr="00961477">
              <w:rPr>
                <w:sz w:val="18"/>
                <w:szCs w:val="18"/>
                <w:lang w:val="es-ES"/>
              </w:rPr>
              <w:t xml:space="preserve">bienes o servicios. </w:t>
            </w:r>
            <w:r w:rsidR="00961477" w:rsidRPr="00961477">
              <w:rPr>
                <w:sz w:val="18"/>
                <w:szCs w:val="18"/>
                <w:lang w:val="es-ES"/>
              </w:rPr>
              <w:t xml:space="preserve">Los cupones de </w:t>
            </w:r>
            <w:r w:rsidR="00014DFC" w:rsidRPr="00961477">
              <w:rPr>
                <w:sz w:val="18"/>
                <w:szCs w:val="18"/>
                <w:lang w:val="es-ES"/>
              </w:rPr>
              <w:t xml:space="preserve">productos permiten a la agencia imponer </w:t>
            </w:r>
            <w:r w:rsidR="00961477" w:rsidRPr="00961477">
              <w:rPr>
                <w:sz w:val="18"/>
                <w:szCs w:val="18"/>
                <w:lang w:val="es-ES"/>
              </w:rPr>
              <w:t>productos de un determinado tipo y calidad a</w:t>
            </w:r>
            <w:r w:rsidR="00014DFC" w:rsidRPr="00961477">
              <w:rPr>
                <w:sz w:val="18"/>
                <w:szCs w:val="18"/>
                <w:lang w:val="es-ES"/>
              </w:rPr>
              <w:t xml:space="preserve"> los beneficiarios.</w:t>
            </w:r>
          </w:p>
          <w:p w14:paraId="4F239941" w14:textId="3355DCC5" w:rsidR="00014DFC" w:rsidRPr="008C1A77" w:rsidRDefault="00961477" w:rsidP="00014DFC">
            <w:pPr>
              <w:shd w:val="clear" w:color="auto" w:fill="D9D9D9" w:themeFill="background1" w:themeFillShade="D9"/>
              <w:spacing w:after="20"/>
              <w:rPr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C</w:t>
            </w:r>
            <w:r w:rsidRPr="00014DFC">
              <w:rPr>
                <w:b/>
                <w:sz w:val="18"/>
                <w:szCs w:val="18"/>
                <w:lang w:val="es-ES"/>
              </w:rPr>
              <w:t>ombinación</w:t>
            </w:r>
            <w:r>
              <w:rPr>
                <w:b/>
                <w:sz w:val="18"/>
                <w:szCs w:val="18"/>
                <w:lang w:val="es-ES"/>
              </w:rPr>
              <w:t xml:space="preserve"> de cupones </w:t>
            </w:r>
            <w:r w:rsidR="008C1A77">
              <w:rPr>
                <w:b/>
                <w:sz w:val="18"/>
                <w:szCs w:val="18"/>
                <w:lang w:val="es-ES"/>
              </w:rPr>
              <w:t xml:space="preserve">de </w:t>
            </w:r>
            <w:r w:rsidR="008C1A77" w:rsidRPr="00014DFC">
              <w:rPr>
                <w:b/>
                <w:sz w:val="18"/>
                <w:szCs w:val="18"/>
                <w:lang w:val="es-ES"/>
              </w:rPr>
              <w:t>efectivo</w:t>
            </w:r>
            <w:r w:rsidR="00014DFC" w:rsidRPr="00014DFC">
              <w:rPr>
                <w:b/>
                <w:sz w:val="18"/>
                <w:szCs w:val="18"/>
                <w:lang w:val="es-ES"/>
              </w:rPr>
              <w:t xml:space="preserve"> y </w:t>
            </w:r>
            <w:r>
              <w:rPr>
                <w:b/>
                <w:sz w:val="18"/>
                <w:szCs w:val="18"/>
                <w:lang w:val="es-ES"/>
              </w:rPr>
              <w:t>cupones de productos</w:t>
            </w:r>
            <w:r w:rsidR="00014DFC" w:rsidRPr="00014DFC">
              <w:rPr>
                <w:b/>
                <w:sz w:val="18"/>
                <w:szCs w:val="18"/>
                <w:lang w:val="es-ES"/>
              </w:rPr>
              <w:t xml:space="preserve"> - </w:t>
            </w:r>
            <w:r w:rsidR="00014DFC" w:rsidRPr="008C1A77">
              <w:rPr>
                <w:sz w:val="18"/>
                <w:szCs w:val="18"/>
                <w:lang w:val="es-ES"/>
              </w:rPr>
              <w:t xml:space="preserve">combinación de los anteriores. Los </w:t>
            </w:r>
            <w:r w:rsidRPr="008C1A77">
              <w:rPr>
                <w:sz w:val="18"/>
                <w:szCs w:val="18"/>
                <w:lang w:val="es-ES"/>
              </w:rPr>
              <w:t>cupones</w:t>
            </w:r>
            <w:r w:rsidR="00014DFC" w:rsidRPr="008C1A77">
              <w:rPr>
                <w:sz w:val="18"/>
                <w:szCs w:val="18"/>
                <w:lang w:val="es-ES"/>
              </w:rPr>
              <w:t xml:space="preserve"> de productos</w:t>
            </w:r>
            <w:r w:rsidRPr="008C1A77">
              <w:rPr>
                <w:sz w:val="18"/>
                <w:szCs w:val="18"/>
                <w:lang w:val="es-ES"/>
              </w:rPr>
              <w:t xml:space="preserve"> </w:t>
            </w:r>
            <w:r w:rsidR="00014DFC" w:rsidRPr="008C1A77">
              <w:rPr>
                <w:sz w:val="18"/>
                <w:szCs w:val="18"/>
                <w:lang w:val="es-ES"/>
              </w:rPr>
              <w:t xml:space="preserve">obligan a los beneficiarios a "comprar" un conjunto de unidades, mientras que el </w:t>
            </w:r>
            <w:r w:rsidRPr="008C1A77">
              <w:rPr>
                <w:sz w:val="18"/>
                <w:szCs w:val="18"/>
                <w:lang w:val="es-ES"/>
              </w:rPr>
              <w:t>cupón</w:t>
            </w:r>
            <w:r w:rsidR="00014DFC" w:rsidRPr="008C1A77">
              <w:rPr>
                <w:sz w:val="18"/>
                <w:szCs w:val="18"/>
                <w:lang w:val="es-ES"/>
              </w:rPr>
              <w:t xml:space="preserve"> </w:t>
            </w:r>
            <w:r w:rsidR="008C1A77" w:rsidRPr="008C1A77">
              <w:rPr>
                <w:sz w:val="18"/>
                <w:szCs w:val="18"/>
                <w:lang w:val="es-ES"/>
              </w:rPr>
              <w:t>de</w:t>
            </w:r>
            <w:r w:rsidR="00014DFC" w:rsidRPr="008C1A77">
              <w:rPr>
                <w:sz w:val="18"/>
                <w:szCs w:val="18"/>
                <w:lang w:val="es-ES"/>
              </w:rPr>
              <w:t xml:space="preserve"> efectivo les permite complementar el </w:t>
            </w:r>
            <w:r w:rsidRPr="008C1A77">
              <w:rPr>
                <w:sz w:val="18"/>
                <w:szCs w:val="18"/>
                <w:lang w:val="es-ES"/>
              </w:rPr>
              <w:t>cupón</w:t>
            </w:r>
            <w:r w:rsidR="00014DFC" w:rsidRPr="008C1A77">
              <w:rPr>
                <w:sz w:val="18"/>
                <w:szCs w:val="18"/>
                <w:lang w:val="es-ES"/>
              </w:rPr>
              <w:t xml:space="preserve"> de los productos con </w:t>
            </w:r>
            <w:r w:rsidR="008C1A77" w:rsidRPr="008C1A77">
              <w:rPr>
                <w:sz w:val="18"/>
                <w:szCs w:val="18"/>
                <w:lang w:val="es-ES"/>
              </w:rPr>
              <w:t>otros que puede</w:t>
            </w:r>
            <w:r w:rsidR="00014DFC" w:rsidRPr="008C1A77">
              <w:rPr>
                <w:sz w:val="18"/>
                <w:szCs w:val="18"/>
                <w:lang w:val="es-ES"/>
              </w:rPr>
              <w:t xml:space="preserve">n elegir libremente (hasta la cantidad especificada en el </w:t>
            </w:r>
            <w:r w:rsidRPr="008C1A77">
              <w:rPr>
                <w:sz w:val="18"/>
                <w:szCs w:val="18"/>
                <w:lang w:val="es-ES"/>
              </w:rPr>
              <w:t>cupón</w:t>
            </w:r>
            <w:r w:rsidR="00014DFC" w:rsidRPr="008C1A77">
              <w:rPr>
                <w:sz w:val="18"/>
                <w:szCs w:val="18"/>
                <w:lang w:val="es-ES"/>
              </w:rPr>
              <w:t>).</w:t>
            </w:r>
          </w:p>
          <w:p w14:paraId="76486BC5" w14:textId="7CC2C163" w:rsidR="00BC21AB" w:rsidRPr="008C1A77" w:rsidRDefault="00014DFC" w:rsidP="00014DFC">
            <w:pPr>
              <w:shd w:val="clear" w:color="auto" w:fill="D9D9D9" w:themeFill="background1" w:themeFillShade="D9"/>
              <w:spacing w:after="20"/>
              <w:rPr>
                <w:sz w:val="18"/>
                <w:szCs w:val="18"/>
                <w:lang w:val="es-ES"/>
              </w:rPr>
            </w:pPr>
            <w:r w:rsidRPr="00014DFC">
              <w:rPr>
                <w:b/>
                <w:sz w:val="18"/>
                <w:szCs w:val="18"/>
                <w:lang w:val="es-ES"/>
              </w:rPr>
              <w:t xml:space="preserve">Ferias </w:t>
            </w:r>
            <w:r w:rsidRPr="008C1A77">
              <w:rPr>
                <w:sz w:val="18"/>
                <w:szCs w:val="18"/>
                <w:lang w:val="es-ES"/>
              </w:rPr>
              <w:t xml:space="preserve">- Los beneficiarios cuentan con los bienes que necesitan a través de la organización de una feria en la que se intercambian los </w:t>
            </w:r>
            <w:r w:rsidR="00961477" w:rsidRPr="008C1A77">
              <w:rPr>
                <w:sz w:val="18"/>
                <w:szCs w:val="18"/>
                <w:lang w:val="es-ES"/>
              </w:rPr>
              <w:t>cupones</w:t>
            </w:r>
            <w:r w:rsidR="008C1A77" w:rsidRPr="008C1A77">
              <w:rPr>
                <w:sz w:val="18"/>
                <w:szCs w:val="18"/>
                <w:lang w:val="es-ES"/>
              </w:rPr>
              <w:t xml:space="preserve"> por</w:t>
            </w:r>
            <w:r w:rsidRPr="008C1A77">
              <w:rPr>
                <w:sz w:val="18"/>
                <w:szCs w:val="18"/>
                <w:lang w:val="es-ES"/>
              </w:rPr>
              <w:t xml:space="preserve"> las mercancías. </w:t>
            </w:r>
            <w:r w:rsidR="008C1A77" w:rsidRPr="008C1A77">
              <w:rPr>
                <w:sz w:val="18"/>
                <w:szCs w:val="18"/>
                <w:lang w:val="es-ES"/>
              </w:rPr>
              <w:t>Las f</w:t>
            </w:r>
            <w:r w:rsidRPr="008C1A77">
              <w:rPr>
                <w:sz w:val="18"/>
                <w:szCs w:val="18"/>
                <w:lang w:val="es-ES"/>
              </w:rPr>
              <w:t>erias menudo se utilizan para que los beneficiarios puedan adquirir bienes agrícolas como semillas y ga</w:t>
            </w:r>
            <w:r w:rsidR="008C1A77" w:rsidRPr="008C1A77">
              <w:rPr>
                <w:sz w:val="18"/>
                <w:szCs w:val="18"/>
                <w:lang w:val="es-ES"/>
              </w:rPr>
              <w:t>nado, pero pueden ser organizadas también para</w:t>
            </w:r>
            <w:r w:rsidRPr="008C1A77">
              <w:rPr>
                <w:sz w:val="18"/>
                <w:szCs w:val="18"/>
                <w:lang w:val="es-ES"/>
              </w:rPr>
              <w:t xml:space="preserve"> otros </w:t>
            </w:r>
            <w:r w:rsidR="008C1A77" w:rsidRPr="008C1A77">
              <w:rPr>
                <w:sz w:val="18"/>
                <w:szCs w:val="18"/>
                <w:lang w:val="es-ES"/>
              </w:rPr>
              <w:t xml:space="preserve">productos </w:t>
            </w:r>
            <w:r w:rsidRPr="008C1A77">
              <w:rPr>
                <w:sz w:val="18"/>
                <w:szCs w:val="18"/>
                <w:lang w:val="es-ES"/>
              </w:rPr>
              <w:t xml:space="preserve">como material de construcción de </w:t>
            </w:r>
            <w:r w:rsidR="008C1A77" w:rsidRPr="008C1A77">
              <w:rPr>
                <w:sz w:val="18"/>
                <w:szCs w:val="18"/>
                <w:lang w:val="es-ES"/>
              </w:rPr>
              <w:t>alojamiento u</w:t>
            </w:r>
            <w:r w:rsidRPr="008C1A77">
              <w:rPr>
                <w:sz w:val="18"/>
                <w:szCs w:val="18"/>
                <w:lang w:val="es-ES"/>
              </w:rPr>
              <w:t xml:space="preserve"> otros artículos de primera necesidad. Dan a los beneficiarios la oportunidad de elegir los productos que les gustan al tiempo que permite al CICR a ejercer algún control sobre la calidad de los bienes intercambiados en la feria.</w:t>
            </w:r>
          </w:p>
          <w:p w14:paraId="6E08EBD2" w14:textId="6EA7B2D3" w:rsidR="00B51F62" w:rsidRPr="00E067AA" w:rsidRDefault="00B51F62" w:rsidP="009317C3">
            <w:pPr>
              <w:shd w:val="clear" w:color="auto" w:fill="D9D9D9" w:themeFill="background1" w:themeFillShade="D9"/>
              <w:spacing w:after="0"/>
              <w:jc w:val="both"/>
              <w:rPr>
                <w:rFonts w:eastAsia="Calibri"/>
                <w:lang w:val="es-ES"/>
              </w:rPr>
            </w:pPr>
          </w:p>
        </w:tc>
      </w:tr>
    </w:tbl>
    <w:p w14:paraId="54DF8A88" w14:textId="4B22C3BC" w:rsidR="00996396" w:rsidRPr="008C1A77" w:rsidRDefault="008C1A77" w:rsidP="00B51F62">
      <w:pPr>
        <w:pStyle w:val="Heading3"/>
        <w:rPr>
          <w:lang w:val="es-ES"/>
        </w:rPr>
      </w:pPr>
      <w:r w:rsidRPr="008C1A77">
        <w:rPr>
          <w:lang w:val="es-ES"/>
        </w:rPr>
        <w:t xml:space="preserve">Experiencia en </w:t>
      </w:r>
      <w:r w:rsidR="00297957" w:rsidRPr="008C1A77">
        <w:rPr>
          <w:lang w:val="es-ES"/>
        </w:rPr>
        <w:t>PTE</w:t>
      </w:r>
      <w:r w:rsidR="00996396" w:rsidRPr="008C1A77">
        <w:rPr>
          <w:lang w:val="es-ES"/>
        </w:rPr>
        <w:t xml:space="preserve"> </w:t>
      </w:r>
      <w:r w:rsidRPr="008C1A77">
        <w:rPr>
          <w:lang w:val="es-ES"/>
        </w:rPr>
        <w:t>hasta la fecha</w:t>
      </w:r>
      <w:r w:rsidR="00996396" w:rsidRPr="008C1A77">
        <w:rPr>
          <w:lang w:val="es-ES"/>
        </w:rPr>
        <w:t>:</w:t>
      </w:r>
    </w:p>
    <w:p w14:paraId="31BA62A2" w14:textId="033293DF" w:rsidR="008C1A77" w:rsidRPr="008C1A77" w:rsidRDefault="008C1A77" w:rsidP="008C1A77">
      <w:pPr>
        <w:pStyle w:val="Heading3"/>
        <w:rPr>
          <w:b w:val="0"/>
          <w:i/>
          <w:sz w:val="20"/>
          <w:szCs w:val="21"/>
          <w:lang w:val="es-ES"/>
        </w:rPr>
      </w:pPr>
      <w:r w:rsidRPr="008C1A77">
        <w:rPr>
          <w:b w:val="0"/>
          <w:i/>
          <w:sz w:val="20"/>
          <w:szCs w:val="21"/>
          <w:lang w:val="es-ES"/>
        </w:rPr>
        <w:t>Proporcionar una visión genérica de la experiencia de la Socie</w:t>
      </w:r>
      <w:r w:rsidR="00811406">
        <w:rPr>
          <w:b w:val="0"/>
          <w:i/>
          <w:sz w:val="20"/>
          <w:szCs w:val="21"/>
          <w:lang w:val="es-ES"/>
        </w:rPr>
        <w:t>dad Nacional en PTE en este país y/</w:t>
      </w:r>
      <w:r w:rsidRPr="008C1A77">
        <w:rPr>
          <w:b w:val="0"/>
          <w:i/>
          <w:sz w:val="20"/>
          <w:szCs w:val="21"/>
          <w:lang w:val="es-ES"/>
        </w:rPr>
        <w:t>o el tipo de co</w:t>
      </w:r>
      <w:r w:rsidR="00811406">
        <w:rPr>
          <w:b w:val="0"/>
          <w:i/>
          <w:sz w:val="20"/>
          <w:szCs w:val="21"/>
          <w:lang w:val="es-ES"/>
        </w:rPr>
        <w:t>ntexto. Proporcione detalles de:</w:t>
      </w:r>
    </w:p>
    <w:p w14:paraId="5666B106" w14:textId="0CBC8870" w:rsidR="008C1A77" w:rsidRPr="00E067AA" w:rsidRDefault="00811406" w:rsidP="008C1A77">
      <w:pPr>
        <w:pStyle w:val="Heading3"/>
        <w:rPr>
          <w:b w:val="0"/>
          <w:i/>
          <w:sz w:val="20"/>
          <w:szCs w:val="21"/>
          <w:lang w:val="es-ES"/>
        </w:rPr>
      </w:pPr>
      <w:r w:rsidRPr="00E067AA">
        <w:rPr>
          <w:b w:val="0"/>
          <w:i/>
          <w:sz w:val="20"/>
          <w:szCs w:val="21"/>
          <w:lang w:val="es-ES"/>
        </w:rPr>
        <w:t>l</w:t>
      </w:r>
      <w:r w:rsidR="008C1A77" w:rsidRPr="00E067AA">
        <w:rPr>
          <w:b w:val="0"/>
          <w:i/>
          <w:sz w:val="20"/>
          <w:szCs w:val="21"/>
          <w:lang w:val="es-ES"/>
        </w:rPr>
        <w:t>as fechas</w:t>
      </w:r>
    </w:p>
    <w:p w14:paraId="3CA21AA8" w14:textId="77777777" w:rsidR="008C1A77" w:rsidRPr="00E067AA" w:rsidRDefault="008C1A77" w:rsidP="008C1A77">
      <w:pPr>
        <w:pStyle w:val="Heading3"/>
        <w:rPr>
          <w:b w:val="0"/>
          <w:i/>
          <w:sz w:val="20"/>
          <w:szCs w:val="21"/>
          <w:lang w:val="es-ES"/>
        </w:rPr>
      </w:pPr>
      <w:r w:rsidRPr="00E067AA">
        <w:rPr>
          <w:b w:val="0"/>
          <w:i/>
          <w:sz w:val="20"/>
          <w:szCs w:val="21"/>
          <w:lang w:val="es-ES"/>
        </w:rPr>
        <w:t>la modalidad</w:t>
      </w:r>
    </w:p>
    <w:p w14:paraId="31E572F4" w14:textId="77777777" w:rsidR="008C1A77" w:rsidRPr="00E067AA" w:rsidRDefault="008C1A77" w:rsidP="008C1A77">
      <w:pPr>
        <w:pStyle w:val="Heading3"/>
        <w:rPr>
          <w:b w:val="0"/>
          <w:i/>
          <w:sz w:val="20"/>
          <w:szCs w:val="21"/>
          <w:lang w:val="es-ES"/>
        </w:rPr>
      </w:pPr>
      <w:r w:rsidRPr="00E067AA">
        <w:rPr>
          <w:b w:val="0"/>
          <w:i/>
          <w:sz w:val="20"/>
          <w:szCs w:val="21"/>
          <w:lang w:val="es-ES"/>
        </w:rPr>
        <w:t>el mecanismo</w:t>
      </w:r>
    </w:p>
    <w:p w14:paraId="4A77BEE6" w14:textId="3860CCC9" w:rsidR="008C1A77" w:rsidRPr="00811406" w:rsidRDefault="008C1A77" w:rsidP="008C1A77">
      <w:pPr>
        <w:pStyle w:val="Heading3"/>
        <w:rPr>
          <w:b w:val="0"/>
          <w:i/>
          <w:sz w:val="20"/>
          <w:szCs w:val="21"/>
          <w:lang w:val="es-ES"/>
        </w:rPr>
      </w:pPr>
      <w:r w:rsidRPr="00811406">
        <w:rPr>
          <w:b w:val="0"/>
          <w:i/>
          <w:sz w:val="20"/>
          <w:szCs w:val="21"/>
          <w:lang w:val="es-ES"/>
        </w:rPr>
        <w:t xml:space="preserve">el número de beneficiarios </w:t>
      </w:r>
      <w:r w:rsidR="00811406" w:rsidRPr="00811406">
        <w:rPr>
          <w:b w:val="0"/>
          <w:i/>
          <w:sz w:val="20"/>
          <w:szCs w:val="21"/>
          <w:lang w:val="es-ES"/>
        </w:rPr>
        <w:t>que se quiere alcanzar</w:t>
      </w:r>
    </w:p>
    <w:p w14:paraId="68E49CF2" w14:textId="77777777" w:rsidR="00811406" w:rsidRPr="00E067AA" w:rsidRDefault="008C1A77" w:rsidP="008C1A77">
      <w:pPr>
        <w:pStyle w:val="Heading3"/>
        <w:rPr>
          <w:b w:val="0"/>
          <w:i/>
          <w:sz w:val="20"/>
          <w:szCs w:val="21"/>
          <w:lang w:val="es-ES"/>
        </w:rPr>
      </w:pPr>
      <w:r w:rsidRPr="00E067AA">
        <w:rPr>
          <w:b w:val="0"/>
          <w:i/>
          <w:sz w:val="20"/>
          <w:szCs w:val="21"/>
          <w:lang w:val="es-ES"/>
        </w:rPr>
        <w:t>lecciones aprendidas que influyen en la programación futura</w:t>
      </w:r>
    </w:p>
    <w:p w14:paraId="1D627B70" w14:textId="77777777" w:rsidR="00811406" w:rsidRPr="00E067AA" w:rsidRDefault="00811406" w:rsidP="00811406">
      <w:pPr>
        <w:rPr>
          <w:b/>
          <w:lang w:val="es-ES"/>
        </w:rPr>
      </w:pPr>
    </w:p>
    <w:p w14:paraId="66263A72" w14:textId="77777777" w:rsidR="00811406" w:rsidRPr="00E067AA" w:rsidRDefault="00811406" w:rsidP="00811406">
      <w:pPr>
        <w:rPr>
          <w:b/>
          <w:lang w:val="es-ES"/>
        </w:rPr>
      </w:pPr>
    </w:p>
    <w:p w14:paraId="639D218C" w14:textId="77777777" w:rsidR="00811406" w:rsidRPr="00E067AA" w:rsidRDefault="00811406" w:rsidP="00811406">
      <w:pPr>
        <w:pStyle w:val="Heading3"/>
        <w:rPr>
          <w:lang w:val="es-ES"/>
        </w:rPr>
      </w:pPr>
      <w:r w:rsidRPr="00E067AA">
        <w:rPr>
          <w:lang w:val="es-ES"/>
        </w:rPr>
        <w:lastRenderedPageBreak/>
        <w:t>III. Roles y responsabilidades de acuerdo con la modalidad PTE</w:t>
      </w:r>
    </w:p>
    <w:p w14:paraId="1E1CD48C" w14:textId="7A1F2D5F" w:rsidR="00811406" w:rsidRPr="00E067AA" w:rsidRDefault="00811406" w:rsidP="00811406">
      <w:pPr>
        <w:rPr>
          <w:b/>
          <w:lang w:val="es-ES"/>
        </w:rPr>
      </w:pPr>
      <w:r w:rsidRPr="00E067AA">
        <w:rPr>
          <w:b/>
          <w:lang w:val="es-ES"/>
        </w:rPr>
        <w:t>Roles y responsabilidades (d</w:t>
      </w:r>
      <w:r w:rsidR="00015712">
        <w:rPr>
          <w:b/>
          <w:lang w:val="es-ES"/>
        </w:rPr>
        <w:t>epartamentos, unidades, oficina central y seccionales)</w:t>
      </w:r>
      <w:r w:rsidRPr="00E067AA">
        <w:rPr>
          <w:b/>
          <w:lang w:val="es-ES"/>
        </w:rPr>
        <w:t>:</w:t>
      </w:r>
    </w:p>
    <w:p w14:paraId="5312CCC9" w14:textId="1F684000" w:rsidR="00811406" w:rsidRPr="00811406" w:rsidRDefault="00811406" w:rsidP="00811406">
      <w:pPr>
        <w:rPr>
          <w:b/>
          <w:i/>
          <w:lang w:val="es-ES"/>
        </w:rPr>
      </w:pPr>
      <w:r w:rsidRPr="00811406">
        <w:rPr>
          <w:b/>
          <w:i/>
          <w:lang w:val="es-ES"/>
        </w:rPr>
        <w:t>Enumerar los principales roles que los diferentes departamentos tendrán en la implementaci</w:t>
      </w:r>
      <w:r>
        <w:rPr>
          <w:b/>
          <w:i/>
          <w:lang w:val="es-ES"/>
        </w:rPr>
        <w:t xml:space="preserve">ón </w:t>
      </w:r>
      <w:r w:rsidRPr="00811406">
        <w:rPr>
          <w:b/>
          <w:i/>
          <w:lang w:val="es-ES"/>
        </w:rPr>
        <w:t>de PTE en general.</w:t>
      </w:r>
    </w:p>
    <w:p w14:paraId="13471144" w14:textId="176C2353" w:rsidR="00811406" w:rsidRPr="00811406" w:rsidRDefault="00811406" w:rsidP="00811406">
      <w:pPr>
        <w:rPr>
          <w:b/>
          <w:i/>
          <w:lang w:val="es-ES"/>
        </w:rPr>
      </w:pPr>
      <w:r w:rsidRPr="00811406">
        <w:rPr>
          <w:b/>
          <w:i/>
          <w:lang w:val="es-ES"/>
        </w:rPr>
        <w:t>Agregar filas si se identifica a actores adicionales.</w:t>
      </w:r>
    </w:p>
    <w:p w14:paraId="286E13CE" w14:textId="08463063" w:rsidR="00811406" w:rsidRPr="00811406" w:rsidRDefault="00811406" w:rsidP="00811406">
      <w:pPr>
        <w:rPr>
          <w:b/>
          <w:i/>
          <w:lang w:val="es-ES"/>
        </w:rPr>
      </w:pPr>
      <w:r>
        <w:rPr>
          <w:b/>
          <w:i/>
          <w:lang w:val="es-ES"/>
        </w:rPr>
        <w:t>A</w:t>
      </w:r>
      <w:r w:rsidRPr="00811406">
        <w:rPr>
          <w:b/>
          <w:i/>
          <w:lang w:val="es-ES"/>
        </w:rPr>
        <w:t xml:space="preserve">l final del documento se proporciona </w:t>
      </w:r>
      <w:r>
        <w:rPr>
          <w:b/>
          <w:i/>
          <w:lang w:val="es-ES"/>
        </w:rPr>
        <w:t>u</w:t>
      </w:r>
      <w:r w:rsidRPr="00811406">
        <w:rPr>
          <w:b/>
          <w:i/>
          <w:lang w:val="es-ES"/>
        </w:rPr>
        <w:t xml:space="preserve">n ejemplo de los procedimientos </w:t>
      </w:r>
      <w:r w:rsidR="00015712">
        <w:rPr>
          <w:b/>
          <w:i/>
          <w:lang w:val="es-ES"/>
        </w:rPr>
        <w:t>operativos estándar</w:t>
      </w:r>
      <w:r w:rsidR="00AD6F3C">
        <w:rPr>
          <w:b/>
          <w:i/>
          <w:lang w:val="es-ES"/>
        </w:rPr>
        <w:t xml:space="preserve"> </w:t>
      </w:r>
      <w:r w:rsidR="005551F0">
        <w:rPr>
          <w:b/>
          <w:i/>
          <w:lang w:val="es-ES"/>
        </w:rPr>
        <w:t xml:space="preserve">de </w:t>
      </w:r>
      <w:r w:rsidR="005551F0" w:rsidRPr="00811406">
        <w:rPr>
          <w:b/>
          <w:i/>
          <w:lang w:val="es-ES"/>
        </w:rPr>
        <w:t>la</w:t>
      </w:r>
      <w:r w:rsidRPr="00811406">
        <w:rPr>
          <w:b/>
          <w:i/>
          <w:lang w:val="es-ES"/>
        </w:rPr>
        <w:t xml:space="preserve"> Federación Internacional.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8"/>
        <w:gridCol w:w="4800"/>
      </w:tblGrid>
      <w:tr w:rsidR="00E92C7F" w:rsidRPr="00E54EEA" w14:paraId="4C0CBCC0" w14:textId="77777777" w:rsidTr="00AD6F3C">
        <w:tc>
          <w:tcPr>
            <w:tcW w:w="4828" w:type="dxa"/>
            <w:tcBorders>
              <w:bottom w:val="single" w:sz="4" w:space="0" w:color="auto"/>
            </w:tcBorders>
            <w:shd w:val="clear" w:color="auto" w:fill="DC281E"/>
          </w:tcPr>
          <w:p w14:paraId="4F709802" w14:textId="43A951C5" w:rsidR="00E92C7F" w:rsidRPr="00E54EEA" w:rsidRDefault="00E92C7F" w:rsidP="00AD6F3C">
            <w:pPr>
              <w:spacing w:before="120"/>
              <w:jc w:val="center"/>
              <w:rPr>
                <w:i/>
                <w:color w:val="FFFFFF" w:themeColor="background1"/>
              </w:rPr>
            </w:pPr>
            <w:proofErr w:type="spellStart"/>
            <w:r w:rsidRPr="00E54EEA">
              <w:rPr>
                <w:b/>
                <w:color w:val="FFFFFF" w:themeColor="background1"/>
              </w:rPr>
              <w:t>Func</w:t>
            </w:r>
            <w:r w:rsidR="00AD6F3C">
              <w:rPr>
                <w:b/>
                <w:color w:val="FFFFFF" w:themeColor="background1"/>
              </w:rPr>
              <w:t>iones</w:t>
            </w:r>
            <w:proofErr w:type="spellEnd"/>
            <w:r w:rsidR="00AD6F3C"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shd w:val="clear" w:color="auto" w:fill="DC281E"/>
          </w:tcPr>
          <w:p w14:paraId="2D846B14" w14:textId="48736A99" w:rsidR="00E92C7F" w:rsidRPr="00E54EEA" w:rsidRDefault="00E92C7F" w:rsidP="00AD6F3C">
            <w:pPr>
              <w:spacing w:before="120"/>
              <w:jc w:val="center"/>
              <w:rPr>
                <w:i/>
                <w:color w:val="FFFFFF" w:themeColor="background1"/>
              </w:rPr>
            </w:pPr>
            <w:r w:rsidRPr="00E54EEA">
              <w:rPr>
                <w:b/>
                <w:color w:val="FFFFFF" w:themeColor="background1"/>
              </w:rPr>
              <w:t xml:space="preserve">Roles </w:t>
            </w:r>
            <w:r w:rsidR="00AD6F3C">
              <w:rPr>
                <w:b/>
                <w:color w:val="FFFFFF" w:themeColor="background1"/>
              </w:rPr>
              <w:t>para</w:t>
            </w:r>
            <w:r w:rsidRPr="00E54EEA">
              <w:rPr>
                <w:b/>
                <w:color w:val="FFFFFF" w:themeColor="background1"/>
              </w:rPr>
              <w:t xml:space="preserve"> </w:t>
            </w:r>
            <w:r w:rsidR="00297957">
              <w:rPr>
                <w:b/>
                <w:color w:val="FFFFFF" w:themeColor="background1"/>
              </w:rPr>
              <w:t>PTE</w:t>
            </w:r>
          </w:p>
        </w:tc>
      </w:tr>
      <w:tr w:rsidR="00E92C7F" w:rsidRPr="0069390C" w14:paraId="0D48C757" w14:textId="77777777" w:rsidTr="00AD6F3C">
        <w:tc>
          <w:tcPr>
            <w:tcW w:w="4828" w:type="dxa"/>
            <w:shd w:val="clear" w:color="auto" w:fill="A6A6A6"/>
          </w:tcPr>
          <w:p w14:paraId="56E77EAA" w14:textId="4580D4A4" w:rsidR="00E92C7F" w:rsidRPr="00015712" w:rsidRDefault="00E92C7F" w:rsidP="00D61AD7">
            <w:pPr>
              <w:pStyle w:val="Heading3"/>
              <w:keepNext w:val="0"/>
              <w:spacing w:before="20" w:after="20"/>
              <w:outlineLvl w:val="2"/>
              <w:rPr>
                <w:sz w:val="20"/>
                <w:szCs w:val="20"/>
                <w:lang w:val="es-ES_tradnl"/>
              </w:rPr>
            </w:pPr>
            <w:r w:rsidRPr="00015712">
              <w:rPr>
                <w:sz w:val="20"/>
                <w:szCs w:val="20"/>
                <w:lang w:val="es-ES_tradnl"/>
              </w:rPr>
              <w:t>Program</w:t>
            </w:r>
            <w:r w:rsidR="00AD6F3C" w:rsidRPr="00015712">
              <w:rPr>
                <w:sz w:val="20"/>
                <w:szCs w:val="20"/>
                <w:lang w:val="es-ES_tradnl"/>
              </w:rPr>
              <w:t>as</w:t>
            </w:r>
            <w:r w:rsidRPr="00015712">
              <w:rPr>
                <w:sz w:val="20"/>
                <w:szCs w:val="20"/>
                <w:lang w:val="es-ES_tradnl"/>
              </w:rPr>
              <w:t xml:space="preserve"> </w:t>
            </w:r>
          </w:p>
          <w:p w14:paraId="12177DDB" w14:textId="0DB89688" w:rsidR="00E92C7F" w:rsidRPr="00015712" w:rsidRDefault="00E92C7F" w:rsidP="00AD6F3C">
            <w:pPr>
              <w:spacing w:before="20" w:after="20"/>
              <w:rPr>
                <w:i/>
                <w:szCs w:val="20"/>
                <w:lang w:val="es-ES_tradnl"/>
              </w:rPr>
            </w:pPr>
            <w:r w:rsidRPr="00015712">
              <w:rPr>
                <w:szCs w:val="20"/>
                <w:lang w:val="es-ES_tradnl"/>
              </w:rPr>
              <w:t>(inclu</w:t>
            </w:r>
            <w:r w:rsidR="00AD6F3C" w:rsidRPr="00015712">
              <w:rPr>
                <w:szCs w:val="20"/>
                <w:lang w:val="es-ES_tradnl"/>
              </w:rPr>
              <w:t xml:space="preserve">yendo comunicación con </w:t>
            </w:r>
            <w:r w:rsidR="00015712" w:rsidRPr="00015712">
              <w:rPr>
                <w:szCs w:val="20"/>
                <w:lang w:val="es-ES_tradnl"/>
              </w:rPr>
              <w:t>beneficiarios</w:t>
            </w:r>
            <w:r w:rsidR="00AD6F3C" w:rsidRPr="00015712">
              <w:rPr>
                <w:szCs w:val="20"/>
                <w:lang w:val="es-ES_tradnl"/>
              </w:rPr>
              <w:t xml:space="preserve">, planificación y </w:t>
            </w:r>
            <w:r w:rsidRPr="00015712">
              <w:rPr>
                <w:szCs w:val="20"/>
                <w:lang w:val="es-ES_tradnl"/>
              </w:rPr>
              <w:t>monitor</w:t>
            </w:r>
            <w:r w:rsidR="00AD6F3C" w:rsidRPr="00015712">
              <w:rPr>
                <w:szCs w:val="20"/>
                <w:lang w:val="es-ES_tradnl"/>
              </w:rPr>
              <w:t>eo</w:t>
            </w:r>
            <w:r w:rsidRPr="00015712">
              <w:rPr>
                <w:szCs w:val="20"/>
                <w:lang w:val="es-ES_tradnl"/>
              </w:rPr>
              <w:t>, evalua</w:t>
            </w:r>
            <w:r w:rsidR="00AD6F3C" w:rsidRPr="00015712">
              <w:rPr>
                <w:szCs w:val="20"/>
                <w:lang w:val="es-ES_tradnl"/>
              </w:rPr>
              <w:t>c</w:t>
            </w:r>
            <w:r w:rsidRPr="00015712">
              <w:rPr>
                <w:szCs w:val="20"/>
                <w:lang w:val="es-ES_tradnl"/>
              </w:rPr>
              <w:t>i</w:t>
            </w:r>
            <w:r w:rsidR="00AD6F3C" w:rsidRPr="00015712">
              <w:rPr>
                <w:szCs w:val="20"/>
                <w:lang w:val="es-ES_tradnl"/>
              </w:rPr>
              <w:t>ó</w:t>
            </w:r>
            <w:r w:rsidRPr="00015712">
              <w:rPr>
                <w:szCs w:val="20"/>
                <w:lang w:val="es-ES_tradnl"/>
              </w:rPr>
              <w:t xml:space="preserve">n </w:t>
            </w:r>
            <w:r w:rsidR="00AD6F3C" w:rsidRPr="00015712">
              <w:rPr>
                <w:szCs w:val="20"/>
                <w:lang w:val="es-ES_tradnl"/>
              </w:rPr>
              <w:t>y rendición de cuentas</w:t>
            </w:r>
            <w:r w:rsidRPr="00015712">
              <w:rPr>
                <w:szCs w:val="20"/>
                <w:lang w:val="es-ES_tradnl"/>
              </w:rPr>
              <w:t>)</w:t>
            </w:r>
          </w:p>
        </w:tc>
        <w:tc>
          <w:tcPr>
            <w:tcW w:w="4800" w:type="dxa"/>
            <w:shd w:val="clear" w:color="auto" w:fill="F3F3F3"/>
          </w:tcPr>
          <w:p w14:paraId="2A43FCDF" w14:textId="77777777" w:rsidR="00E92C7F" w:rsidRPr="00AD6F3C" w:rsidRDefault="00E92C7F" w:rsidP="00D61AD7">
            <w:pPr>
              <w:spacing w:before="20" w:after="20"/>
              <w:rPr>
                <w:i/>
                <w:szCs w:val="20"/>
                <w:lang w:val="es-ES"/>
              </w:rPr>
            </w:pPr>
          </w:p>
        </w:tc>
      </w:tr>
      <w:tr w:rsidR="00E92C7F" w:rsidRPr="00E54EEA" w14:paraId="069635B6" w14:textId="77777777" w:rsidTr="00AD6F3C">
        <w:tc>
          <w:tcPr>
            <w:tcW w:w="4828" w:type="dxa"/>
            <w:shd w:val="clear" w:color="auto" w:fill="A6A6A6"/>
          </w:tcPr>
          <w:p w14:paraId="3495D61C" w14:textId="27280EF7" w:rsidR="00E92C7F" w:rsidRPr="00015712" w:rsidRDefault="00015712" w:rsidP="00AD6F3C">
            <w:pPr>
              <w:spacing w:before="20" w:after="20"/>
              <w:rPr>
                <w:i/>
                <w:szCs w:val="20"/>
                <w:lang w:val="es-ES_tradnl"/>
              </w:rPr>
            </w:pPr>
            <w:r w:rsidRPr="00015712">
              <w:rPr>
                <w:b/>
                <w:szCs w:val="20"/>
                <w:lang w:val="es-ES_tradnl"/>
              </w:rPr>
              <w:t>Logí</w:t>
            </w:r>
            <w:r w:rsidR="00E92C7F" w:rsidRPr="00015712">
              <w:rPr>
                <w:b/>
                <w:szCs w:val="20"/>
                <w:lang w:val="es-ES_tradnl"/>
              </w:rPr>
              <w:t>stic</w:t>
            </w:r>
            <w:r w:rsidR="00AD6F3C" w:rsidRPr="00015712">
              <w:rPr>
                <w:b/>
                <w:szCs w:val="20"/>
                <w:lang w:val="es-ES_tradnl"/>
              </w:rPr>
              <w:t>a</w:t>
            </w:r>
          </w:p>
        </w:tc>
        <w:tc>
          <w:tcPr>
            <w:tcW w:w="4800" w:type="dxa"/>
            <w:shd w:val="clear" w:color="auto" w:fill="F3F3F3"/>
          </w:tcPr>
          <w:p w14:paraId="7343AECF" w14:textId="77777777" w:rsidR="00E92C7F" w:rsidRPr="00E54EEA" w:rsidRDefault="00E92C7F" w:rsidP="00D61AD7">
            <w:pPr>
              <w:spacing w:before="20" w:after="20"/>
              <w:rPr>
                <w:i/>
                <w:szCs w:val="20"/>
              </w:rPr>
            </w:pPr>
          </w:p>
        </w:tc>
      </w:tr>
      <w:tr w:rsidR="00E92C7F" w:rsidRPr="00E54EEA" w14:paraId="595791D7" w14:textId="77777777" w:rsidTr="00AD6F3C">
        <w:tc>
          <w:tcPr>
            <w:tcW w:w="4828" w:type="dxa"/>
            <w:shd w:val="clear" w:color="auto" w:fill="A6A6A6"/>
          </w:tcPr>
          <w:p w14:paraId="13087718" w14:textId="2C2A4F5B" w:rsidR="00E92C7F" w:rsidRPr="00015712" w:rsidRDefault="00E92C7F" w:rsidP="00AD6F3C">
            <w:pPr>
              <w:spacing w:before="20" w:after="20"/>
              <w:rPr>
                <w:i/>
                <w:szCs w:val="20"/>
                <w:lang w:val="es-ES_tradnl"/>
              </w:rPr>
            </w:pPr>
            <w:r w:rsidRPr="00015712">
              <w:rPr>
                <w:b/>
                <w:szCs w:val="20"/>
                <w:lang w:val="es-ES_tradnl"/>
              </w:rPr>
              <w:t>Finan</w:t>
            </w:r>
            <w:r w:rsidR="00AD6F3C" w:rsidRPr="00015712">
              <w:rPr>
                <w:b/>
                <w:szCs w:val="20"/>
                <w:lang w:val="es-ES_tradnl"/>
              </w:rPr>
              <w:t>zas</w:t>
            </w:r>
          </w:p>
        </w:tc>
        <w:tc>
          <w:tcPr>
            <w:tcW w:w="4800" w:type="dxa"/>
            <w:shd w:val="clear" w:color="auto" w:fill="F3F3F3"/>
          </w:tcPr>
          <w:p w14:paraId="46CD9EF2" w14:textId="77777777" w:rsidR="00E92C7F" w:rsidRPr="00E54EEA" w:rsidRDefault="00E92C7F" w:rsidP="00D61AD7">
            <w:pPr>
              <w:spacing w:before="20" w:after="20"/>
              <w:rPr>
                <w:i/>
                <w:szCs w:val="20"/>
              </w:rPr>
            </w:pPr>
          </w:p>
        </w:tc>
      </w:tr>
      <w:tr w:rsidR="00E92C7F" w:rsidRPr="00E54EEA" w14:paraId="1169CD18" w14:textId="77777777" w:rsidTr="00AD6F3C">
        <w:tc>
          <w:tcPr>
            <w:tcW w:w="4828" w:type="dxa"/>
            <w:shd w:val="clear" w:color="auto" w:fill="A6A6A6"/>
          </w:tcPr>
          <w:p w14:paraId="03EF7C7E" w14:textId="189DACA0" w:rsidR="00E92C7F" w:rsidRPr="00015712" w:rsidRDefault="00015712" w:rsidP="00AD6F3C">
            <w:pPr>
              <w:spacing w:before="20" w:after="20"/>
              <w:rPr>
                <w:i/>
                <w:szCs w:val="20"/>
                <w:lang w:val="es-ES_tradnl"/>
              </w:rPr>
            </w:pPr>
            <w:r>
              <w:rPr>
                <w:b/>
                <w:szCs w:val="20"/>
                <w:lang w:val="es-ES_tradnl"/>
              </w:rPr>
              <w:t>Seg</w:t>
            </w:r>
            <w:r w:rsidR="00E92C7F" w:rsidRPr="00015712">
              <w:rPr>
                <w:b/>
                <w:szCs w:val="20"/>
                <w:lang w:val="es-ES_tradnl"/>
              </w:rPr>
              <w:t>uri</w:t>
            </w:r>
            <w:r w:rsidR="00AD6F3C" w:rsidRPr="00015712">
              <w:rPr>
                <w:b/>
                <w:szCs w:val="20"/>
                <w:lang w:val="es-ES_tradnl"/>
              </w:rPr>
              <w:t>dad</w:t>
            </w:r>
          </w:p>
        </w:tc>
        <w:tc>
          <w:tcPr>
            <w:tcW w:w="4800" w:type="dxa"/>
            <w:shd w:val="clear" w:color="auto" w:fill="F3F3F3"/>
          </w:tcPr>
          <w:p w14:paraId="1587AFA3" w14:textId="77777777" w:rsidR="00E92C7F" w:rsidRPr="00E54EEA" w:rsidRDefault="00E92C7F" w:rsidP="00D61AD7">
            <w:pPr>
              <w:spacing w:before="20" w:after="20"/>
              <w:rPr>
                <w:i/>
                <w:szCs w:val="20"/>
              </w:rPr>
            </w:pPr>
          </w:p>
        </w:tc>
      </w:tr>
      <w:tr w:rsidR="00E92C7F" w:rsidRPr="0069390C" w14:paraId="3267D7D5" w14:textId="77777777" w:rsidTr="00AD6F3C">
        <w:tc>
          <w:tcPr>
            <w:tcW w:w="4828" w:type="dxa"/>
            <w:shd w:val="clear" w:color="auto" w:fill="A6A6A6"/>
          </w:tcPr>
          <w:p w14:paraId="42EC3432" w14:textId="256B878A" w:rsidR="00E92C7F" w:rsidRPr="00015712" w:rsidRDefault="00AD6F3C" w:rsidP="00AD6F3C">
            <w:pPr>
              <w:spacing w:before="20" w:after="20"/>
              <w:rPr>
                <w:i/>
                <w:szCs w:val="20"/>
                <w:lang w:val="es-ES_tradnl"/>
              </w:rPr>
            </w:pPr>
            <w:r w:rsidRPr="00015712">
              <w:rPr>
                <w:b/>
                <w:szCs w:val="20"/>
                <w:lang w:val="es-ES_tradnl"/>
              </w:rPr>
              <w:t>Control de riesgos y auditorias</w:t>
            </w:r>
          </w:p>
        </w:tc>
        <w:tc>
          <w:tcPr>
            <w:tcW w:w="4800" w:type="dxa"/>
            <w:shd w:val="clear" w:color="auto" w:fill="F3F3F3"/>
          </w:tcPr>
          <w:p w14:paraId="7A9B49B6" w14:textId="77777777" w:rsidR="00E92C7F" w:rsidRPr="00AD6F3C" w:rsidRDefault="00E92C7F" w:rsidP="00D61AD7">
            <w:pPr>
              <w:spacing w:before="20" w:after="20"/>
              <w:rPr>
                <w:i/>
                <w:szCs w:val="20"/>
                <w:lang w:val="es-ES"/>
              </w:rPr>
            </w:pPr>
          </w:p>
        </w:tc>
      </w:tr>
      <w:tr w:rsidR="00E92C7F" w:rsidRPr="00E54EEA" w14:paraId="7F350D4A" w14:textId="77777777" w:rsidTr="00AD6F3C">
        <w:tc>
          <w:tcPr>
            <w:tcW w:w="4828" w:type="dxa"/>
            <w:shd w:val="clear" w:color="auto" w:fill="A6A6A6"/>
          </w:tcPr>
          <w:p w14:paraId="7C6A960F" w14:textId="6273D904" w:rsidR="00E92C7F" w:rsidRPr="00015712" w:rsidRDefault="00E92C7F" w:rsidP="00D61AD7">
            <w:pPr>
              <w:spacing w:before="20" w:after="20"/>
              <w:rPr>
                <w:i/>
                <w:szCs w:val="20"/>
                <w:lang w:val="es-ES_tradnl"/>
              </w:rPr>
            </w:pPr>
            <w:r w:rsidRPr="00015712">
              <w:rPr>
                <w:b/>
                <w:szCs w:val="20"/>
                <w:lang w:val="es-ES_tradnl"/>
              </w:rPr>
              <w:t>Legal</w:t>
            </w:r>
          </w:p>
        </w:tc>
        <w:tc>
          <w:tcPr>
            <w:tcW w:w="4800" w:type="dxa"/>
            <w:shd w:val="clear" w:color="auto" w:fill="F3F3F3"/>
          </w:tcPr>
          <w:p w14:paraId="200BC945" w14:textId="77777777" w:rsidR="00E92C7F" w:rsidRPr="00E54EEA" w:rsidRDefault="00E92C7F" w:rsidP="00D61AD7">
            <w:pPr>
              <w:spacing w:before="20" w:after="20"/>
              <w:rPr>
                <w:i/>
                <w:szCs w:val="20"/>
              </w:rPr>
            </w:pPr>
          </w:p>
        </w:tc>
      </w:tr>
      <w:tr w:rsidR="00E92C7F" w:rsidRPr="0069390C" w14:paraId="7863957E" w14:textId="77777777" w:rsidTr="00AD6F3C">
        <w:tc>
          <w:tcPr>
            <w:tcW w:w="4828" w:type="dxa"/>
            <w:shd w:val="clear" w:color="auto" w:fill="A6A6A6"/>
          </w:tcPr>
          <w:p w14:paraId="36FABB3C" w14:textId="50537CDE" w:rsidR="00E92C7F" w:rsidRPr="00015712" w:rsidRDefault="00AD6F3C" w:rsidP="00AD6F3C">
            <w:pPr>
              <w:spacing w:before="20" w:after="20"/>
              <w:rPr>
                <w:i/>
                <w:szCs w:val="20"/>
                <w:lang w:val="es-ES_tradnl"/>
              </w:rPr>
            </w:pPr>
            <w:r w:rsidRPr="00015712">
              <w:rPr>
                <w:b/>
                <w:szCs w:val="20"/>
                <w:lang w:val="es-ES_tradnl"/>
              </w:rPr>
              <w:t xml:space="preserve">Tecnologías de la información y apoyo a los sistemas de comunicación (Informática) </w:t>
            </w:r>
          </w:p>
        </w:tc>
        <w:tc>
          <w:tcPr>
            <w:tcW w:w="4800" w:type="dxa"/>
            <w:shd w:val="clear" w:color="auto" w:fill="F3F3F3"/>
          </w:tcPr>
          <w:p w14:paraId="4BEDAF1C" w14:textId="77777777" w:rsidR="00E92C7F" w:rsidRPr="00AD6F3C" w:rsidRDefault="00E92C7F" w:rsidP="00D61AD7">
            <w:pPr>
              <w:spacing w:before="20" w:after="20"/>
              <w:rPr>
                <w:i/>
                <w:szCs w:val="20"/>
                <w:lang w:val="es-ES"/>
              </w:rPr>
            </w:pPr>
          </w:p>
        </w:tc>
      </w:tr>
      <w:tr w:rsidR="00E92C7F" w:rsidRPr="00E54EEA" w14:paraId="69F77DDD" w14:textId="77777777" w:rsidTr="00AD6F3C">
        <w:tc>
          <w:tcPr>
            <w:tcW w:w="4828" w:type="dxa"/>
            <w:shd w:val="clear" w:color="auto" w:fill="A6A6A6"/>
          </w:tcPr>
          <w:p w14:paraId="14F9C4C8" w14:textId="045348EC" w:rsidR="00E92C7F" w:rsidRPr="00015712" w:rsidRDefault="00015712" w:rsidP="00D61AD7">
            <w:pPr>
              <w:spacing w:before="20" w:after="20"/>
              <w:rPr>
                <w:i/>
                <w:szCs w:val="20"/>
                <w:lang w:val="es-ES_tradnl"/>
              </w:rPr>
            </w:pPr>
            <w:r w:rsidRPr="00015712">
              <w:rPr>
                <w:b/>
                <w:szCs w:val="20"/>
                <w:lang w:val="es-ES_tradnl"/>
              </w:rPr>
              <w:t>Mov</w:t>
            </w:r>
            <w:r w:rsidR="00AD6F3C" w:rsidRPr="00015712">
              <w:rPr>
                <w:b/>
                <w:szCs w:val="20"/>
                <w:lang w:val="es-ES_tradnl"/>
              </w:rPr>
              <w:t>ilización de recursos</w:t>
            </w:r>
          </w:p>
        </w:tc>
        <w:tc>
          <w:tcPr>
            <w:tcW w:w="4800" w:type="dxa"/>
            <w:shd w:val="clear" w:color="auto" w:fill="F3F3F3"/>
          </w:tcPr>
          <w:p w14:paraId="4CFEE72D" w14:textId="77777777" w:rsidR="00E92C7F" w:rsidRPr="00E54EEA" w:rsidRDefault="00E92C7F" w:rsidP="00D61AD7">
            <w:pPr>
              <w:spacing w:before="20" w:after="20"/>
              <w:rPr>
                <w:i/>
                <w:szCs w:val="20"/>
              </w:rPr>
            </w:pPr>
          </w:p>
        </w:tc>
      </w:tr>
    </w:tbl>
    <w:p w14:paraId="068C0F37" w14:textId="66C2BBC8" w:rsidR="00996396" w:rsidRPr="00C23595" w:rsidRDefault="00AD6F3C" w:rsidP="00E92C7F">
      <w:pPr>
        <w:pStyle w:val="Heading3"/>
        <w:rPr>
          <w:lang w:val="es-ES"/>
        </w:rPr>
      </w:pPr>
      <w:r w:rsidRPr="00C23595">
        <w:rPr>
          <w:bCs/>
          <w:lang w:val="es-ES"/>
        </w:rPr>
        <w:t>Entrega de efectivo a través de terceros (</w:t>
      </w:r>
      <w:r w:rsidR="00C23595" w:rsidRPr="00C23595">
        <w:rPr>
          <w:lang w:val="es-ES"/>
        </w:rPr>
        <w:t>prov</w:t>
      </w:r>
      <w:r w:rsidR="00C23595">
        <w:rPr>
          <w:lang w:val="es-ES"/>
        </w:rPr>
        <w:t>eedo</w:t>
      </w:r>
      <w:r w:rsidR="00C23595" w:rsidRPr="00C23595">
        <w:rPr>
          <w:lang w:val="es-ES"/>
        </w:rPr>
        <w:t>r</w:t>
      </w:r>
      <w:r w:rsidR="00C23595">
        <w:rPr>
          <w:lang w:val="es-ES"/>
        </w:rPr>
        <w:t>e</w:t>
      </w:r>
      <w:r w:rsidR="00C23595" w:rsidRPr="00C23595">
        <w:rPr>
          <w:lang w:val="es-ES"/>
        </w:rPr>
        <w:t xml:space="preserve">s </w:t>
      </w:r>
      <w:r w:rsidR="00C23595">
        <w:rPr>
          <w:lang w:val="es-ES"/>
        </w:rPr>
        <w:t xml:space="preserve">de </w:t>
      </w:r>
      <w:r w:rsidR="00996396" w:rsidRPr="00C23595">
        <w:rPr>
          <w:lang w:val="es-ES"/>
        </w:rPr>
        <w:t>servic</w:t>
      </w:r>
      <w:r w:rsidR="00C23595">
        <w:rPr>
          <w:lang w:val="es-ES"/>
        </w:rPr>
        <w:t>ios</w:t>
      </w:r>
      <w:r w:rsidR="00996396" w:rsidRPr="00C23595">
        <w:rPr>
          <w:lang w:val="es-ES"/>
        </w:rPr>
        <w:t>)</w:t>
      </w:r>
    </w:p>
    <w:p w14:paraId="0E8430AA" w14:textId="21FAAFF5" w:rsidR="00C23595" w:rsidRPr="00C23595" w:rsidRDefault="00C23595" w:rsidP="00C23595">
      <w:pPr>
        <w:rPr>
          <w:i/>
          <w:lang w:val="es-ES"/>
        </w:rPr>
      </w:pPr>
      <w:r w:rsidRPr="00C23595">
        <w:rPr>
          <w:i/>
          <w:lang w:val="es-ES"/>
        </w:rPr>
        <w:t xml:space="preserve">Enumerar las principales funciones que los diferentes departamentos tendrán en la </w:t>
      </w:r>
      <w:r>
        <w:rPr>
          <w:i/>
          <w:lang w:val="es-ES"/>
        </w:rPr>
        <w:t>implement</w:t>
      </w:r>
      <w:r w:rsidRPr="00C23595">
        <w:rPr>
          <w:i/>
          <w:lang w:val="es-ES"/>
        </w:rPr>
        <w:t>ación de PTE.</w:t>
      </w:r>
    </w:p>
    <w:p w14:paraId="50BB6E54" w14:textId="50C91EBB" w:rsidR="00996396" w:rsidRPr="00E067AA" w:rsidRDefault="00C23595" w:rsidP="00FF617E">
      <w:pPr>
        <w:rPr>
          <w:i/>
          <w:lang w:val="es-ES"/>
        </w:rPr>
      </w:pPr>
      <w:r w:rsidRPr="00C23595">
        <w:rPr>
          <w:i/>
          <w:lang w:val="es-ES"/>
        </w:rPr>
        <w:t>A</w:t>
      </w:r>
      <w:r>
        <w:rPr>
          <w:i/>
          <w:lang w:val="es-ES"/>
        </w:rPr>
        <w:t>ñadir columnas si se identifica a</w:t>
      </w:r>
      <w:r w:rsidRPr="00C23595">
        <w:rPr>
          <w:i/>
          <w:lang w:val="es-ES"/>
        </w:rPr>
        <w:t xml:space="preserve"> actores adicionales. </w:t>
      </w:r>
      <w:r w:rsidR="00B971A7" w:rsidRPr="00B971A7">
        <w:rPr>
          <w:i/>
          <w:lang w:val="es-ES"/>
        </w:rPr>
        <w:t xml:space="preserve">Se puede adjuntar una tabla más detallada en los anexos a este documento (ver los documentos ICRC y IFRC CBP </w:t>
      </w:r>
      <w:proofErr w:type="spellStart"/>
      <w:r w:rsidR="00B971A7" w:rsidRPr="00B971A7">
        <w:rPr>
          <w:i/>
          <w:lang w:val="es-ES"/>
        </w:rPr>
        <w:t>SOPs</w:t>
      </w:r>
      <w:proofErr w:type="spellEnd"/>
      <w:r w:rsidR="00B971A7" w:rsidRPr="00B971A7">
        <w:rPr>
          <w:i/>
          <w:lang w:val="es-ES"/>
        </w:rPr>
        <w:t xml:space="preserve"> para ver ejemplos de diagramas, aunque estos documentos sólo están disponibles en inglés).</w:t>
      </w:r>
      <w:r w:rsidR="005551F0">
        <w:rPr>
          <w:i/>
          <w:lang w:val="es-ES"/>
        </w:rPr>
        <w:t xml:space="preserve"> Añadir </w:t>
      </w:r>
      <w:r w:rsidRPr="00C23595">
        <w:rPr>
          <w:i/>
          <w:lang w:val="es-ES"/>
        </w:rPr>
        <w:t>y adaptar las funciones principales</w:t>
      </w:r>
      <w:r w:rsidR="005551F0">
        <w:rPr>
          <w:i/>
          <w:lang w:val="es-ES"/>
        </w:rPr>
        <w:t xml:space="preserve"> que</w:t>
      </w:r>
      <w:r w:rsidRPr="00C23595">
        <w:rPr>
          <w:i/>
          <w:lang w:val="es-ES"/>
        </w:rPr>
        <w:t xml:space="preserve"> se indican a continuación para </w:t>
      </w:r>
      <w:r w:rsidR="00AD0FF5">
        <w:rPr>
          <w:i/>
          <w:lang w:val="es-ES"/>
        </w:rPr>
        <w:t xml:space="preserve">que se ajusten </w:t>
      </w:r>
      <w:r w:rsidRPr="00C23595">
        <w:rPr>
          <w:i/>
          <w:lang w:val="es-ES"/>
        </w:rPr>
        <w:t>a su contexto</w:t>
      </w:r>
      <w:r w:rsidR="00AD0FF5">
        <w:rPr>
          <w:i/>
          <w:lang w:val="es-ES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3"/>
        <w:gridCol w:w="2109"/>
        <w:gridCol w:w="1777"/>
        <w:gridCol w:w="1834"/>
        <w:gridCol w:w="1715"/>
      </w:tblGrid>
      <w:tr w:rsidR="005733A5" w:rsidRPr="00E54EEA" w14:paraId="1EECAC95" w14:textId="77777777" w:rsidTr="005F6C47">
        <w:tc>
          <w:tcPr>
            <w:tcW w:w="2235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420A6002" w14:textId="2BD81210" w:rsidR="00E92C7F" w:rsidRPr="00E54EEA" w:rsidRDefault="00E067AA" w:rsidP="0088211A">
            <w:pPr>
              <w:pStyle w:val="Heading3"/>
              <w:spacing w:before="120"/>
              <w:jc w:val="center"/>
              <w:outlineLvl w:val="2"/>
              <w:rPr>
                <w:i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color w:val="FFFFFF" w:themeColor="background1"/>
                <w:sz w:val="20"/>
                <w:szCs w:val="20"/>
              </w:rPr>
              <w:t>Función</w:t>
            </w:r>
            <w:proofErr w:type="spellEnd"/>
            <w:r>
              <w:rPr>
                <w:color w:val="FFFFFF" w:themeColor="background1"/>
                <w:sz w:val="20"/>
                <w:szCs w:val="20"/>
              </w:rPr>
              <w:t xml:space="preserve"> principal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2312036C" w14:textId="0048FB28" w:rsidR="00E92C7F" w:rsidRPr="00E067AA" w:rsidRDefault="0088211A" w:rsidP="00E067AA">
            <w:pPr>
              <w:pStyle w:val="Heading3"/>
              <w:spacing w:before="120"/>
              <w:jc w:val="center"/>
              <w:outlineLvl w:val="2"/>
              <w:rPr>
                <w:i/>
                <w:color w:val="FFFFFF" w:themeColor="background1"/>
                <w:sz w:val="20"/>
                <w:szCs w:val="20"/>
                <w:lang w:val="es-ES"/>
              </w:rPr>
            </w:pPr>
            <w:r w:rsidRPr="00E067AA">
              <w:rPr>
                <w:color w:val="FFFFFF" w:themeColor="background1"/>
                <w:sz w:val="20"/>
                <w:szCs w:val="20"/>
                <w:lang w:val="es-ES"/>
              </w:rPr>
              <w:t>Program</w:t>
            </w:r>
            <w:r w:rsidR="00E067AA" w:rsidRPr="00E067AA">
              <w:rPr>
                <w:color w:val="FFFFFF" w:themeColor="background1"/>
                <w:sz w:val="20"/>
                <w:szCs w:val="20"/>
                <w:lang w:val="es-ES"/>
              </w:rPr>
              <w:t>as/</w:t>
            </w:r>
            <w:r w:rsidR="00E067AA" w:rsidRPr="00E067AA">
              <w:rPr>
                <w:color w:val="FFFFFF" w:themeColor="background1"/>
                <w:sz w:val="20"/>
                <w:szCs w:val="20"/>
                <w:lang w:val="es-ES"/>
              </w:rPr>
              <w:br/>
              <w:t>Gestión de desastres/</w:t>
            </w:r>
            <w:proofErr w:type="spellStart"/>
            <w:r w:rsidRPr="00E067AA">
              <w:rPr>
                <w:color w:val="FFFFFF" w:themeColor="background1"/>
                <w:sz w:val="20"/>
                <w:szCs w:val="20"/>
                <w:lang w:val="es-ES"/>
              </w:rPr>
              <w:t>EcoSec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0519FFC9" w14:textId="03F2C1DC" w:rsidR="00E92C7F" w:rsidRPr="00E54EEA" w:rsidRDefault="00E067AA" w:rsidP="00E067AA">
            <w:pPr>
              <w:pStyle w:val="Heading3"/>
              <w:spacing w:before="120"/>
              <w:jc w:val="center"/>
              <w:outlineLvl w:val="2"/>
              <w:rPr>
                <w:i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color w:val="FFFFFF" w:themeColor="background1"/>
                <w:sz w:val="20"/>
                <w:szCs w:val="20"/>
              </w:rPr>
              <w:t>Logí</w:t>
            </w:r>
            <w:r w:rsidR="0088211A" w:rsidRPr="00E54EEA">
              <w:rPr>
                <w:color w:val="FFFFFF" w:themeColor="background1"/>
                <w:sz w:val="20"/>
                <w:szCs w:val="20"/>
              </w:rPr>
              <w:t>stic</w:t>
            </w:r>
            <w:r>
              <w:rPr>
                <w:color w:val="FFFFFF" w:themeColor="background1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51766250" w14:textId="0D45B359" w:rsidR="00E92C7F" w:rsidRPr="00E54EEA" w:rsidRDefault="0088211A" w:rsidP="00E067AA">
            <w:pPr>
              <w:pStyle w:val="Heading3"/>
              <w:spacing w:before="120"/>
              <w:jc w:val="center"/>
              <w:outlineLvl w:val="2"/>
              <w:rPr>
                <w:i/>
                <w:color w:val="FFFFFF" w:themeColor="background1"/>
                <w:sz w:val="20"/>
                <w:szCs w:val="20"/>
              </w:rPr>
            </w:pPr>
            <w:proofErr w:type="spellStart"/>
            <w:r w:rsidRPr="00E54EEA">
              <w:rPr>
                <w:color w:val="FFFFFF" w:themeColor="background1"/>
                <w:sz w:val="20"/>
                <w:szCs w:val="20"/>
              </w:rPr>
              <w:t>Finan</w:t>
            </w:r>
            <w:r w:rsidR="00E067AA">
              <w:rPr>
                <w:color w:val="FFFFFF" w:themeColor="background1"/>
                <w:sz w:val="20"/>
                <w:szCs w:val="20"/>
              </w:rPr>
              <w:t>zas</w:t>
            </w:r>
            <w:proofErr w:type="spellEnd"/>
            <w:r w:rsidRPr="00E54EEA">
              <w:rPr>
                <w:color w:val="FFFFFF" w:themeColor="background1"/>
                <w:sz w:val="20"/>
                <w:szCs w:val="20"/>
              </w:rPr>
              <w:t>/Admin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45A67BEA" w14:textId="3C67C601" w:rsidR="00E92C7F" w:rsidRPr="00E54EEA" w:rsidRDefault="0088211A" w:rsidP="00E067AA">
            <w:pPr>
              <w:pStyle w:val="Heading3"/>
              <w:spacing w:before="120"/>
              <w:jc w:val="center"/>
              <w:outlineLvl w:val="2"/>
              <w:rPr>
                <w:i/>
                <w:color w:val="FFFFFF" w:themeColor="background1"/>
                <w:sz w:val="20"/>
                <w:szCs w:val="20"/>
              </w:rPr>
            </w:pPr>
            <w:proofErr w:type="spellStart"/>
            <w:r w:rsidRPr="00E54EEA">
              <w:rPr>
                <w:color w:val="FFFFFF" w:themeColor="background1"/>
                <w:sz w:val="20"/>
                <w:szCs w:val="20"/>
              </w:rPr>
              <w:t>Ot</w:t>
            </w:r>
            <w:r w:rsidR="005551F0">
              <w:rPr>
                <w:color w:val="FFFFFF" w:themeColor="background1"/>
                <w:sz w:val="20"/>
                <w:szCs w:val="20"/>
              </w:rPr>
              <w:t>ro</w:t>
            </w:r>
            <w:r w:rsidR="00E067AA">
              <w:rPr>
                <w:color w:val="FFFFFF" w:themeColor="background1"/>
                <w:sz w:val="20"/>
                <w:szCs w:val="20"/>
              </w:rPr>
              <w:t>s</w:t>
            </w:r>
            <w:proofErr w:type="spellEnd"/>
          </w:p>
        </w:tc>
      </w:tr>
      <w:tr w:rsidR="005733A5" w:rsidRPr="0069390C" w14:paraId="00AAEDAF" w14:textId="77777777" w:rsidTr="005F6C47">
        <w:tc>
          <w:tcPr>
            <w:tcW w:w="2235" w:type="dxa"/>
            <w:shd w:val="clear" w:color="auto" w:fill="A6A6A6"/>
          </w:tcPr>
          <w:p w14:paraId="78A58B2B" w14:textId="0802A8EE" w:rsidR="0088211A" w:rsidRPr="00015712" w:rsidRDefault="00E067AA" w:rsidP="00E067AA">
            <w:pPr>
              <w:spacing w:before="20" w:after="20"/>
              <w:rPr>
                <w:i/>
                <w:lang w:val="es-ES_tradnl"/>
              </w:rPr>
            </w:pPr>
            <w:r w:rsidRPr="00015712">
              <w:rPr>
                <w:lang w:val="es-ES_tradnl"/>
              </w:rPr>
              <w:t xml:space="preserve">Selección de la modalidad de </w:t>
            </w:r>
            <w:r w:rsidR="00297957" w:rsidRPr="00015712">
              <w:rPr>
                <w:lang w:val="es-ES_tradnl"/>
              </w:rPr>
              <w:t>PTE</w:t>
            </w:r>
            <w:r w:rsidR="0088211A" w:rsidRPr="00015712">
              <w:rPr>
                <w:lang w:val="es-ES_tradnl"/>
              </w:rPr>
              <w:t xml:space="preserve"> </w:t>
            </w:r>
          </w:p>
        </w:tc>
        <w:tc>
          <w:tcPr>
            <w:tcW w:w="2126" w:type="dxa"/>
            <w:shd w:val="clear" w:color="auto" w:fill="F3F3F3"/>
          </w:tcPr>
          <w:p w14:paraId="01D8F5EC" w14:textId="77777777" w:rsidR="0088211A" w:rsidRPr="00E067AA" w:rsidRDefault="0088211A" w:rsidP="00D61AD7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843" w:type="dxa"/>
            <w:shd w:val="clear" w:color="auto" w:fill="F3F3F3"/>
          </w:tcPr>
          <w:p w14:paraId="7B5F179A" w14:textId="77777777" w:rsidR="0088211A" w:rsidRPr="00E067AA" w:rsidRDefault="0088211A" w:rsidP="00D61AD7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842" w:type="dxa"/>
            <w:shd w:val="clear" w:color="auto" w:fill="F3F3F3"/>
          </w:tcPr>
          <w:p w14:paraId="0A1969FC" w14:textId="77777777" w:rsidR="0088211A" w:rsidRPr="00E067AA" w:rsidRDefault="0088211A" w:rsidP="00D61AD7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808" w:type="dxa"/>
            <w:shd w:val="clear" w:color="auto" w:fill="F3F3F3"/>
          </w:tcPr>
          <w:p w14:paraId="0C039655" w14:textId="77777777" w:rsidR="0088211A" w:rsidRPr="00E067AA" w:rsidRDefault="0088211A" w:rsidP="00D61AD7">
            <w:pPr>
              <w:spacing w:before="20" w:after="20"/>
              <w:rPr>
                <w:i/>
                <w:lang w:val="es-ES"/>
              </w:rPr>
            </w:pPr>
          </w:p>
        </w:tc>
      </w:tr>
      <w:tr w:rsidR="005733A5" w:rsidRPr="0069390C" w14:paraId="1C594CA3" w14:textId="77777777" w:rsidTr="005F6C47">
        <w:tc>
          <w:tcPr>
            <w:tcW w:w="2235" w:type="dxa"/>
            <w:shd w:val="clear" w:color="auto" w:fill="A6A6A6"/>
          </w:tcPr>
          <w:p w14:paraId="386D0BE5" w14:textId="4164BA36" w:rsidR="0088211A" w:rsidRPr="00015712" w:rsidRDefault="00E067AA" w:rsidP="00E067AA">
            <w:pPr>
              <w:spacing w:before="20" w:after="20"/>
              <w:rPr>
                <w:i/>
                <w:lang w:val="es-ES_tradnl"/>
              </w:rPr>
            </w:pPr>
            <w:r w:rsidRPr="00015712">
              <w:rPr>
                <w:lang w:val="es-ES_tradnl"/>
              </w:rPr>
              <w:t>Establecer el valor de la transferencia</w:t>
            </w:r>
          </w:p>
        </w:tc>
        <w:tc>
          <w:tcPr>
            <w:tcW w:w="2126" w:type="dxa"/>
            <w:shd w:val="clear" w:color="auto" w:fill="F3F3F3"/>
          </w:tcPr>
          <w:p w14:paraId="4A6E284F" w14:textId="77777777" w:rsidR="0088211A" w:rsidRPr="00E067AA" w:rsidRDefault="0088211A" w:rsidP="00D61AD7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843" w:type="dxa"/>
            <w:shd w:val="clear" w:color="auto" w:fill="F3F3F3"/>
          </w:tcPr>
          <w:p w14:paraId="7F0D3503" w14:textId="77777777" w:rsidR="0088211A" w:rsidRPr="00E067AA" w:rsidRDefault="0088211A" w:rsidP="00D61AD7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842" w:type="dxa"/>
            <w:shd w:val="clear" w:color="auto" w:fill="F3F3F3"/>
          </w:tcPr>
          <w:p w14:paraId="38B7BDE2" w14:textId="77777777" w:rsidR="0088211A" w:rsidRPr="00E067AA" w:rsidRDefault="0088211A" w:rsidP="00D61AD7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808" w:type="dxa"/>
            <w:shd w:val="clear" w:color="auto" w:fill="F3F3F3"/>
          </w:tcPr>
          <w:p w14:paraId="7BFC6270" w14:textId="77777777" w:rsidR="0088211A" w:rsidRPr="00E067AA" w:rsidRDefault="0088211A" w:rsidP="00D61AD7">
            <w:pPr>
              <w:spacing w:before="20" w:after="20"/>
              <w:rPr>
                <w:i/>
                <w:lang w:val="es-ES"/>
              </w:rPr>
            </w:pPr>
          </w:p>
        </w:tc>
      </w:tr>
      <w:tr w:rsidR="005733A5" w:rsidRPr="00E54EEA" w14:paraId="564802A3" w14:textId="77777777" w:rsidTr="005F6C47">
        <w:tc>
          <w:tcPr>
            <w:tcW w:w="2235" w:type="dxa"/>
            <w:shd w:val="clear" w:color="auto" w:fill="A6A6A6"/>
          </w:tcPr>
          <w:p w14:paraId="28DDDCE9" w14:textId="436A4E0B" w:rsidR="0088211A" w:rsidRPr="00015712" w:rsidRDefault="00E067AA" w:rsidP="00E067AA">
            <w:pPr>
              <w:spacing w:before="20" w:after="20"/>
              <w:rPr>
                <w:i/>
                <w:lang w:val="es-ES_tradnl"/>
              </w:rPr>
            </w:pPr>
            <w:r w:rsidRPr="00015712">
              <w:rPr>
                <w:lang w:val="es-ES_tradnl"/>
              </w:rPr>
              <w:t>Evaluación del mercado</w:t>
            </w:r>
          </w:p>
        </w:tc>
        <w:tc>
          <w:tcPr>
            <w:tcW w:w="2126" w:type="dxa"/>
            <w:shd w:val="clear" w:color="auto" w:fill="F3F3F3"/>
          </w:tcPr>
          <w:p w14:paraId="6270AC5C" w14:textId="77777777" w:rsidR="0088211A" w:rsidRPr="00E54EEA" w:rsidRDefault="0088211A" w:rsidP="00D61AD7">
            <w:pPr>
              <w:spacing w:before="20" w:after="20"/>
              <w:rPr>
                <w:i/>
              </w:rPr>
            </w:pPr>
          </w:p>
        </w:tc>
        <w:tc>
          <w:tcPr>
            <w:tcW w:w="1843" w:type="dxa"/>
            <w:shd w:val="clear" w:color="auto" w:fill="F3F3F3"/>
          </w:tcPr>
          <w:p w14:paraId="17913DD6" w14:textId="77777777" w:rsidR="0088211A" w:rsidRPr="00E54EEA" w:rsidRDefault="0088211A" w:rsidP="00D61AD7">
            <w:pPr>
              <w:spacing w:before="20" w:after="20"/>
              <w:rPr>
                <w:i/>
              </w:rPr>
            </w:pPr>
          </w:p>
        </w:tc>
        <w:tc>
          <w:tcPr>
            <w:tcW w:w="1842" w:type="dxa"/>
            <w:shd w:val="clear" w:color="auto" w:fill="F3F3F3"/>
          </w:tcPr>
          <w:p w14:paraId="39FDEA3F" w14:textId="77777777" w:rsidR="0088211A" w:rsidRPr="00E54EEA" w:rsidRDefault="0088211A" w:rsidP="00D61AD7">
            <w:pPr>
              <w:spacing w:before="20" w:after="20"/>
              <w:rPr>
                <w:i/>
              </w:rPr>
            </w:pPr>
          </w:p>
        </w:tc>
        <w:tc>
          <w:tcPr>
            <w:tcW w:w="1808" w:type="dxa"/>
            <w:shd w:val="clear" w:color="auto" w:fill="F3F3F3"/>
          </w:tcPr>
          <w:p w14:paraId="5D1052DE" w14:textId="77777777" w:rsidR="0088211A" w:rsidRPr="00E54EEA" w:rsidRDefault="0088211A" w:rsidP="00D61AD7">
            <w:pPr>
              <w:spacing w:before="20" w:after="20"/>
              <w:rPr>
                <w:i/>
              </w:rPr>
            </w:pPr>
          </w:p>
        </w:tc>
      </w:tr>
      <w:tr w:rsidR="005733A5" w:rsidRPr="0069390C" w14:paraId="35F9425C" w14:textId="77777777" w:rsidTr="005F6C47">
        <w:tc>
          <w:tcPr>
            <w:tcW w:w="2235" w:type="dxa"/>
            <w:shd w:val="clear" w:color="auto" w:fill="A6A6A6"/>
          </w:tcPr>
          <w:p w14:paraId="239A07F3" w14:textId="1DDD1110" w:rsidR="0088211A" w:rsidRPr="00015712" w:rsidRDefault="00E067AA" w:rsidP="00E067AA">
            <w:pPr>
              <w:spacing w:before="20" w:after="20"/>
              <w:rPr>
                <w:i/>
                <w:lang w:val="es-ES_tradnl"/>
              </w:rPr>
            </w:pPr>
            <w:r w:rsidRPr="00015712">
              <w:rPr>
                <w:lang w:val="es-ES_tradnl"/>
              </w:rPr>
              <w:t>Selección de</w:t>
            </w:r>
            <w:r w:rsidR="005551F0" w:rsidRPr="00015712">
              <w:rPr>
                <w:lang w:val="es-ES_tradnl"/>
              </w:rPr>
              <w:t>l</w:t>
            </w:r>
            <w:r w:rsidRPr="00015712">
              <w:rPr>
                <w:lang w:val="es-ES_tradnl"/>
              </w:rPr>
              <w:t xml:space="preserve"> proveedor de servicios</w:t>
            </w:r>
          </w:p>
        </w:tc>
        <w:tc>
          <w:tcPr>
            <w:tcW w:w="2126" w:type="dxa"/>
            <w:shd w:val="clear" w:color="auto" w:fill="F3F3F3"/>
          </w:tcPr>
          <w:p w14:paraId="672FBBDC" w14:textId="77777777" w:rsidR="0088211A" w:rsidRPr="00E067AA" w:rsidRDefault="0088211A" w:rsidP="00D61AD7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843" w:type="dxa"/>
            <w:shd w:val="clear" w:color="auto" w:fill="F3F3F3"/>
          </w:tcPr>
          <w:p w14:paraId="2D46C4CF" w14:textId="77777777" w:rsidR="0088211A" w:rsidRPr="00E067AA" w:rsidRDefault="0088211A" w:rsidP="00D61AD7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842" w:type="dxa"/>
            <w:shd w:val="clear" w:color="auto" w:fill="F3F3F3"/>
          </w:tcPr>
          <w:p w14:paraId="0EF90388" w14:textId="77777777" w:rsidR="0088211A" w:rsidRPr="00E067AA" w:rsidRDefault="0088211A" w:rsidP="00D61AD7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808" w:type="dxa"/>
            <w:shd w:val="clear" w:color="auto" w:fill="F3F3F3"/>
          </w:tcPr>
          <w:p w14:paraId="02093314" w14:textId="77777777" w:rsidR="0088211A" w:rsidRPr="00E067AA" w:rsidRDefault="0088211A" w:rsidP="00D61AD7">
            <w:pPr>
              <w:spacing w:before="20" w:after="20"/>
              <w:rPr>
                <w:i/>
                <w:lang w:val="es-ES"/>
              </w:rPr>
            </w:pPr>
          </w:p>
        </w:tc>
      </w:tr>
      <w:tr w:rsidR="005733A5" w:rsidRPr="00E54EEA" w14:paraId="14FEA3D9" w14:textId="77777777" w:rsidTr="005F6C47">
        <w:tc>
          <w:tcPr>
            <w:tcW w:w="2235" w:type="dxa"/>
            <w:shd w:val="clear" w:color="auto" w:fill="A6A6A6"/>
          </w:tcPr>
          <w:p w14:paraId="367390D3" w14:textId="65AF3346" w:rsidR="0088211A" w:rsidRPr="00015712" w:rsidRDefault="00E067AA" w:rsidP="00E067AA">
            <w:pPr>
              <w:spacing w:before="20" w:after="20"/>
              <w:rPr>
                <w:i/>
                <w:lang w:val="es-ES_tradnl"/>
              </w:rPr>
            </w:pPr>
            <w:r w:rsidRPr="00015712">
              <w:rPr>
                <w:lang w:val="es-ES_tradnl"/>
              </w:rPr>
              <w:t>Auditoria de r</w:t>
            </w:r>
            <w:r w:rsidR="0088211A" w:rsidRPr="00015712">
              <w:rPr>
                <w:lang w:val="es-ES_tradnl"/>
              </w:rPr>
              <w:t>i</w:t>
            </w:r>
            <w:r w:rsidRPr="00015712">
              <w:rPr>
                <w:lang w:val="es-ES_tradnl"/>
              </w:rPr>
              <w:t>e</w:t>
            </w:r>
            <w:r w:rsidR="0088211A" w:rsidRPr="00015712">
              <w:rPr>
                <w:lang w:val="es-ES_tradnl"/>
              </w:rPr>
              <w:t>s</w:t>
            </w:r>
            <w:r w:rsidRPr="00015712">
              <w:rPr>
                <w:lang w:val="es-ES_tradnl"/>
              </w:rPr>
              <w:t>gos</w:t>
            </w:r>
          </w:p>
        </w:tc>
        <w:tc>
          <w:tcPr>
            <w:tcW w:w="2126" w:type="dxa"/>
            <w:shd w:val="clear" w:color="auto" w:fill="F3F3F3"/>
          </w:tcPr>
          <w:p w14:paraId="0A87D17D" w14:textId="77777777" w:rsidR="0088211A" w:rsidRPr="00E54EEA" w:rsidRDefault="0088211A" w:rsidP="00D61AD7">
            <w:pPr>
              <w:spacing w:before="20" w:after="20"/>
              <w:rPr>
                <w:i/>
              </w:rPr>
            </w:pPr>
          </w:p>
        </w:tc>
        <w:tc>
          <w:tcPr>
            <w:tcW w:w="1843" w:type="dxa"/>
            <w:shd w:val="clear" w:color="auto" w:fill="F3F3F3"/>
          </w:tcPr>
          <w:p w14:paraId="177C4BEE" w14:textId="77777777" w:rsidR="0088211A" w:rsidRPr="00E54EEA" w:rsidRDefault="0088211A" w:rsidP="00D61AD7">
            <w:pPr>
              <w:spacing w:before="20" w:after="20"/>
              <w:rPr>
                <w:i/>
              </w:rPr>
            </w:pPr>
          </w:p>
        </w:tc>
        <w:tc>
          <w:tcPr>
            <w:tcW w:w="1842" w:type="dxa"/>
            <w:shd w:val="clear" w:color="auto" w:fill="F3F3F3"/>
          </w:tcPr>
          <w:p w14:paraId="1679A0B0" w14:textId="77777777" w:rsidR="0088211A" w:rsidRPr="00E54EEA" w:rsidRDefault="0088211A" w:rsidP="00D61AD7">
            <w:pPr>
              <w:spacing w:before="20" w:after="20"/>
              <w:rPr>
                <w:i/>
              </w:rPr>
            </w:pPr>
          </w:p>
        </w:tc>
        <w:tc>
          <w:tcPr>
            <w:tcW w:w="1808" w:type="dxa"/>
            <w:shd w:val="clear" w:color="auto" w:fill="F3F3F3"/>
          </w:tcPr>
          <w:p w14:paraId="53162E64" w14:textId="77777777" w:rsidR="0088211A" w:rsidRPr="00E54EEA" w:rsidRDefault="0088211A" w:rsidP="00D61AD7">
            <w:pPr>
              <w:spacing w:before="20" w:after="20"/>
              <w:rPr>
                <w:i/>
              </w:rPr>
            </w:pPr>
          </w:p>
        </w:tc>
      </w:tr>
      <w:tr w:rsidR="005733A5" w:rsidRPr="00E54EEA" w14:paraId="0E85D942" w14:textId="77777777" w:rsidTr="005F6C47">
        <w:tc>
          <w:tcPr>
            <w:tcW w:w="2235" w:type="dxa"/>
            <w:shd w:val="clear" w:color="auto" w:fill="A6A6A6"/>
          </w:tcPr>
          <w:p w14:paraId="07E0766E" w14:textId="4699A2E9" w:rsidR="0088211A" w:rsidRPr="00015712" w:rsidRDefault="00E067AA" w:rsidP="00E067AA">
            <w:pPr>
              <w:spacing w:before="20" w:after="20"/>
              <w:rPr>
                <w:i/>
                <w:lang w:val="es-ES_tradnl"/>
              </w:rPr>
            </w:pPr>
            <w:r w:rsidRPr="00015712">
              <w:rPr>
                <w:lang w:val="es-ES_tradnl"/>
              </w:rPr>
              <w:t>Registro de b</w:t>
            </w:r>
            <w:r w:rsidR="0088211A" w:rsidRPr="00015712">
              <w:rPr>
                <w:lang w:val="es-ES_tradnl"/>
              </w:rPr>
              <w:t>eneficiar</w:t>
            </w:r>
            <w:r w:rsidRPr="00015712">
              <w:rPr>
                <w:lang w:val="es-ES_tradnl"/>
              </w:rPr>
              <w:t>ios</w:t>
            </w:r>
            <w:r w:rsidR="0088211A" w:rsidRPr="00015712">
              <w:rPr>
                <w:lang w:val="es-ES_tradnl"/>
              </w:rPr>
              <w:t xml:space="preserve"> </w:t>
            </w:r>
          </w:p>
        </w:tc>
        <w:tc>
          <w:tcPr>
            <w:tcW w:w="2126" w:type="dxa"/>
            <w:shd w:val="clear" w:color="auto" w:fill="F3F3F3"/>
          </w:tcPr>
          <w:p w14:paraId="492C0F16" w14:textId="77777777" w:rsidR="0088211A" w:rsidRPr="00E54EEA" w:rsidRDefault="0088211A" w:rsidP="00D61AD7">
            <w:pPr>
              <w:spacing w:before="20" w:after="20"/>
              <w:rPr>
                <w:i/>
              </w:rPr>
            </w:pPr>
          </w:p>
        </w:tc>
        <w:tc>
          <w:tcPr>
            <w:tcW w:w="1843" w:type="dxa"/>
            <w:shd w:val="clear" w:color="auto" w:fill="F3F3F3"/>
          </w:tcPr>
          <w:p w14:paraId="3A4B9084" w14:textId="77777777" w:rsidR="0088211A" w:rsidRPr="00E54EEA" w:rsidRDefault="0088211A" w:rsidP="00D61AD7">
            <w:pPr>
              <w:spacing w:before="20" w:after="20"/>
              <w:rPr>
                <w:i/>
              </w:rPr>
            </w:pPr>
          </w:p>
        </w:tc>
        <w:tc>
          <w:tcPr>
            <w:tcW w:w="1842" w:type="dxa"/>
            <w:shd w:val="clear" w:color="auto" w:fill="F3F3F3"/>
          </w:tcPr>
          <w:p w14:paraId="7FF3E367" w14:textId="77777777" w:rsidR="0088211A" w:rsidRPr="00E54EEA" w:rsidRDefault="0088211A" w:rsidP="00D61AD7">
            <w:pPr>
              <w:spacing w:before="20" w:after="20"/>
              <w:rPr>
                <w:i/>
              </w:rPr>
            </w:pPr>
          </w:p>
        </w:tc>
        <w:tc>
          <w:tcPr>
            <w:tcW w:w="1808" w:type="dxa"/>
            <w:shd w:val="clear" w:color="auto" w:fill="F3F3F3"/>
          </w:tcPr>
          <w:p w14:paraId="4A67E340" w14:textId="77777777" w:rsidR="0088211A" w:rsidRPr="00E54EEA" w:rsidRDefault="0088211A" w:rsidP="00D61AD7">
            <w:pPr>
              <w:spacing w:before="20" w:after="20"/>
              <w:rPr>
                <w:i/>
              </w:rPr>
            </w:pPr>
          </w:p>
        </w:tc>
      </w:tr>
      <w:tr w:rsidR="005733A5" w:rsidRPr="00E54EEA" w14:paraId="195FC3E9" w14:textId="77777777" w:rsidTr="005F6C47">
        <w:tc>
          <w:tcPr>
            <w:tcW w:w="2235" w:type="dxa"/>
            <w:shd w:val="clear" w:color="auto" w:fill="A6A6A6"/>
          </w:tcPr>
          <w:p w14:paraId="3FEC65A2" w14:textId="0CA54CBA" w:rsidR="0088211A" w:rsidRPr="00015712" w:rsidRDefault="00E067AA" w:rsidP="005551F0">
            <w:pPr>
              <w:spacing w:before="20" w:after="20"/>
              <w:rPr>
                <w:i/>
                <w:lang w:val="es-ES_tradnl"/>
              </w:rPr>
            </w:pPr>
            <w:r w:rsidRPr="00015712">
              <w:rPr>
                <w:lang w:val="es-ES_tradnl"/>
              </w:rPr>
              <w:t xml:space="preserve">Contratación de terceros </w:t>
            </w:r>
          </w:p>
        </w:tc>
        <w:tc>
          <w:tcPr>
            <w:tcW w:w="2126" w:type="dxa"/>
            <w:shd w:val="clear" w:color="auto" w:fill="F3F3F3"/>
          </w:tcPr>
          <w:p w14:paraId="6B03DB94" w14:textId="77777777" w:rsidR="0088211A" w:rsidRPr="00E54EEA" w:rsidRDefault="0088211A" w:rsidP="00D61AD7">
            <w:pPr>
              <w:spacing w:before="20" w:after="20"/>
              <w:rPr>
                <w:i/>
              </w:rPr>
            </w:pPr>
          </w:p>
        </w:tc>
        <w:tc>
          <w:tcPr>
            <w:tcW w:w="1843" w:type="dxa"/>
            <w:shd w:val="clear" w:color="auto" w:fill="F3F3F3"/>
          </w:tcPr>
          <w:p w14:paraId="0E0BB3E8" w14:textId="77777777" w:rsidR="0088211A" w:rsidRPr="00E54EEA" w:rsidRDefault="0088211A" w:rsidP="00D61AD7">
            <w:pPr>
              <w:spacing w:before="20" w:after="20"/>
              <w:rPr>
                <w:i/>
              </w:rPr>
            </w:pPr>
          </w:p>
        </w:tc>
        <w:tc>
          <w:tcPr>
            <w:tcW w:w="1842" w:type="dxa"/>
            <w:shd w:val="clear" w:color="auto" w:fill="F3F3F3"/>
          </w:tcPr>
          <w:p w14:paraId="72017769" w14:textId="77777777" w:rsidR="0088211A" w:rsidRPr="00E54EEA" w:rsidRDefault="0088211A" w:rsidP="00D61AD7">
            <w:pPr>
              <w:spacing w:before="20" w:after="20"/>
              <w:rPr>
                <w:i/>
              </w:rPr>
            </w:pPr>
          </w:p>
        </w:tc>
        <w:tc>
          <w:tcPr>
            <w:tcW w:w="1808" w:type="dxa"/>
            <w:shd w:val="clear" w:color="auto" w:fill="F3F3F3"/>
          </w:tcPr>
          <w:p w14:paraId="3D4EF6D3" w14:textId="77777777" w:rsidR="0088211A" w:rsidRPr="00E54EEA" w:rsidRDefault="0088211A" w:rsidP="00D61AD7">
            <w:pPr>
              <w:spacing w:before="20" w:after="20"/>
              <w:rPr>
                <w:i/>
              </w:rPr>
            </w:pPr>
          </w:p>
        </w:tc>
      </w:tr>
      <w:tr w:rsidR="005733A5" w:rsidRPr="0069390C" w14:paraId="5FD83255" w14:textId="77777777" w:rsidTr="005F6C47">
        <w:tc>
          <w:tcPr>
            <w:tcW w:w="2235" w:type="dxa"/>
            <w:shd w:val="clear" w:color="auto" w:fill="A6A6A6"/>
          </w:tcPr>
          <w:p w14:paraId="36186974" w14:textId="55246A2B" w:rsidR="0088211A" w:rsidRPr="00015712" w:rsidRDefault="0088211A" w:rsidP="00E067AA">
            <w:pPr>
              <w:spacing w:before="20" w:after="20"/>
              <w:rPr>
                <w:i/>
                <w:lang w:val="es-ES_tradnl"/>
              </w:rPr>
            </w:pPr>
            <w:r w:rsidRPr="00015712">
              <w:rPr>
                <w:lang w:val="es-ES_tradnl"/>
              </w:rPr>
              <w:t>Valida</w:t>
            </w:r>
            <w:r w:rsidR="00E067AA" w:rsidRPr="00015712">
              <w:rPr>
                <w:lang w:val="es-ES_tradnl"/>
              </w:rPr>
              <w:t xml:space="preserve">ción de las </w:t>
            </w:r>
            <w:r w:rsidRPr="00015712">
              <w:rPr>
                <w:lang w:val="es-ES_tradnl"/>
              </w:rPr>
              <w:t>transfer</w:t>
            </w:r>
            <w:r w:rsidR="00E067AA" w:rsidRPr="00015712">
              <w:rPr>
                <w:lang w:val="es-ES_tradnl"/>
              </w:rPr>
              <w:t xml:space="preserve">encias a </w:t>
            </w:r>
            <w:r w:rsidR="0069390C" w:rsidRPr="00015712">
              <w:rPr>
                <w:lang w:val="es-ES_tradnl"/>
              </w:rPr>
              <w:t>los beneficiarios</w:t>
            </w:r>
          </w:p>
        </w:tc>
        <w:tc>
          <w:tcPr>
            <w:tcW w:w="2126" w:type="dxa"/>
            <w:shd w:val="clear" w:color="auto" w:fill="F3F3F3"/>
          </w:tcPr>
          <w:p w14:paraId="619249FA" w14:textId="77777777" w:rsidR="0088211A" w:rsidRPr="00E067AA" w:rsidRDefault="0088211A" w:rsidP="00D61AD7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843" w:type="dxa"/>
            <w:shd w:val="clear" w:color="auto" w:fill="F3F3F3"/>
          </w:tcPr>
          <w:p w14:paraId="442CD68F" w14:textId="77777777" w:rsidR="0088211A" w:rsidRPr="00E067AA" w:rsidRDefault="0088211A" w:rsidP="00D61AD7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842" w:type="dxa"/>
            <w:shd w:val="clear" w:color="auto" w:fill="F3F3F3"/>
          </w:tcPr>
          <w:p w14:paraId="07300485" w14:textId="77777777" w:rsidR="0088211A" w:rsidRPr="00E067AA" w:rsidRDefault="0088211A" w:rsidP="00D61AD7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808" w:type="dxa"/>
            <w:shd w:val="clear" w:color="auto" w:fill="F3F3F3"/>
          </w:tcPr>
          <w:p w14:paraId="582A0A41" w14:textId="77777777" w:rsidR="0088211A" w:rsidRPr="00E067AA" w:rsidRDefault="0088211A" w:rsidP="00D61AD7">
            <w:pPr>
              <w:spacing w:before="20" w:after="20"/>
              <w:rPr>
                <w:i/>
                <w:lang w:val="es-ES"/>
              </w:rPr>
            </w:pPr>
          </w:p>
        </w:tc>
      </w:tr>
      <w:tr w:rsidR="005733A5" w:rsidRPr="00E54EEA" w14:paraId="4175FFCB" w14:textId="77777777" w:rsidTr="005F6C47">
        <w:tc>
          <w:tcPr>
            <w:tcW w:w="2235" w:type="dxa"/>
            <w:shd w:val="clear" w:color="auto" w:fill="A6A6A6"/>
          </w:tcPr>
          <w:p w14:paraId="040FD51A" w14:textId="22A5AC71" w:rsidR="0088211A" w:rsidRPr="00015712" w:rsidRDefault="0088211A" w:rsidP="00E067AA">
            <w:pPr>
              <w:spacing w:before="20" w:after="20"/>
              <w:rPr>
                <w:i/>
                <w:lang w:val="es-ES_tradnl"/>
              </w:rPr>
            </w:pPr>
            <w:r w:rsidRPr="00015712">
              <w:rPr>
                <w:lang w:val="es-ES_tradnl"/>
              </w:rPr>
              <w:t>Reconcilia</w:t>
            </w:r>
            <w:r w:rsidR="00E067AA" w:rsidRPr="00015712">
              <w:rPr>
                <w:lang w:val="es-ES_tradnl"/>
              </w:rPr>
              <w:t xml:space="preserve">ción de las </w:t>
            </w:r>
            <w:r w:rsidRPr="00015712">
              <w:rPr>
                <w:lang w:val="es-ES_tradnl"/>
              </w:rPr>
              <w:t>transfer</w:t>
            </w:r>
            <w:r w:rsidR="00E067AA" w:rsidRPr="00015712">
              <w:rPr>
                <w:lang w:val="es-ES_tradnl"/>
              </w:rPr>
              <w:t>encias</w:t>
            </w:r>
          </w:p>
        </w:tc>
        <w:tc>
          <w:tcPr>
            <w:tcW w:w="2126" w:type="dxa"/>
            <w:shd w:val="clear" w:color="auto" w:fill="F3F3F3"/>
          </w:tcPr>
          <w:p w14:paraId="6E6F0156" w14:textId="77777777" w:rsidR="0088211A" w:rsidRPr="00E54EEA" w:rsidRDefault="0088211A" w:rsidP="00D61AD7">
            <w:pPr>
              <w:spacing w:before="20" w:after="20"/>
              <w:rPr>
                <w:i/>
              </w:rPr>
            </w:pPr>
          </w:p>
        </w:tc>
        <w:tc>
          <w:tcPr>
            <w:tcW w:w="1843" w:type="dxa"/>
            <w:shd w:val="clear" w:color="auto" w:fill="F3F3F3"/>
          </w:tcPr>
          <w:p w14:paraId="3393379B" w14:textId="77777777" w:rsidR="0088211A" w:rsidRPr="00E54EEA" w:rsidRDefault="0088211A" w:rsidP="00D61AD7">
            <w:pPr>
              <w:spacing w:before="20" w:after="20"/>
              <w:rPr>
                <w:i/>
              </w:rPr>
            </w:pPr>
          </w:p>
        </w:tc>
        <w:tc>
          <w:tcPr>
            <w:tcW w:w="1842" w:type="dxa"/>
            <w:shd w:val="clear" w:color="auto" w:fill="F3F3F3"/>
          </w:tcPr>
          <w:p w14:paraId="31C8F66C" w14:textId="77777777" w:rsidR="0088211A" w:rsidRPr="00E54EEA" w:rsidRDefault="0088211A" w:rsidP="00D61AD7">
            <w:pPr>
              <w:spacing w:before="20" w:after="20"/>
              <w:rPr>
                <w:i/>
              </w:rPr>
            </w:pPr>
          </w:p>
        </w:tc>
        <w:tc>
          <w:tcPr>
            <w:tcW w:w="1808" w:type="dxa"/>
            <w:shd w:val="clear" w:color="auto" w:fill="F3F3F3"/>
          </w:tcPr>
          <w:p w14:paraId="05A26128" w14:textId="77777777" w:rsidR="0088211A" w:rsidRPr="00E54EEA" w:rsidRDefault="0088211A" w:rsidP="00D61AD7">
            <w:pPr>
              <w:spacing w:before="20" w:after="20"/>
              <w:rPr>
                <w:i/>
              </w:rPr>
            </w:pPr>
          </w:p>
        </w:tc>
      </w:tr>
      <w:tr w:rsidR="005733A5" w:rsidRPr="0069390C" w14:paraId="58BB220A" w14:textId="77777777" w:rsidTr="005F6C47">
        <w:tc>
          <w:tcPr>
            <w:tcW w:w="2235" w:type="dxa"/>
            <w:shd w:val="clear" w:color="auto" w:fill="A6A6A6"/>
          </w:tcPr>
          <w:p w14:paraId="66E2D46D" w14:textId="68E8582B" w:rsidR="0088211A" w:rsidRPr="00015712" w:rsidRDefault="00E067AA" w:rsidP="005733A5">
            <w:pPr>
              <w:spacing w:before="20" w:after="20"/>
              <w:rPr>
                <w:i/>
                <w:lang w:val="es-ES_tradnl"/>
              </w:rPr>
            </w:pPr>
            <w:r w:rsidRPr="00015712">
              <w:rPr>
                <w:lang w:val="es-ES_tradnl"/>
              </w:rPr>
              <w:t xml:space="preserve">Seguimiento de </w:t>
            </w:r>
            <w:r w:rsidR="005551F0" w:rsidRPr="00015712">
              <w:rPr>
                <w:lang w:val="es-ES_tradnl"/>
              </w:rPr>
              <w:t xml:space="preserve">los mecanismos de </w:t>
            </w:r>
            <w:r w:rsidR="005551F0" w:rsidRPr="00015712">
              <w:rPr>
                <w:lang w:val="es-ES_tradnl"/>
              </w:rPr>
              <w:lastRenderedPageBreak/>
              <w:t>retro</w:t>
            </w:r>
            <w:r w:rsidR="005733A5" w:rsidRPr="00015712">
              <w:rPr>
                <w:lang w:val="es-ES_tradnl"/>
              </w:rPr>
              <w:t>alimentación y respuesta</w:t>
            </w:r>
          </w:p>
        </w:tc>
        <w:tc>
          <w:tcPr>
            <w:tcW w:w="2126" w:type="dxa"/>
            <w:shd w:val="clear" w:color="auto" w:fill="F3F3F3"/>
          </w:tcPr>
          <w:p w14:paraId="26FC56F4" w14:textId="77777777" w:rsidR="0088211A" w:rsidRPr="005733A5" w:rsidRDefault="0088211A" w:rsidP="00D61AD7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843" w:type="dxa"/>
            <w:shd w:val="clear" w:color="auto" w:fill="F3F3F3"/>
          </w:tcPr>
          <w:p w14:paraId="39A0A40F" w14:textId="77777777" w:rsidR="0088211A" w:rsidRPr="005733A5" w:rsidRDefault="0088211A" w:rsidP="00D61AD7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842" w:type="dxa"/>
            <w:shd w:val="clear" w:color="auto" w:fill="F3F3F3"/>
          </w:tcPr>
          <w:p w14:paraId="62C2AFFC" w14:textId="77777777" w:rsidR="0088211A" w:rsidRPr="005733A5" w:rsidRDefault="0088211A" w:rsidP="00D61AD7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808" w:type="dxa"/>
            <w:shd w:val="clear" w:color="auto" w:fill="F3F3F3"/>
          </w:tcPr>
          <w:p w14:paraId="61E63CE6" w14:textId="77777777" w:rsidR="0088211A" w:rsidRPr="005733A5" w:rsidRDefault="0088211A" w:rsidP="00D61AD7">
            <w:pPr>
              <w:spacing w:before="20" w:after="20"/>
              <w:rPr>
                <w:i/>
                <w:lang w:val="es-ES"/>
              </w:rPr>
            </w:pPr>
          </w:p>
        </w:tc>
      </w:tr>
      <w:tr w:rsidR="005733A5" w:rsidRPr="0069390C" w14:paraId="6E7A80AF" w14:textId="77777777" w:rsidTr="005F6C47">
        <w:tc>
          <w:tcPr>
            <w:tcW w:w="2235" w:type="dxa"/>
            <w:shd w:val="clear" w:color="auto" w:fill="A6A6A6"/>
          </w:tcPr>
          <w:p w14:paraId="1E15B559" w14:textId="277A385C" w:rsidR="0088211A" w:rsidRPr="005733A5" w:rsidRDefault="005733A5" w:rsidP="005733A5">
            <w:pPr>
              <w:spacing w:before="20" w:after="20"/>
              <w:rPr>
                <w:i/>
                <w:lang w:val="es-ES"/>
              </w:rPr>
            </w:pPr>
            <w:r w:rsidRPr="005733A5">
              <w:rPr>
                <w:lang w:val="es-ES"/>
              </w:rPr>
              <w:lastRenderedPageBreak/>
              <w:t>Monitoreo de los precios del mercado</w:t>
            </w:r>
          </w:p>
        </w:tc>
        <w:tc>
          <w:tcPr>
            <w:tcW w:w="2126" w:type="dxa"/>
            <w:shd w:val="clear" w:color="auto" w:fill="F3F3F3"/>
          </w:tcPr>
          <w:p w14:paraId="41DAD765" w14:textId="77777777" w:rsidR="0088211A" w:rsidRPr="005733A5" w:rsidRDefault="0088211A" w:rsidP="00D61AD7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843" w:type="dxa"/>
            <w:shd w:val="clear" w:color="auto" w:fill="F3F3F3"/>
          </w:tcPr>
          <w:p w14:paraId="03862326" w14:textId="77777777" w:rsidR="0088211A" w:rsidRPr="005733A5" w:rsidRDefault="0088211A" w:rsidP="00D61AD7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842" w:type="dxa"/>
            <w:shd w:val="clear" w:color="auto" w:fill="F3F3F3"/>
          </w:tcPr>
          <w:p w14:paraId="4BFF1A08" w14:textId="77777777" w:rsidR="0088211A" w:rsidRPr="005733A5" w:rsidRDefault="0088211A" w:rsidP="00D61AD7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808" w:type="dxa"/>
            <w:shd w:val="clear" w:color="auto" w:fill="F3F3F3"/>
          </w:tcPr>
          <w:p w14:paraId="14968BB6" w14:textId="77777777" w:rsidR="0088211A" w:rsidRPr="005733A5" w:rsidRDefault="0088211A" w:rsidP="00D61AD7">
            <w:pPr>
              <w:spacing w:before="20" w:after="20"/>
              <w:rPr>
                <w:i/>
                <w:lang w:val="es-ES"/>
              </w:rPr>
            </w:pPr>
          </w:p>
        </w:tc>
      </w:tr>
      <w:tr w:rsidR="005733A5" w:rsidRPr="00E54EEA" w14:paraId="1D1019DE" w14:textId="77777777" w:rsidTr="005F6C47">
        <w:tc>
          <w:tcPr>
            <w:tcW w:w="2235" w:type="dxa"/>
            <w:shd w:val="clear" w:color="auto" w:fill="A6A6A6"/>
          </w:tcPr>
          <w:p w14:paraId="6CA7A2EC" w14:textId="4FC05C68" w:rsidR="0088211A" w:rsidRPr="00E54EEA" w:rsidRDefault="005733A5" w:rsidP="00D61AD7">
            <w:pPr>
              <w:spacing w:before="20" w:after="20"/>
              <w:rPr>
                <w:i/>
              </w:rPr>
            </w:pPr>
            <w:proofErr w:type="spellStart"/>
            <w:r>
              <w:t>Otros</w:t>
            </w:r>
            <w:proofErr w:type="spellEnd"/>
          </w:p>
        </w:tc>
        <w:tc>
          <w:tcPr>
            <w:tcW w:w="2126" w:type="dxa"/>
            <w:shd w:val="clear" w:color="auto" w:fill="F3F3F3"/>
          </w:tcPr>
          <w:p w14:paraId="76222068" w14:textId="77777777" w:rsidR="0088211A" w:rsidRPr="00E54EEA" w:rsidRDefault="0088211A" w:rsidP="00D61AD7">
            <w:pPr>
              <w:spacing w:before="20" w:after="20"/>
              <w:rPr>
                <w:i/>
              </w:rPr>
            </w:pPr>
          </w:p>
        </w:tc>
        <w:tc>
          <w:tcPr>
            <w:tcW w:w="1843" w:type="dxa"/>
            <w:shd w:val="clear" w:color="auto" w:fill="F3F3F3"/>
          </w:tcPr>
          <w:p w14:paraId="16422C8C" w14:textId="77777777" w:rsidR="0088211A" w:rsidRPr="00E54EEA" w:rsidRDefault="0088211A" w:rsidP="00D61AD7">
            <w:pPr>
              <w:spacing w:before="20" w:after="20"/>
              <w:rPr>
                <w:i/>
              </w:rPr>
            </w:pPr>
          </w:p>
        </w:tc>
        <w:tc>
          <w:tcPr>
            <w:tcW w:w="1842" w:type="dxa"/>
            <w:shd w:val="clear" w:color="auto" w:fill="F3F3F3"/>
          </w:tcPr>
          <w:p w14:paraId="03B3A698" w14:textId="77777777" w:rsidR="0088211A" w:rsidRPr="00E54EEA" w:rsidRDefault="0088211A" w:rsidP="00D61AD7">
            <w:pPr>
              <w:spacing w:before="20" w:after="20"/>
              <w:rPr>
                <w:i/>
              </w:rPr>
            </w:pPr>
          </w:p>
        </w:tc>
        <w:tc>
          <w:tcPr>
            <w:tcW w:w="1808" w:type="dxa"/>
            <w:shd w:val="clear" w:color="auto" w:fill="F3F3F3"/>
          </w:tcPr>
          <w:p w14:paraId="1E0ABD62" w14:textId="77777777" w:rsidR="0088211A" w:rsidRPr="00E54EEA" w:rsidRDefault="0088211A" w:rsidP="00D61AD7">
            <w:pPr>
              <w:spacing w:before="20" w:after="20"/>
              <w:rPr>
                <w:i/>
              </w:rPr>
            </w:pPr>
          </w:p>
        </w:tc>
      </w:tr>
    </w:tbl>
    <w:p w14:paraId="11C4ABF3" w14:textId="46F05BE7" w:rsidR="00996396" w:rsidRPr="005733A5" w:rsidRDefault="005733A5" w:rsidP="00D76C8D">
      <w:pPr>
        <w:pStyle w:val="Heading3"/>
        <w:keepLines/>
        <w:rPr>
          <w:lang w:val="es-ES"/>
        </w:rPr>
      </w:pPr>
      <w:r w:rsidRPr="005733A5">
        <w:rPr>
          <w:lang w:val="es-ES"/>
        </w:rPr>
        <w:t xml:space="preserve">Transferencias de efectivo usando comerciantes </w:t>
      </w:r>
      <w:r w:rsidR="00996396" w:rsidRPr="005733A5">
        <w:rPr>
          <w:lang w:val="es-ES"/>
        </w:rPr>
        <w:t>(c</w:t>
      </w:r>
      <w:r w:rsidRPr="005733A5">
        <w:rPr>
          <w:lang w:val="es-ES"/>
        </w:rPr>
        <w:t xml:space="preserve">upones de productos y/o efectivo) </w:t>
      </w:r>
    </w:p>
    <w:p w14:paraId="3CFCA4B8" w14:textId="44B38C78" w:rsidR="005733A5" w:rsidRPr="005733A5" w:rsidRDefault="005733A5" w:rsidP="005733A5">
      <w:pPr>
        <w:keepNext/>
        <w:keepLines/>
        <w:rPr>
          <w:i/>
          <w:lang w:val="es-ES"/>
        </w:rPr>
      </w:pPr>
      <w:r w:rsidRPr="005733A5">
        <w:rPr>
          <w:i/>
          <w:lang w:val="es-ES"/>
        </w:rPr>
        <w:t xml:space="preserve">Enumerar las principales funciones que los diferentes departamentos tendrán en la </w:t>
      </w:r>
      <w:r>
        <w:rPr>
          <w:i/>
          <w:lang w:val="es-ES"/>
        </w:rPr>
        <w:t xml:space="preserve">implementación </w:t>
      </w:r>
      <w:r w:rsidRPr="005733A5">
        <w:rPr>
          <w:i/>
          <w:lang w:val="es-ES"/>
        </w:rPr>
        <w:t>de PTE.</w:t>
      </w:r>
    </w:p>
    <w:p w14:paraId="5E067BD9" w14:textId="63283DDB" w:rsidR="00015712" w:rsidRDefault="005733A5" w:rsidP="005733A5">
      <w:pPr>
        <w:keepNext/>
        <w:keepLines/>
        <w:rPr>
          <w:i/>
          <w:lang w:val="es-ES"/>
        </w:rPr>
      </w:pPr>
      <w:r w:rsidRPr="005733A5">
        <w:rPr>
          <w:i/>
          <w:lang w:val="es-ES"/>
        </w:rPr>
        <w:t>A</w:t>
      </w:r>
      <w:r>
        <w:rPr>
          <w:i/>
          <w:lang w:val="es-ES"/>
        </w:rPr>
        <w:t>ñadir columnas si se identifica a</w:t>
      </w:r>
      <w:r w:rsidRPr="005733A5">
        <w:rPr>
          <w:i/>
          <w:lang w:val="es-ES"/>
        </w:rPr>
        <w:t xml:space="preserve"> actores adicionales. </w:t>
      </w:r>
      <w:r w:rsidR="00B971A7" w:rsidRPr="00B971A7">
        <w:rPr>
          <w:i/>
          <w:lang w:val="es-ES"/>
        </w:rPr>
        <w:t xml:space="preserve">Se puede adjuntar una tabla más detallada en los anexos a este documento (ver los documentos ICRC y IFRC CBP </w:t>
      </w:r>
      <w:proofErr w:type="spellStart"/>
      <w:r w:rsidR="00B971A7" w:rsidRPr="00B971A7">
        <w:rPr>
          <w:i/>
          <w:lang w:val="es-ES"/>
        </w:rPr>
        <w:t>SOPs</w:t>
      </w:r>
      <w:proofErr w:type="spellEnd"/>
      <w:r w:rsidR="00B971A7" w:rsidRPr="00B971A7">
        <w:rPr>
          <w:i/>
          <w:lang w:val="es-ES"/>
        </w:rPr>
        <w:t xml:space="preserve"> para ver ejemplos de diagramas, aunque estos documentos sólo están disponibles en inglés).</w:t>
      </w:r>
      <w:r w:rsidR="00446DEB">
        <w:rPr>
          <w:i/>
          <w:lang w:val="es-ES"/>
        </w:rPr>
        <w:t xml:space="preserve"> </w:t>
      </w:r>
      <w:r w:rsidR="00B971A7">
        <w:rPr>
          <w:i/>
          <w:lang w:val="es-ES"/>
        </w:rPr>
        <w:t xml:space="preserve">Añadir </w:t>
      </w:r>
      <w:r w:rsidR="00015712" w:rsidRPr="005733A5">
        <w:rPr>
          <w:i/>
          <w:lang w:val="es-ES"/>
        </w:rPr>
        <w:t xml:space="preserve">y adaptar las funciones principales </w:t>
      </w:r>
      <w:r w:rsidR="00015712">
        <w:rPr>
          <w:i/>
          <w:lang w:val="es-ES"/>
        </w:rPr>
        <w:t xml:space="preserve">que </w:t>
      </w:r>
      <w:r w:rsidR="00015712" w:rsidRPr="005733A5">
        <w:rPr>
          <w:i/>
          <w:lang w:val="es-ES"/>
        </w:rPr>
        <w:t xml:space="preserve">se indican a continuación para </w:t>
      </w:r>
      <w:r w:rsidR="00015712">
        <w:rPr>
          <w:i/>
          <w:lang w:val="es-ES"/>
        </w:rPr>
        <w:t xml:space="preserve">que se ajuste </w:t>
      </w:r>
      <w:r w:rsidR="00015712" w:rsidRPr="005733A5">
        <w:rPr>
          <w:i/>
          <w:lang w:val="es-ES"/>
        </w:rPr>
        <w:t>a su contexto</w:t>
      </w:r>
      <w:r w:rsidR="00015712">
        <w:rPr>
          <w:i/>
          <w:lang w:val="es-ES"/>
        </w:rPr>
        <w:t xml:space="preserve"> </w:t>
      </w:r>
    </w:p>
    <w:p w14:paraId="7D26453F" w14:textId="6159A94D" w:rsidR="00996396" w:rsidRDefault="00996396" w:rsidP="005733A5">
      <w:pPr>
        <w:keepNext/>
        <w:keepLines/>
        <w:rPr>
          <w:i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3"/>
        <w:gridCol w:w="2109"/>
        <w:gridCol w:w="1777"/>
        <w:gridCol w:w="1834"/>
        <w:gridCol w:w="1715"/>
      </w:tblGrid>
      <w:tr w:rsidR="005551F0" w:rsidRPr="00E54EEA" w14:paraId="481C5FBE" w14:textId="77777777" w:rsidTr="007F1BD3">
        <w:tc>
          <w:tcPr>
            <w:tcW w:w="2235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4B6AA591" w14:textId="77777777" w:rsidR="005551F0" w:rsidRPr="00E54EEA" w:rsidRDefault="005551F0" w:rsidP="007F1BD3">
            <w:pPr>
              <w:pStyle w:val="Heading3"/>
              <w:spacing w:before="120"/>
              <w:jc w:val="center"/>
              <w:outlineLvl w:val="2"/>
              <w:rPr>
                <w:i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color w:val="FFFFFF" w:themeColor="background1"/>
                <w:sz w:val="20"/>
                <w:szCs w:val="20"/>
              </w:rPr>
              <w:t>Función</w:t>
            </w:r>
            <w:proofErr w:type="spellEnd"/>
            <w:r>
              <w:rPr>
                <w:color w:val="FFFFFF" w:themeColor="background1"/>
                <w:sz w:val="20"/>
                <w:szCs w:val="20"/>
              </w:rPr>
              <w:t xml:space="preserve"> principal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555E8E81" w14:textId="77777777" w:rsidR="005551F0" w:rsidRPr="00E067AA" w:rsidRDefault="005551F0" w:rsidP="007F1BD3">
            <w:pPr>
              <w:pStyle w:val="Heading3"/>
              <w:spacing w:before="120"/>
              <w:jc w:val="center"/>
              <w:outlineLvl w:val="2"/>
              <w:rPr>
                <w:i/>
                <w:color w:val="FFFFFF" w:themeColor="background1"/>
                <w:sz w:val="20"/>
                <w:szCs w:val="20"/>
                <w:lang w:val="es-ES"/>
              </w:rPr>
            </w:pPr>
            <w:r w:rsidRPr="00E067AA">
              <w:rPr>
                <w:color w:val="FFFFFF" w:themeColor="background1"/>
                <w:sz w:val="20"/>
                <w:szCs w:val="20"/>
                <w:lang w:val="es-ES"/>
              </w:rPr>
              <w:t>Programas/</w:t>
            </w:r>
            <w:r w:rsidRPr="00E067AA">
              <w:rPr>
                <w:color w:val="FFFFFF" w:themeColor="background1"/>
                <w:sz w:val="20"/>
                <w:szCs w:val="20"/>
                <w:lang w:val="es-ES"/>
              </w:rPr>
              <w:br/>
              <w:t>Gestión de desastres/</w:t>
            </w:r>
            <w:proofErr w:type="spellStart"/>
            <w:r w:rsidRPr="00E067AA">
              <w:rPr>
                <w:color w:val="FFFFFF" w:themeColor="background1"/>
                <w:sz w:val="20"/>
                <w:szCs w:val="20"/>
                <w:lang w:val="es-ES"/>
              </w:rPr>
              <w:t>EcoSec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278DDB1C" w14:textId="77777777" w:rsidR="005551F0" w:rsidRPr="00E54EEA" w:rsidRDefault="005551F0" w:rsidP="007F1BD3">
            <w:pPr>
              <w:pStyle w:val="Heading3"/>
              <w:spacing w:before="120"/>
              <w:jc w:val="center"/>
              <w:outlineLvl w:val="2"/>
              <w:rPr>
                <w:i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color w:val="FFFFFF" w:themeColor="background1"/>
                <w:sz w:val="20"/>
                <w:szCs w:val="20"/>
              </w:rPr>
              <w:t>Logí</w:t>
            </w:r>
            <w:r w:rsidRPr="00E54EEA">
              <w:rPr>
                <w:color w:val="FFFFFF" w:themeColor="background1"/>
                <w:sz w:val="20"/>
                <w:szCs w:val="20"/>
              </w:rPr>
              <w:t>stic</w:t>
            </w:r>
            <w:r>
              <w:rPr>
                <w:color w:val="FFFFFF" w:themeColor="background1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081B7866" w14:textId="77777777" w:rsidR="005551F0" w:rsidRPr="00E54EEA" w:rsidRDefault="005551F0" w:rsidP="007F1BD3">
            <w:pPr>
              <w:pStyle w:val="Heading3"/>
              <w:spacing w:before="120"/>
              <w:jc w:val="center"/>
              <w:outlineLvl w:val="2"/>
              <w:rPr>
                <w:i/>
                <w:color w:val="FFFFFF" w:themeColor="background1"/>
                <w:sz w:val="20"/>
                <w:szCs w:val="20"/>
              </w:rPr>
            </w:pPr>
            <w:proofErr w:type="spellStart"/>
            <w:r w:rsidRPr="00E54EEA">
              <w:rPr>
                <w:color w:val="FFFFFF" w:themeColor="background1"/>
                <w:sz w:val="20"/>
                <w:szCs w:val="20"/>
              </w:rPr>
              <w:t>Finan</w:t>
            </w:r>
            <w:r>
              <w:rPr>
                <w:color w:val="FFFFFF" w:themeColor="background1"/>
                <w:sz w:val="20"/>
                <w:szCs w:val="20"/>
              </w:rPr>
              <w:t>zas</w:t>
            </w:r>
            <w:proofErr w:type="spellEnd"/>
            <w:r w:rsidRPr="00E54EEA">
              <w:rPr>
                <w:color w:val="FFFFFF" w:themeColor="background1"/>
                <w:sz w:val="20"/>
                <w:szCs w:val="20"/>
              </w:rPr>
              <w:t>/Admin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20E68F83" w14:textId="77777777" w:rsidR="005551F0" w:rsidRPr="00E54EEA" w:rsidRDefault="005551F0" w:rsidP="007F1BD3">
            <w:pPr>
              <w:pStyle w:val="Heading3"/>
              <w:spacing w:before="120"/>
              <w:jc w:val="center"/>
              <w:outlineLvl w:val="2"/>
              <w:rPr>
                <w:i/>
                <w:color w:val="FFFFFF" w:themeColor="background1"/>
                <w:sz w:val="20"/>
                <w:szCs w:val="20"/>
              </w:rPr>
            </w:pPr>
            <w:proofErr w:type="spellStart"/>
            <w:r w:rsidRPr="00E54EEA">
              <w:rPr>
                <w:color w:val="FFFFFF" w:themeColor="background1"/>
                <w:sz w:val="20"/>
                <w:szCs w:val="20"/>
              </w:rPr>
              <w:t>Ot</w:t>
            </w:r>
            <w:r>
              <w:rPr>
                <w:color w:val="FFFFFF" w:themeColor="background1"/>
                <w:sz w:val="20"/>
                <w:szCs w:val="20"/>
              </w:rPr>
              <w:t>ros</w:t>
            </w:r>
            <w:proofErr w:type="spellEnd"/>
          </w:p>
        </w:tc>
      </w:tr>
      <w:tr w:rsidR="005551F0" w:rsidRPr="0069390C" w14:paraId="1B9612B7" w14:textId="77777777" w:rsidTr="007F1BD3">
        <w:tc>
          <w:tcPr>
            <w:tcW w:w="2235" w:type="dxa"/>
            <w:shd w:val="clear" w:color="auto" w:fill="A6A6A6"/>
          </w:tcPr>
          <w:p w14:paraId="0391DCFC" w14:textId="77777777" w:rsidR="005551F0" w:rsidRPr="00B971A7" w:rsidRDefault="005551F0" w:rsidP="007F1BD3">
            <w:pPr>
              <w:spacing w:before="20" w:after="20"/>
              <w:rPr>
                <w:i/>
                <w:lang w:val="es-ES_tradnl"/>
              </w:rPr>
            </w:pPr>
            <w:r w:rsidRPr="00B971A7">
              <w:rPr>
                <w:lang w:val="es-ES_tradnl"/>
              </w:rPr>
              <w:t xml:space="preserve">Selección de la modalidad de PTE </w:t>
            </w:r>
          </w:p>
        </w:tc>
        <w:tc>
          <w:tcPr>
            <w:tcW w:w="2126" w:type="dxa"/>
            <w:shd w:val="clear" w:color="auto" w:fill="F3F3F3"/>
          </w:tcPr>
          <w:p w14:paraId="0DD764AD" w14:textId="77777777" w:rsidR="005551F0" w:rsidRPr="00E067AA" w:rsidRDefault="005551F0" w:rsidP="007F1BD3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843" w:type="dxa"/>
            <w:shd w:val="clear" w:color="auto" w:fill="F3F3F3"/>
          </w:tcPr>
          <w:p w14:paraId="1B3DEC02" w14:textId="77777777" w:rsidR="005551F0" w:rsidRPr="00E067AA" w:rsidRDefault="005551F0" w:rsidP="007F1BD3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842" w:type="dxa"/>
            <w:shd w:val="clear" w:color="auto" w:fill="F3F3F3"/>
          </w:tcPr>
          <w:p w14:paraId="3193D42E" w14:textId="77777777" w:rsidR="005551F0" w:rsidRPr="00E067AA" w:rsidRDefault="005551F0" w:rsidP="007F1BD3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808" w:type="dxa"/>
            <w:shd w:val="clear" w:color="auto" w:fill="F3F3F3"/>
          </w:tcPr>
          <w:p w14:paraId="0F3FBF2E" w14:textId="77777777" w:rsidR="005551F0" w:rsidRPr="00E067AA" w:rsidRDefault="005551F0" w:rsidP="007F1BD3">
            <w:pPr>
              <w:spacing w:before="20" w:after="20"/>
              <w:rPr>
                <w:i/>
                <w:lang w:val="es-ES"/>
              </w:rPr>
            </w:pPr>
          </w:p>
        </w:tc>
      </w:tr>
      <w:tr w:rsidR="005551F0" w:rsidRPr="0069390C" w14:paraId="70F3406E" w14:textId="77777777" w:rsidTr="007F1BD3">
        <w:tc>
          <w:tcPr>
            <w:tcW w:w="2235" w:type="dxa"/>
            <w:shd w:val="clear" w:color="auto" w:fill="A6A6A6"/>
          </w:tcPr>
          <w:p w14:paraId="6758C980" w14:textId="77777777" w:rsidR="005551F0" w:rsidRPr="00B971A7" w:rsidRDefault="005551F0" w:rsidP="007F1BD3">
            <w:pPr>
              <w:spacing w:before="20" w:after="20"/>
              <w:rPr>
                <w:i/>
                <w:lang w:val="es-ES_tradnl"/>
              </w:rPr>
            </w:pPr>
            <w:r w:rsidRPr="00B971A7">
              <w:rPr>
                <w:lang w:val="es-ES_tradnl"/>
              </w:rPr>
              <w:t>Establecer el valor de la transferencia</w:t>
            </w:r>
          </w:p>
        </w:tc>
        <w:tc>
          <w:tcPr>
            <w:tcW w:w="2126" w:type="dxa"/>
            <w:shd w:val="clear" w:color="auto" w:fill="F3F3F3"/>
          </w:tcPr>
          <w:p w14:paraId="5437173B" w14:textId="77777777" w:rsidR="005551F0" w:rsidRPr="00E067AA" w:rsidRDefault="005551F0" w:rsidP="007F1BD3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843" w:type="dxa"/>
            <w:shd w:val="clear" w:color="auto" w:fill="F3F3F3"/>
          </w:tcPr>
          <w:p w14:paraId="60830334" w14:textId="77777777" w:rsidR="005551F0" w:rsidRPr="00E067AA" w:rsidRDefault="005551F0" w:rsidP="007F1BD3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842" w:type="dxa"/>
            <w:shd w:val="clear" w:color="auto" w:fill="F3F3F3"/>
          </w:tcPr>
          <w:p w14:paraId="1D1EDAC1" w14:textId="77777777" w:rsidR="005551F0" w:rsidRPr="00E067AA" w:rsidRDefault="005551F0" w:rsidP="007F1BD3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808" w:type="dxa"/>
            <w:shd w:val="clear" w:color="auto" w:fill="F3F3F3"/>
          </w:tcPr>
          <w:p w14:paraId="43BAD111" w14:textId="77777777" w:rsidR="005551F0" w:rsidRPr="00E067AA" w:rsidRDefault="005551F0" w:rsidP="007F1BD3">
            <w:pPr>
              <w:spacing w:before="20" w:after="20"/>
              <w:rPr>
                <w:i/>
                <w:lang w:val="es-ES"/>
              </w:rPr>
            </w:pPr>
          </w:p>
        </w:tc>
      </w:tr>
      <w:tr w:rsidR="005551F0" w:rsidRPr="00E54EEA" w14:paraId="0944EC13" w14:textId="77777777" w:rsidTr="007F1BD3">
        <w:tc>
          <w:tcPr>
            <w:tcW w:w="2235" w:type="dxa"/>
            <w:shd w:val="clear" w:color="auto" w:fill="A6A6A6"/>
          </w:tcPr>
          <w:p w14:paraId="3EFBB233" w14:textId="77777777" w:rsidR="005551F0" w:rsidRPr="00B971A7" w:rsidRDefault="005551F0" w:rsidP="007F1BD3">
            <w:pPr>
              <w:spacing w:before="20" w:after="20"/>
              <w:rPr>
                <w:i/>
                <w:lang w:val="es-ES_tradnl"/>
              </w:rPr>
            </w:pPr>
            <w:r w:rsidRPr="00B971A7">
              <w:rPr>
                <w:lang w:val="es-ES_tradnl"/>
              </w:rPr>
              <w:t>Evaluación del mercado</w:t>
            </w:r>
          </w:p>
        </w:tc>
        <w:tc>
          <w:tcPr>
            <w:tcW w:w="2126" w:type="dxa"/>
            <w:shd w:val="clear" w:color="auto" w:fill="F3F3F3"/>
          </w:tcPr>
          <w:p w14:paraId="58F01A47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</w:p>
        </w:tc>
        <w:tc>
          <w:tcPr>
            <w:tcW w:w="1843" w:type="dxa"/>
            <w:shd w:val="clear" w:color="auto" w:fill="F3F3F3"/>
          </w:tcPr>
          <w:p w14:paraId="0E2D0823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</w:p>
        </w:tc>
        <w:tc>
          <w:tcPr>
            <w:tcW w:w="1842" w:type="dxa"/>
            <w:shd w:val="clear" w:color="auto" w:fill="F3F3F3"/>
          </w:tcPr>
          <w:p w14:paraId="709DE13B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</w:p>
        </w:tc>
        <w:tc>
          <w:tcPr>
            <w:tcW w:w="1808" w:type="dxa"/>
            <w:shd w:val="clear" w:color="auto" w:fill="F3F3F3"/>
          </w:tcPr>
          <w:p w14:paraId="73D68F50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</w:p>
        </w:tc>
      </w:tr>
      <w:tr w:rsidR="005551F0" w:rsidRPr="0069390C" w14:paraId="643C6308" w14:textId="77777777" w:rsidTr="007F1BD3">
        <w:tc>
          <w:tcPr>
            <w:tcW w:w="2235" w:type="dxa"/>
            <w:shd w:val="clear" w:color="auto" w:fill="A6A6A6"/>
          </w:tcPr>
          <w:p w14:paraId="342139B1" w14:textId="77777777" w:rsidR="005551F0" w:rsidRPr="00B971A7" w:rsidRDefault="005551F0" w:rsidP="007F1BD3">
            <w:pPr>
              <w:spacing w:before="20" w:after="20"/>
              <w:rPr>
                <w:i/>
                <w:lang w:val="es-ES_tradnl"/>
              </w:rPr>
            </w:pPr>
            <w:r w:rsidRPr="00B971A7">
              <w:rPr>
                <w:lang w:val="es-ES_tradnl"/>
              </w:rPr>
              <w:t>Selección del proveedor de servicios</w:t>
            </w:r>
          </w:p>
        </w:tc>
        <w:tc>
          <w:tcPr>
            <w:tcW w:w="2126" w:type="dxa"/>
            <w:shd w:val="clear" w:color="auto" w:fill="F3F3F3"/>
          </w:tcPr>
          <w:p w14:paraId="79AF1C41" w14:textId="77777777" w:rsidR="005551F0" w:rsidRPr="00E067AA" w:rsidRDefault="005551F0" w:rsidP="007F1BD3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843" w:type="dxa"/>
            <w:shd w:val="clear" w:color="auto" w:fill="F3F3F3"/>
          </w:tcPr>
          <w:p w14:paraId="4DDBEB77" w14:textId="77777777" w:rsidR="005551F0" w:rsidRPr="00E067AA" w:rsidRDefault="005551F0" w:rsidP="007F1BD3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842" w:type="dxa"/>
            <w:shd w:val="clear" w:color="auto" w:fill="F3F3F3"/>
          </w:tcPr>
          <w:p w14:paraId="08E505D5" w14:textId="77777777" w:rsidR="005551F0" w:rsidRPr="00E067AA" w:rsidRDefault="005551F0" w:rsidP="007F1BD3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808" w:type="dxa"/>
            <w:shd w:val="clear" w:color="auto" w:fill="F3F3F3"/>
          </w:tcPr>
          <w:p w14:paraId="551D6870" w14:textId="77777777" w:rsidR="005551F0" w:rsidRPr="00E067AA" w:rsidRDefault="005551F0" w:rsidP="007F1BD3">
            <w:pPr>
              <w:spacing w:before="20" w:after="20"/>
              <w:rPr>
                <w:i/>
                <w:lang w:val="es-ES"/>
              </w:rPr>
            </w:pPr>
          </w:p>
        </w:tc>
      </w:tr>
      <w:tr w:rsidR="005551F0" w:rsidRPr="00E54EEA" w14:paraId="679B602F" w14:textId="77777777" w:rsidTr="007F1BD3">
        <w:tc>
          <w:tcPr>
            <w:tcW w:w="2235" w:type="dxa"/>
            <w:shd w:val="clear" w:color="auto" w:fill="A6A6A6"/>
          </w:tcPr>
          <w:p w14:paraId="7BB01BA5" w14:textId="77777777" w:rsidR="005551F0" w:rsidRPr="00B971A7" w:rsidRDefault="005551F0" w:rsidP="007F1BD3">
            <w:pPr>
              <w:spacing w:before="20" w:after="20"/>
              <w:rPr>
                <w:i/>
                <w:lang w:val="es-ES_tradnl"/>
              </w:rPr>
            </w:pPr>
            <w:r w:rsidRPr="00B971A7">
              <w:rPr>
                <w:lang w:val="es-ES_tradnl"/>
              </w:rPr>
              <w:t>Auditoria de riesgos</w:t>
            </w:r>
          </w:p>
        </w:tc>
        <w:tc>
          <w:tcPr>
            <w:tcW w:w="2126" w:type="dxa"/>
            <w:shd w:val="clear" w:color="auto" w:fill="F3F3F3"/>
          </w:tcPr>
          <w:p w14:paraId="2E217ECE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</w:p>
        </w:tc>
        <w:tc>
          <w:tcPr>
            <w:tcW w:w="1843" w:type="dxa"/>
            <w:shd w:val="clear" w:color="auto" w:fill="F3F3F3"/>
          </w:tcPr>
          <w:p w14:paraId="560A7409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</w:p>
        </w:tc>
        <w:tc>
          <w:tcPr>
            <w:tcW w:w="1842" w:type="dxa"/>
            <w:shd w:val="clear" w:color="auto" w:fill="F3F3F3"/>
          </w:tcPr>
          <w:p w14:paraId="6A1256E2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</w:p>
        </w:tc>
        <w:tc>
          <w:tcPr>
            <w:tcW w:w="1808" w:type="dxa"/>
            <w:shd w:val="clear" w:color="auto" w:fill="F3F3F3"/>
          </w:tcPr>
          <w:p w14:paraId="5C9BFF3B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</w:p>
        </w:tc>
      </w:tr>
      <w:tr w:rsidR="005551F0" w:rsidRPr="00E54EEA" w14:paraId="00B88A03" w14:textId="77777777" w:rsidTr="007F1BD3">
        <w:tc>
          <w:tcPr>
            <w:tcW w:w="2235" w:type="dxa"/>
            <w:shd w:val="clear" w:color="auto" w:fill="A6A6A6"/>
          </w:tcPr>
          <w:p w14:paraId="4EC5DE8A" w14:textId="77777777" w:rsidR="005551F0" w:rsidRPr="00B971A7" w:rsidRDefault="005551F0" w:rsidP="007F1BD3">
            <w:pPr>
              <w:spacing w:before="20" w:after="20"/>
              <w:rPr>
                <w:i/>
                <w:lang w:val="es-ES_tradnl"/>
              </w:rPr>
            </w:pPr>
            <w:r w:rsidRPr="00B971A7">
              <w:rPr>
                <w:lang w:val="es-ES_tradnl"/>
              </w:rPr>
              <w:t xml:space="preserve">Registro de beneficiarios </w:t>
            </w:r>
          </w:p>
        </w:tc>
        <w:tc>
          <w:tcPr>
            <w:tcW w:w="2126" w:type="dxa"/>
            <w:shd w:val="clear" w:color="auto" w:fill="F3F3F3"/>
          </w:tcPr>
          <w:p w14:paraId="17F72A74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</w:p>
        </w:tc>
        <w:tc>
          <w:tcPr>
            <w:tcW w:w="1843" w:type="dxa"/>
            <w:shd w:val="clear" w:color="auto" w:fill="F3F3F3"/>
          </w:tcPr>
          <w:p w14:paraId="00246136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</w:p>
        </w:tc>
        <w:tc>
          <w:tcPr>
            <w:tcW w:w="1842" w:type="dxa"/>
            <w:shd w:val="clear" w:color="auto" w:fill="F3F3F3"/>
          </w:tcPr>
          <w:p w14:paraId="0EB20985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</w:p>
        </w:tc>
        <w:tc>
          <w:tcPr>
            <w:tcW w:w="1808" w:type="dxa"/>
            <w:shd w:val="clear" w:color="auto" w:fill="F3F3F3"/>
          </w:tcPr>
          <w:p w14:paraId="5F23EFEF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</w:p>
        </w:tc>
      </w:tr>
      <w:tr w:rsidR="005551F0" w:rsidRPr="00E54EEA" w14:paraId="6593970B" w14:textId="77777777" w:rsidTr="007F1BD3">
        <w:tc>
          <w:tcPr>
            <w:tcW w:w="2235" w:type="dxa"/>
            <w:shd w:val="clear" w:color="auto" w:fill="A6A6A6"/>
          </w:tcPr>
          <w:p w14:paraId="42934724" w14:textId="77777777" w:rsidR="005551F0" w:rsidRPr="00B971A7" w:rsidRDefault="005551F0" w:rsidP="007F1BD3">
            <w:pPr>
              <w:spacing w:before="20" w:after="20"/>
              <w:rPr>
                <w:i/>
                <w:lang w:val="es-ES_tradnl"/>
              </w:rPr>
            </w:pPr>
            <w:r w:rsidRPr="00B971A7">
              <w:rPr>
                <w:lang w:val="es-ES_tradnl"/>
              </w:rPr>
              <w:t xml:space="preserve">Contratación de terceros </w:t>
            </w:r>
          </w:p>
        </w:tc>
        <w:tc>
          <w:tcPr>
            <w:tcW w:w="2126" w:type="dxa"/>
            <w:shd w:val="clear" w:color="auto" w:fill="F3F3F3"/>
          </w:tcPr>
          <w:p w14:paraId="271D16CF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</w:p>
        </w:tc>
        <w:tc>
          <w:tcPr>
            <w:tcW w:w="1843" w:type="dxa"/>
            <w:shd w:val="clear" w:color="auto" w:fill="F3F3F3"/>
          </w:tcPr>
          <w:p w14:paraId="2200C344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</w:p>
        </w:tc>
        <w:tc>
          <w:tcPr>
            <w:tcW w:w="1842" w:type="dxa"/>
            <w:shd w:val="clear" w:color="auto" w:fill="F3F3F3"/>
          </w:tcPr>
          <w:p w14:paraId="124FC6CC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</w:p>
        </w:tc>
        <w:tc>
          <w:tcPr>
            <w:tcW w:w="1808" w:type="dxa"/>
            <w:shd w:val="clear" w:color="auto" w:fill="F3F3F3"/>
          </w:tcPr>
          <w:p w14:paraId="198A3157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</w:p>
        </w:tc>
      </w:tr>
      <w:tr w:rsidR="005551F0" w:rsidRPr="0069390C" w14:paraId="0BA1D8E9" w14:textId="77777777" w:rsidTr="007F1BD3">
        <w:tc>
          <w:tcPr>
            <w:tcW w:w="2235" w:type="dxa"/>
            <w:shd w:val="clear" w:color="auto" w:fill="A6A6A6"/>
          </w:tcPr>
          <w:p w14:paraId="6A1662ED" w14:textId="79A4E605" w:rsidR="005551F0" w:rsidRPr="00B971A7" w:rsidRDefault="005551F0" w:rsidP="007F1BD3">
            <w:pPr>
              <w:spacing w:before="20" w:after="20"/>
              <w:rPr>
                <w:i/>
                <w:lang w:val="es-ES_tradnl"/>
              </w:rPr>
            </w:pPr>
            <w:r w:rsidRPr="00B971A7">
              <w:rPr>
                <w:lang w:val="es-ES_tradnl"/>
              </w:rPr>
              <w:t xml:space="preserve">Validación de las transferencias a </w:t>
            </w:r>
            <w:r w:rsidR="00B971A7" w:rsidRPr="00B971A7">
              <w:rPr>
                <w:lang w:val="es-ES_tradnl"/>
              </w:rPr>
              <w:t>los beneficiarios</w:t>
            </w:r>
          </w:p>
        </w:tc>
        <w:tc>
          <w:tcPr>
            <w:tcW w:w="2126" w:type="dxa"/>
            <w:shd w:val="clear" w:color="auto" w:fill="F3F3F3"/>
          </w:tcPr>
          <w:p w14:paraId="77DE0772" w14:textId="77777777" w:rsidR="005551F0" w:rsidRPr="00E067AA" w:rsidRDefault="005551F0" w:rsidP="007F1BD3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843" w:type="dxa"/>
            <w:shd w:val="clear" w:color="auto" w:fill="F3F3F3"/>
          </w:tcPr>
          <w:p w14:paraId="1BD08917" w14:textId="77777777" w:rsidR="005551F0" w:rsidRPr="00E067AA" w:rsidRDefault="005551F0" w:rsidP="007F1BD3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842" w:type="dxa"/>
            <w:shd w:val="clear" w:color="auto" w:fill="F3F3F3"/>
          </w:tcPr>
          <w:p w14:paraId="2A2807C1" w14:textId="77777777" w:rsidR="005551F0" w:rsidRPr="00E067AA" w:rsidRDefault="005551F0" w:rsidP="007F1BD3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808" w:type="dxa"/>
            <w:shd w:val="clear" w:color="auto" w:fill="F3F3F3"/>
          </w:tcPr>
          <w:p w14:paraId="5CBE4D21" w14:textId="77777777" w:rsidR="005551F0" w:rsidRPr="00E067AA" w:rsidRDefault="005551F0" w:rsidP="007F1BD3">
            <w:pPr>
              <w:spacing w:before="20" w:after="20"/>
              <w:rPr>
                <w:i/>
                <w:lang w:val="es-ES"/>
              </w:rPr>
            </w:pPr>
          </w:p>
        </w:tc>
      </w:tr>
      <w:tr w:rsidR="005551F0" w:rsidRPr="00E54EEA" w14:paraId="4A68AA58" w14:textId="77777777" w:rsidTr="007F1BD3">
        <w:tc>
          <w:tcPr>
            <w:tcW w:w="2235" w:type="dxa"/>
            <w:shd w:val="clear" w:color="auto" w:fill="A6A6A6"/>
          </w:tcPr>
          <w:p w14:paraId="5B0B2807" w14:textId="77777777" w:rsidR="005551F0" w:rsidRPr="00B971A7" w:rsidRDefault="005551F0" w:rsidP="007F1BD3">
            <w:pPr>
              <w:spacing w:before="20" w:after="20"/>
              <w:rPr>
                <w:i/>
                <w:lang w:val="es-ES_tradnl"/>
              </w:rPr>
            </w:pPr>
            <w:r w:rsidRPr="00B971A7">
              <w:rPr>
                <w:lang w:val="es-ES_tradnl"/>
              </w:rPr>
              <w:t>Reconciliación de las transferencias</w:t>
            </w:r>
          </w:p>
        </w:tc>
        <w:tc>
          <w:tcPr>
            <w:tcW w:w="2126" w:type="dxa"/>
            <w:shd w:val="clear" w:color="auto" w:fill="F3F3F3"/>
          </w:tcPr>
          <w:p w14:paraId="560B7606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</w:p>
        </w:tc>
        <w:tc>
          <w:tcPr>
            <w:tcW w:w="1843" w:type="dxa"/>
            <w:shd w:val="clear" w:color="auto" w:fill="F3F3F3"/>
          </w:tcPr>
          <w:p w14:paraId="10BBAA16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</w:p>
        </w:tc>
        <w:tc>
          <w:tcPr>
            <w:tcW w:w="1842" w:type="dxa"/>
            <w:shd w:val="clear" w:color="auto" w:fill="F3F3F3"/>
          </w:tcPr>
          <w:p w14:paraId="0A78C2AC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</w:p>
        </w:tc>
        <w:tc>
          <w:tcPr>
            <w:tcW w:w="1808" w:type="dxa"/>
            <w:shd w:val="clear" w:color="auto" w:fill="F3F3F3"/>
          </w:tcPr>
          <w:p w14:paraId="55D0E832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</w:p>
        </w:tc>
      </w:tr>
      <w:tr w:rsidR="005551F0" w:rsidRPr="0069390C" w14:paraId="37C00DA9" w14:textId="77777777" w:rsidTr="007F1BD3">
        <w:tc>
          <w:tcPr>
            <w:tcW w:w="2235" w:type="dxa"/>
            <w:shd w:val="clear" w:color="auto" w:fill="A6A6A6"/>
          </w:tcPr>
          <w:p w14:paraId="2C5BC631" w14:textId="77777777" w:rsidR="005551F0" w:rsidRPr="00B971A7" w:rsidRDefault="005551F0" w:rsidP="007F1BD3">
            <w:pPr>
              <w:spacing w:before="20" w:after="20"/>
              <w:rPr>
                <w:i/>
                <w:lang w:val="es-ES_tradnl"/>
              </w:rPr>
            </w:pPr>
            <w:r w:rsidRPr="00B971A7">
              <w:rPr>
                <w:lang w:val="es-ES_tradnl"/>
              </w:rPr>
              <w:t>Seguimiento de los mecanismos de retroalimentación y respuesta</w:t>
            </w:r>
          </w:p>
        </w:tc>
        <w:tc>
          <w:tcPr>
            <w:tcW w:w="2126" w:type="dxa"/>
            <w:shd w:val="clear" w:color="auto" w:fill="F3F3F3"/>
          </w:tcPr>
          <w:p w14:paraId="57CEFF92" w14:textId="77777777" w:rsidR="005551F0" w:rsidRPr="005733A5" w:rsidRDefault="005551F0" w:rsidP="007F1BD3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843" w:type="dxa"/>
            <w:shd w:val="clear" w:color="auto" w:fill="F3F3F3"/>
          </w:tcPr>
          <w:p w14:paraId="3B2F5F9A" w14:textId="77777777" w:rsidR="005551F0" w:rsidRPr="005733A5" w:rsidRDefault="005551F0" w:rsidP="007F1BD3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842" w:type="dxa"/>
            <w:shd w:val="clear" w:color="auto" w:fill="F3F3F3"/>
          </w:tcPr>
          <w:p w14:paraId="23736F70" w14:textId="77777777" w:rsidR="005551F0" w:rsidRPr="005733A5" w:rsidRDefault="005551F0" w:rsidP="007F1BD3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808" w:type="dxa"/>
            <w:shd w:val="clear" w:color="auto" w:fill="F3F3F3"/>
          </w:tcPr>
          <w:p w14:paraId="1E86E306" w14:textId="77777777" w:rsidR="005551F0" w:rsidRPr="005733A5" w:rsidRDefault="005551F0" w:rsidP="007F1BD3">
            <w:pPr>
              <w:spacing w:before="20" w:after="20"/>
              <w:rPr>
                <w:i/>
                <w:lang w:val="es-ES"/>
              </w:rPr>
            </w:pPr>
          </w:p>
        </w:tc>
      </w:tr>
      <w:tr w:rsidR="005551F0" w:rsidRPr="0069390C" w14:paraId="77272278" w14:textId="77777777" w:rsidTr="007F1BD3">
        <w:tc>
          <w:tcPr>
            <w:tcW w:w="2235" w:type="dxa"/>
            <w:shd w:val="clear" w:color="auto" w:fill="A6A6A6"/>
          </w:tcPr>
          <w:p w14:paraId="5DD8D3E0" w14:textId="77777777" w:rsidR="005551F0" w:rsidRPr="00B971A7" w:rsidRDefault="005551F0" w:rsidP="007F1BD3">
            <w:pPr>
              <w:spacing w:before="20" w:after="20"/>
              <w:rPr>
                <w:i/>
                <w:lang w:val="es-ES_tradnl"/>
              </w:rPr>
            </w:pPr>
            <w:r w:rsidRPr="00B971A7">
              <w:rPr>
                <w:lang w:val="es-ES_tradnl"/>
              </w:rPr>
              <w:t>Monitoreo de los precios del mercado</w:t>
            </w:r>
          </w:p>
        </w:tc>
        <w:tc>
          <w:tcPr>
            <w:tcW w:w="2126" w:type="dxa"/>
            <w:shd w:val="clear" w:color="auto" w:fill="F3F3F3"/>
          </w:tcPr>
          <w:p w14:paraId="62451D27" w14:textId="77777777" w:rsidR="005551F0" w:rsidRPr="005733A5" w:rsidRDefault="005551F0" w:rsidP="007F1BD3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843" w:type="dxa"/>
            <w:shd w:val="clear" w:color="auto" w:fill="F3F3F3"/>
          </w:tcPr>
          <w:p w14:paraId="107C46C6" w14:textId="77777777" w:rsidR="005551F0" w:rsidRPr="005733A5" w:rsidRDefault="005551F0" w:rsidP="007F1BD3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842" w:type="dxa"/>
            <w:shd w:val="clear" w:color="auto" w:fill="F3F3F3"/>
          </w:tcPr>
          <w:p w14:paraId="0AB3D919" w14:textId="77777777" w:rsidR="005551F0" w:rsidRPr="005733A5" w:rsidRDefault="005551F0" w:rsidP="007F1BD3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808" w:type="dxa"/>
            <w:shd w:val="clear" w:color="auto" w:fill="F3F3F3"/>
          </w:tcPr>
          <w:p w14:paraId="309C4C48" w14:textId="77777777" w:rsidR="005551F0" w:rsidRPr="005733A5" w:rsidRDefault="005551F0" w:rsidP="007F1BD3">
            <w:pPr>
              <w:spacing w:before="20" w:after="20"/>
              <w:rPr>
                <w:i/>
                <w:lang w:val="es-ES"/>
              </w:rPr>
            </w:pPr>
          </w:p>
        </w:tc>
      </w:tr>
      <w:tr w:rsidR="005551F0" w:rsidRPr="00E54EEA" w14:paraId="38359B2A" w14:textId="77777777" w:rsidTr="007F1BD3">
        <w:tc>
          <w:tcPr>
            <w:tcW w:w="2235" w:type="dxa"/>
            <w:shd w:val="clear" w:color="auto" w:fill="A6A6A6"/>
          </w:tcPr>
          <w:p w14:paraId="33625E44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  <w:proofErr w:type="spellStart"/>
            <w:r>
              <w:t>Otros</w:t>
            </w:r>
            <w:proofErr w:type="spellEnd"/>
          </w:p>
        </w:tc>
        <w:tc>
          <w:tcPr>
            <w:tcW w:w="2126" w:type="dxa"/>
            <w:shd w:val="clear" w:color="auto" w:fill="F3F3F3"/>
          </w:tcPr>
          <w:p w14:paraId="5FC7162A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</w:p>
        </w:tc>
        <w:tc>
          <w:tcPr>
            <w:tcW w:w="1843" w:type="dxa"/>
            <w:shd w:val="clear" w:color="auto" w:fill="F3F3F3"/>
          </w:tcPr>
          <w:p w14:paraId="73AA43B0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</w:p>
        </w:tc>
        <w:tc>
          <w:tcPr>
            <w:tcW w:w="1842" w:type="dxa"/>
            <w:shd w:val="clear" w:color="auto" w:fill="F3F3F3"/>
          </w:tcPr>
          <w:p w14:paraId="65F3AF7F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</w:p>
        </w:tc>
        <w:tc>
          <w:tcPr>
            <w:tcW w:w="1808" w:type="dxa"/>
            <w:shd w:val="clear" w:color="auto" w:fill="F3F3F3"/>
          </w:tcPr>
          <w:p w14:paraId="50A07F04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</w:p>
        </w:tc>
      </w:tr>
    </w:tbl>
    <w:p w14:paraId="236317DF" w14:textId="77777777" w:rsidR="005551F0" w:rsidRPr="005733A5" w:rsidRDefault="005551F0" w:rsidP="005733A5">
      <w:pPr>
        <w:keepNext/>
        <w:keepLines/>
        <w:rPr>
          <w:i/>
          <w:lang w:val="es-ES"/>
        </w:rPr>
      </w:pPr>
    </w:p>
    <w:p w14:paraId="64DBAD15" w14:textId="56B984D5" w:rsidR="00996396" w:rsidRPr="003345FD" w:rsidRDefault="003345FD" w:rsidP="005941D5">
      <w:pPr>
        <w:pStyle w:val="Heading3"/>
        <w:rPr>
          <w:lang w:val="es-ES"/>
        </w:rPr>
      </w:pPr>
      <w:r w:rsidRPr="003345FD">
        <w:rPr>
          <w:lang w:val="es-ES"/>
        </w:rPr>
        <w:t>Entrega directa de efectivo por la Sociedad Nacional/FICR/</w:t>
      </w:r>
      <w:r>
        <w:rPr>
          <w:lang w:val="es-ES"/>
        </w:rPr>
        <w:t>CICR</w:t>
      </w:r>
    </w:p>
    <w:p w14:paraId="6108B512" w14:textId="77777777" w:rsidR="005551F0" w:rsidRPr="00C23595" w:rsidRDefault="005551F0" w:rsidP="005551F0">
      <w:pPr>
        <w:rPr>
          <w:i/>
          <w:lang w:val="es-ES"/>
        </w:rPr>
      </w:pPr>
      <w:r w:rsidRPr="00C23595">
        <w:rPr>
          <w:i/>
          <w:lang w:val="es-ES"/>
        </w:rPr>
        <w:t xml:space="preserve">Enumerar las principales funciones que los diferentes departamentos tendrán en la </w:t>
      </w:r>
      <w:r>
        <w:rPr>
          <w:i/>
          <w:lang w:val="es-ES"/>
        </w:rPr>
        <w:t>implement</w:t>
      </w:r>
      <w:r w:rsidRPr="00C23595">
        <w:rPr>
          <w:i/>
          <w:lang w:val="es-ES"/>
        </w:rPr>
        <w:t>ación de PTE.</w:t>
      </w:r>
    </w:p>
    <w:p w14:paraId="511EFEE6" w14:textId="228DF660" w:rsidR="00B971A7" w:rsidRDefault="005551F0" w:rsidP="005551F0">
      <w:pPr>
        <w:rPr>
          <w:i/>
          <w:lang w:val="es-ES"/>
        </w:rPr>
      </w:pPr>
      <w:r w:rsidRPr="00C23595">
        <w:rPr>
          <w:i/>
          <w:lang w:val="es-ES"/>
        </w:rPr>
        <w:t>A</w:t>
      </w:r>
      <w:r>
        <w:rPr>
          <w:i/>
          <w:lang w:val="es-ES"/>
        </w:rPr>
        <w:t>ñadir columnas si se identifica a</w:t>
      </w:r>
      <w:r w:rsidRPr="00C23595">
        <w:rPr>
          <w:i/>
          <w:lang w:val="es-ES"/>
        </w:rPr>
        <w:t xml:space="preserve"> actores adicionales. </w:t>
      </w:r>
      <w:r w:rsidR="00B971A7" w:rsidRPr="00B971A7">
        <w:rPr>
          <w:i/>
          <w:lang w:val="es-ES"/>
        </w:rPr>
        <w:t xml:space="preserve">Se puede </w:t>
      </w:r>
      <w:r w:rsidR="00B971A7">
        <w:rPr>
          <w:i/>
          <w:lang w:val="es-ES"/>
        </w:rPr>
        <w:t xml:space="preserve">adjuntar una tabla más detallada en los anexos a este documento </w:t>
      </w:r>
      <w:r w:rsidR="00B971A7" w:rsidRPr="00B971A7">
        <w:rPr>
          <w:i/>
          <w:lang w:val="es-ES"/>
        </w:rPr>
        <w:t xml:space="preserve">(ver </w:t>
      </w:r>
      <w:r w:rsidR="00B971A7">
        <w:rPr>
          <w:i/>
          <w:lang w:val="es-ES"/>
        </w:rPr>
        <w:t xml:space="preserve">los documentos ICRC y IFRC CBP </w:t>
      </w:r>
      <w:proofErr w:type="spellStart"/>
      <w:r w:rsidR="00B971A7">
        <w:rPr>
          <w:i/>
          <w:lang w:val="es-ES"/>
        </w:rPr>
        <w:t>SOPs</w:t>
      </w:r>
      <w:proofErr w:type="spellEnd"/>
      <w:r w:rsidR="00B971A7">
        <w:rPr>
          <w:i/>
          <w:lang w:val="es-ES"/>
        </w:rPr>
        <w:t xml:space="preserve"> para ver ejemplos de diagramas,</w:t>
      </w:r>
      <w:r w:rsidR="00B971A7" w:rsidRPr="00B971A7">
        <w:rPr>
          <w:i/>
          <w:lang w:val="es-ES"/>
        </w:rPr>
        <w:t xml:space="preserve"> aunque </w:t>
      </w:r>
      <w:r w:rsidR="00B971A7">
        <w:rPr>
          <w:i/>
          <w:lang w:val="es-ES"/>
        </w:rPr>
        <w:t xml:space="preserve">estos documentos </w:t>
      </w:r>
      <w:r w:rsidR="00B971A7" w:rsidRPr="00B971A7">
        <w:rPr>
          <w:i/>
          <w:lang w:val="es-ES"/>
        </w:rPr>
        <w:t>sólo está</w:t>
      </w:r>
      <w:r w:rsidR="00B971A7">
        <w:rPr>
          <w:i/>
          <w:lang w:val="es-ES"/>
        </w:rPr>
        <w:t>n</w:t>
      </w:r>
      <w:r w:rsidR="00B971A7" w:rsidRPr="00B971A7">
        <w:rPr>
          <w:i/>
          <w:lang w:val="es-ES"/>
        </w:rPr>
        <w:t xml:space="preserve"> disponible</w:t>
      </w:r>
      <w:r w:rsidR="00B971A7">
        <w:rPr>
          <w:i/>
          <w:lang w:val="es-ES"/>
        </w:rPr>
        <w:t>s</w:t>
      </w:r>
      <w:r w:rsidR="00B971A7" w:rsidRPr="00B971A7">
        <w:rPr>
          <w:i/>
          <w:lang w:val="es-ES"/>
        </w:rPr>
        <w:t xml:space="preserve"> en inglés).</w:t>
      </w:r>
      <w:r w:rsidR="00446DEB">
        <w:rPr>
          <w:i/>
          <w:lang w:val="es-ES"/>
        </w:rPr>
        <w:t xml:space="preserve"> </w:t>
      </w:r>
      <w:bookmarkStart w:id="0" w:name="_GoBack"/>
      <w:bookmarkEnd w:id="0"/>
      <w:r w:rsidR="00B971A7">
        <w:rPr>
          <w:i/>
          <w:lang w:val="es-ES"/>
        </w:rPr>
        <w:t xml:space="preserve">Añadir </w:t>
      </w:r>
      <w:r w:rsidR="00B971A7" w:rsidRPr="00C23595">
        <w:rPr>
          <w:i/>
          <w:lang w:val="es-ES"/>
        </w:rPr>
        <w:t>y adaptar las funciones principales</w:t>
      </w:r>
      <w:r w:rsidR="00B971A7">
        <w:rPr>
          <w:i/>
          <w:lang w:val="es-ES"/>
        </w:rPr>
        <w:t xml:space="preserve"> que</w:t>
      </w:r>
      <w:r w:rsidR="00B971A7" w:rsidRPr="00C23595">
        <w:rPr>
          <w:i/>
          <w:lang w:val="es-ES"/>
        </w:rPr>
        <w:t xml:space="preserve"> se indican a continuación para </w:t>
      </w:r>
      <w:r w:rsidR="00B971A7">
        <w:rPr>
          <w:i/>
          <w:lang w:val="es-ES"/>
        </w:rPr>
        <w:t xml:space="preserve">que se ajusten </w:t>
      </w:r>
      <w:r w:rsidR="00B971A7" w:rsidRPr="00C23595">
        <w:rPr>
          <w:i/>
          <w:lang w:val="es-ES"/>
        </w:rPr>
        <w:t>a su contexto</w:t>
      </w:r>
      <w:r w:rsidR="00B971A7">
        <w:rPr>
          <w:i/>
          <w:lang w:val="es-ES"/>
        </w:rPr>
        <w:t xml:space="preserve">. </w:t>
      </w:r>
    </w:p>
    <w:p w14:paraId="2617589F" w14:textId="41074624" w:rsidR="005551F0" w:rsidRPr="00E067AA" w:rsidRDefault="005551F0" w:rsidP="005551F0">
      <w:pPr>
        <w:rPr>
          <w:i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3"/>
        <w:gridCol w:w="2109"/>
        <w:gridCol w:w="1777"/>
        <w:gridCol w:w="1834"/>
        <w:gridCol w:w="1715"/>
      </w:tblGrid>
      <w:tr w:rsidR="005551F0" w:rsidRPr="00E54EEA" w14:paraId="43EB0EB8" w14:textId="77777777" w:rsidTr="005551F0">
        <w:tc>
          <w:tcPr>
            <w:tcW w:w="2193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1267331F" w14:textId="77777777" w:rsidR="005551F0" w:rsidRPr="00E54EEA" w:rsidRDefault="005551F0" w:rsidP="007F1BD3">
            <w:pPr>
              <w:pStyle w:val="Heading3"/>
              <w:spacing w:before="120"/>
              <w:jc w:val="center"/>
              <w:outlineLvl w:val="2"/>
              <w:rPr>
                <w:i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color w:val="FFFFFF" w:themeColor="background1"/>
                <w:sz w:val="20"/>
                <w:szCs w:val="20"/>
              </w:rPr>
              <w:lastRenderedPageBreak/>
              <w:t>Función</w:t>
            </w:r>
            <w:proofErr w:type="spellEnd"/>
            <w:r>
              <w:rPr>
                <w:color w:val="FFFFFF" w:themeColor="background1"/>
                <w:sz w:val="20"/>
                <w:szCs w:val="20"/>
              </w:rPr>
              <w:t xml:space="preserve"> principal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1C20D6C0" w14:textId="77777777" w:rsidR="005551F0" w:rsidRPr="00E067AA" w:rsidRDefault="005551F0" w:rsidP="007F1BD3">
            <w:pPr>
              <w:pStyle w:val="Heading3"/>
              <w:spacing w:before="120"/>
              <w:jc w:val="center"/>
              <w:outlineLvl w:val="2"/>
              <w:rPr>
                <w:i/>
                <w:color w:val="FFFFFF" w:themeColor="background1"/>
                <w:sz w:val="20"/>
                <w:szCs w:val="20"/>
                <w:lang w:val="es-ES"/>
              </w:rPr>
            </w:pPr>
            <w:r w:rsidRPr="00E067AA">
              <w:rPr>
                <w:color w:val="FFFFFF" w:themeColor="background1"/>
                <w:sz w:val="20"/>
                <w:szCs w:val="20"/>
                <w:lang w:val="es-ES"/>
              </w:rPr>
              <w:t>Programas/</w:t>
            </w:r>
            <w:r w:rsidRPr="00E067AA">
              <w:rPr>
                <w:color w:val="FFFFFF" w:themeColor="background1"/>
                <w:sz w:val="20"/>
                <w:szCs w:val="20"/>
                <w:lang w:val="es-ES"/>
              </w:rPr>
              <w:br/>
              <w:t>Gestión de desastres/</w:t>
            </w:r>
            <w:proofErr w:type="spellStart"/>
            <w:r w:rsidRPr="00E067AA">
              <w:rPr>
                <w:color w:val="FFFFFF" w:themeColor="background1"/>
                <w:sz w:val="20"/>
                <w:szCs w:val="20"/>
                <w:lang w:val="es-ES"/>
              </w:rPr>
              <w:t>EcoSec</w:t>
            </w:r>
            <w:proofErr w:type="spellEnd"/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32DB36DA" w14:textId="77777777" w:rsidR="005551F0" w:rsidRPr="00E54EEA" w:rsidRDefault="005551F0" w:rsidP="007F1BD3">
            <w:pPr>
              <w:pStyle w:val="Heading3"/>
              <w:spacing w:before="120"/>
              <w:jc w:val="center"/>
              <w:outlineLvl w:val="2"/>
              <w:rPr>
                <w:i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color w:val="FFFFFF" w:themeColor="background1"/>
                <w:sz w:val="20"/>
                <w:szCs w:val="20"/>
              </w:rPr>
              <w:t>Logí</w:t>
            </w:r>
            <w:r w:rsidRPr="00E54EEA">
              <w:rPr>
                <w:color w:val="FFFFFF" w:themeColor="background1"/>
                <w:sz w:val="20"/>
                <w:szCs w:val="20"/>
              </w:rPr>
              <w:t>stic</w:t>
            </w:r>
            <w:r>
              <w:rPr>
                <w:color w:val="FFFFFF" w:themeColor="background1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1ED41E64" w14:textId="77777777" w:rsidR="005551F0" w:rsidRPr="00E54EEA" w:rsidRDefault="005551F0" w:rsidP="007F1BD3">
            <w:pPr>
              <w:pStyle w:val="Heading3"/>
              <w:spacing w:before="120"/>
              <w:jc w:val="center"/>
              <w:outlineLvl w:val="2"/>
              <w:rPr>
                <w:i/>
                <w:color w:val="FFFFFF" w:themeColor="background1"/>
                <w:sz w:val="20"/>
                <w:szCs w:val="20"/>
              </w:rPr>
            </w:pPr>
            <w:proofErr w:type="spellStart"/>
            <w:r w:rsidRPr="00E54EEA">
              <w:rPr>
                <w:color w:val="FFFFFF" w:themeColor="background1"/>
                <w:sz w:val="20"/>
                <w:szCs w:val="20"/>
              </w:rPr>
              <w:t>Finan</w:t>
            </w:r>
            <w:r>
              <w:rPr>
                <w:color w:val="FFFFFF" w:themeColor="background1"/>
                <w:sz w:val="20"/>
                <w:szCs w:val="20"/>
              </w:rPr>
              <w:t>zas</w:t>
            </w:r>
            <w:proofErr w:type="spellEnd"/>
            <w:r w:rsidRPr="00E54EEA">
              <w:rPr>
                <w:color w:val="FFFFFF" w:themeColor="background1"/>
                <w:sz w:val="20"/>
                <w:szCs w:val="20"/>
              </w:rPr>
              <w:t>/Admin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4A9EA9F6" w14:textId="77777777" w:rsidR="005551F0" w:rsidRPr="00E54EEA" w:rsidRDefault="005551F0" w:rsidP="007F1BD3">
            <w:pPr>
              <w:pStyle w:val="Heading3"/>
              <w:spacing w:before="120"/>
              <w:jc w:val="center"/>
              <w:outlineLvl w:val="2"/>
              <w:rPr>
                <w:i/>
                <w:color w:val="FFFFFF" w:themeColor="background1"/>
                <w:sz w:val="20"/>
                <w:szCs w:val="20"/>
              </w:rPr>
            </w:pPr>
            <w:proofErr w:type="spellStart"/>
            <w:r w:rsidRPr="00E54EEA">
              <w:rPr>
                <w:color w:val="FFFFFF" w:themeColor="background1"/>
                <w:sz w:val="20"/>
                <w:szCs w:val="20"/>
              </w:rPr>
              <w:t>Ot</w:t>
            </w:r>
            <w:r>
              <w:rPr>
                <w:color w:val="FFFFFF" w:themeColor="background1"/>
                <w:sz w:val="20"/>
                <w:szCs w:val="20"/>
              </w:rPr>
              <w:t>ros</w:t>
            </w:r>
            <w:proofErr w:type="spellEnd"/>
          </w:p>
        </w:tc>
      </w:tr>
      <w:tr w:rsidR="005551F0" w:rsidRPr="0069390C" w14:paraId="2DA5BD9F" w14:textId="77777777" w:rsidTr="005551F0">
        <w:tc>
          <w:tcPr>
            <w:tcW w:w="2193" w:type="dxa"/>
            <w:shd w:val="clear" w:color="auto" w:fill="A6A6A6"/>
          </w:tcPr>
          <w:p w14:paraId="2BA08635" w14:textId="77777777" w:rsidR="005551F0" w:rsidRPr="00E067AA" w:rsidRDefault="005551F0" w:rsidP="007F1BD3">
            <w:pPr>
              <w:spacing w:before="20" w:after="20"/>
              <w:rPr>
                <w:i/>
                <w:lang w:val="es-ES"/>
              </w:rPr>
            </w:pPr>
            <w:r w:rsidRPr="00E067AA">
              <w:rPr>
                <w:lang w:val="es-ES"/>
              </w:rPr>
              <w:t xml:space="preserve">Selección de la </w:t>
            </w:r>
            <w:r>
              <w:rPr>
                <w:lang w:val="es-ES"/>
              </w:rPr>
              <w:t xml:space="preserve">modalidad de </w:t>
            </w:r>
            <w:r w:rsidRPr="00E067AA">
              <w:rPr>
                <w:lang w:val="es-ES"/>
              </w:rPr>
              <w:t xml:space="preserve">PTE </w:t>
            </w:r>
          </w:p>
        </w:tc>
        <w:tc>
          <w:tcPr>
            <w:tcW w:w="2109" w:type="dxa"/>
            <w:shd w:val="clear" w:color="auto" w:fill="F3F3F3"/>
          </w:tcPr>
          <w:p w14:paraId="48495F2B" w14:textId="77777777" w:rsidR="005551F0" w:rsidRPr="00E067AA" w:rsidRDefault="005551F0" w:rsidP="007F1BD3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777" w:type="dxa"/>
            <w:shd w:val="clear" w:color="auto" w:fill="F3F3F3"/>
          </w:tcPr>
          <w:p w14:paraId="41D4CC23" w14:textId="77777777" w:rsidR="005551F0" w:rsidRPr="00E067AA" w:rsidRDefault="005551F0" w:rsidP="007F1BD3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834" w:type="dxa"/>
            <w:shd w:val="clear" w:color="auto" w:fill="F3F3F3"/>
          </w:tcPr>
          <w:p w14:paraId="1BA83A8D" w14:textId="77777777" w:rsidR="005551F0" w:rsidRPr="00E067AA" w:rsidRDefault="005551F0" w:rsidP="007F1BD3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715" w:type="dxa"/>
            <w:shd w:val="clear" w:color="auto" w:fill="F3F3F3"/>
          </w:tcPr>
          <w:p w14:paraId="1FDAF2EA" w14:textId="77777777" w:rsidR="005551F0" w:rsidRPr="00E067AA" w:rsidRDefault="005551F0" w:rsidP="007F1BD3">
            <w:pPr>
              <w:spacing w:before="20" w:after="20"/>
              <w:rPr>
                <w:i/>
                <w:lang w:val="es-ES"/>
              </w:rPr>
            </w:pPr>
          </w:p>
        </w:tc>
      </w:tr>
      <w:tr w:rsidR="005551F0" w:rsidRPr="0069390C" w14:paraId="5391718E" w14:textId="77777777" w:rsidTr="005551F0">
        <w:tc>
          <w:tcPr>
            <w:tcW w:w="2193" w:type="dxa"/>
            <w:shd w:val="clear" w:color="auto" w:fill="A6A6A6"/>
          </w:tcPr>
          <w:p w14:paraId="4A684298" w14:textId="77777777" w:rsidR="005551F0" w:rsidRPr="00E067AA" w:rsidRDefault="005551F0" w:rsidP="007F1BD3">
            <w:pPr>
              <w:spacing w:before="20" w:after="20"/>
              <w:rPr>
                <w:i/>
                <w:lang w:val="es-ES"/>
              </w:rPr>
            </w:pPr>
            <w:r>
              <w:rPr>
                <w:lang w:val="es-ES"/>
              </w:rPr>
              <w:t>Establecer el valor de la transferencia</w:t>
            </w:r>
          </w:p>
        </w:tc>
        <w:tc>
          <w:tcPr>
            <w:tcW w:w="2109" w:type="dxa"/>
            <w:shd w:val="clear" w:color="auto" w:fill="F3F3F3"/>
          </w:tcPr>
          <w:p w14:paraId="1CCFA626" w14:textId="77777777" w:rsidR="005551F0" w:rsidRPr="00E067AA" w:rsidRDefault="005551F0" w:rsidP="007F1BD3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777" w:type="dxa"/>
            <w:shd w:val="clear" w:color="auto" w:fill="F3F3F3"/>
          </w:tcPr>
          <w:p w14:paraId="6525CCFB" w14:textId="77777777" w:rsidR="005551F0" w:rsidRPr="00E067AA" w:rsidRDefault="005551F0" w:rsidP="007F1BD3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834" w:type="dxa"/>
            <w:shd w:val="clear" w:color="auto" w:fill="F3F3F3"/>
          </w:tcPr>
          <w:p w14:paraId="76359677" w14:textId="77777777" w:rsidR="005551F0" w:rsidRPr="00E067AA" w:rsidRDefault="005551F0" w:rsidP="007F1BD3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715" w:type="dxa"/>
            <w:shd w:val="clear" w:color="auto" w:fill="F3F3F3"/>
          </w:tcPr>
          <w:p w14:paraId="00DA58E8" w14:textId="77777777" w:rsidR="005551F0" w:rsidRPr="00E067AA" w:rsidRDefault="005551F0" w:rsidP="007F1BD3">
            <w:pPr>
              <w:spacing w:before="20" w:after="20"/>
              <w:rPr>
                <w:i/>
                <w:lang w:val="es-ES"/>
              </w:rPr>
            </w:pPr>
          </w:p>
        </w:tc>
      </w:tr>
      <w:tr w:rsidR="005551F0" w:rsidRPr="00E54EEA" w14:paraId="27B14D6E" w14:textId="77777777" w:rsidTr="005551F0">
        <w:tc>
          <w:tcPr>
            <w:tcW w:w="2193" w:type="dxa"/>
            <w:shd w:val="clear" w:color="auto" w:fill="A6A6A6"/>
          </w:tcPr>
          <w:p w14:paraId="0DBE340D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  <w:proofErr w:type="spellStart"/>
            <w:r>
              <w:t>Evaluación</w:t>
            </w:r>
            <w:proofErr w:type="spellEnd"/>
            <w:r>
              <w:t xml:space="preserve"> del </w:t>
            </w:r>
            <w:proofErr w:type="spellStart"/>
            <w:r>
              <w:t>mercado</w:t>
            </w:r>
            <w:proofErr w:type="spellEnd"/>
          </w:p>
        </w:tc>
        <w:tc>
          <w:tcPr>
            <w:tcW w:w="2109" w:type="dxa"/>
            <w:shd w:val="clear" w:color="auto" w:fill="F3F3F3"/>
          </w:tcPr>
          <w:p w14:paraId="54DF7F08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</w:p>
        </w:tc>
        <w:tc>
          <w:tcPr>
            <w:tcW w:w="1777" w:type="dxa"/>
            <w:shd w:val="clear" w:color="auto" w:fill="F3F3F3"/>
          </w:tcPr>
          <w:p w14:paraId="1D194B79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</w:p>
        </w:tc>
        <w:tc>
          <w:tcPr>
            <w:tcW w:w="1834" w:type="dxa"/>
            <w:shd w:val="clear" w:color="auto" w:fill="F3F3F3"/>
          </w:tcPr>
          <w:p w14:paraId="6E711435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</w:p>
        </w:tc>
        <w:tc>
          <w:tcPr>
            <w:tcW w:w="1715" w:type="dxa"/>
            <w:shd w:val="clear" w:color="auto" w:fill="F3F3F3"/>
          </w:tcPr>
          <w:p w14:paraId="03211863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</w:p>
        </w:tc>
      </w:tr>
      <w:tr w:rsidR="005551F0" w:rsidRPr="0069390C" w14:paraId="7CDD9B46" w14:textId="77777777" w:rsidTr="005551F0">
        <w:tc>
          <w:tcPr>
            <w:tcW w:w="2193" w:type="dxa"/>
            <w:shd w:val="clear" w:color="auto" w:fill="A6A6A6"/>
          </w:tcPr>
          <w:p w14:paraId="57F44908" w14:textId="77777777" w:rsidR="005551F0" w:rsidRPr="00E067AA" w:rsidRDefault="005551F0" w:rsidP="007F1BD3">
            <w:pPr>
              <w:spacing w:before="20" w:after="20"/>
              <w:rPr>
                <w:i/>
                <w:lang w:val="es-ES"/>
              </w:rPr>
            </w:pPr>
            <w:r w:rsidRPr="00E067AA">
              <w:rPr>
                <w:lang w:val="es-ES"/>
              </w:rPr>
              <w:t>Selección de</w:t>
            </w:r>
            <w:r>
              <w:rPr>
                <w:lang w:val="es-ES"/>
              </w:rPr>
              <w:t>l</w:t>
            </w:r>
            <w:r w:rsidRPr="00E067AA">
              <w:rPr>
                <w:lang w:val="es-ES"/>
              </w:rPr>
              <w:t xml:space="preserve"> proveedor de servicios</w:t>
            </w:r>
          </w:p>
        </w:tc>
        <w:tc>
          <w:tcPr>
            <w:tcW w:w="2109" w:type="dxa"/>
            <w:shd w:val="clear" w:color="auto" w:fill="F3F3F3"/>
          </w:tcPr>
          <w:p w14:paraId="51A2A11B" w14:textId="77777777" w:rsidR="005551F0" w:rsidRPr="00E067AA" w:rsidRDefault="005551F0" w:rsidP="007F1BD3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777" w:type="dxa"/>
            <w:shd w:val="clear" w:color="auto" w:fill="F3F3F3"/>
          </w:tcPr>
          <w:p w14:paraId="670B638B" w14:textId="77777777" w:rsidR="005551F0" w:rsidRPr="00E067AA" w:rsidRDefault="005551F0" w:rsidP="007F1BD3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834" w:type="dxa"/>
            <w:shd w:val="clear" w:color="auto" w:fill="F3F3F3"/>
          </w:tcPr>
          <w:p w14:paraId="3AF6CA6D" w14:textId="77777777" w:rsidR="005551F0" w:rsidRPr="00E067AA" w:rsidRDefault="005551F0" w:rsidP="007F1BD3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715" w:type="dxa"/>
            <w:shd w:val="clear" w:color="auto" w:fill="F3F3F3"/>
          </w:tcPr>
          <w:p w14:paraId="28C085E6" w14:textId="77777777" w:rsidR="005551F0" w:rsidRPr="00E067AA" w:rsidRDefault="005551F0" w:rsidP="007F1BD3">
            <w:pPr>
              <w:spacing w:before="20" w:after="20"/>
              <w:rPr>
                <w:i/>
                <w:lang w:val="es-ES"/>
              </w:rPr>
            </w:pPr>
          </w:p>
        </w:tc>
      </w:tr>
      <w:tr w:rsidR="005551F0" w:rsidRPr="00E54EEA" w14:paraId="25D07CCE" w14:textId="77777777" w:rsidTr="005551F0">
        <w:tc>
          <w:tcPr>
            <w:tcW w:w="2193" w:type="dxa"/>
            <w:shd w:val="clear" w:color="auto" w:fill="A6A6A6"/>
          </w:tcPr>
          <w:p w14:paraId="5C9ABAA6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  <w:r>
              <w:t>A</w:t>
            </w:r>
            <w:r w:rsidRPr="00E54EEA">
              <w:t>udit</w:t>
            </w:r>
            <w:r>
              <w:t xml:space="preserve">oria de </w:t>
            </w:r>
            <w:proofErr w:type="spellStart"/>
            <w:r>
              <w:t>r</w:t>
            </w:r>
            <w:r w:rsidRPr="00E54EEA">
              <w:t>i</w:t>
            </w:r>
            <w:r>
              <w:t>e</w:t>
            </w:r>
            <w:r w:rsidRPr="00E54EEA">
              <w:t>s</w:t>
            </w:r>
            <w:r>
              <w:t>gos</w:t>
            </w:r>
            <w:proofErr w:type="spellEnd"/>
          </w:p>
        </w:tc>
        <w:tc>
          <w:tcPr>
            <w:tcW w:w="2109" w:type="dxa"/>
            <w:shd w:val="clear" w:color="auto" w:fill="F3F3F3"/>
          </w:tcPr>
          <w:p w14:paraId="36F753A3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</w:p>
        </w:tc>
        <w:tc>
          <w:tcPr>
            <w:tcW w:w="1777" w:type="dxa"/>
            <w:shd w:val="clear" w:color="auto" w:fill="F3F3F3"/>
          </w:tcPr>
          <w:p w14:paraId="49506C2E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</w:p>
        </w:tc>
        <w:tc>
          <w:tcPr>
            <w:tcW w:w="1834" w:type="dxa"/>
            <w:shd w:val="clear" w:color="auto" w:fill="F3F3F3"/>
          </w:tcPr>
          <w:p w14:paraId="2D5303FE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</w:p>
        </w:tc>
        <w:tc>
          <w:tcPr>
            <w:tcW w:w="1715" w:type="dxa"/>
            <w:shd w:val="clear" w:color="auto" w:fill="F3F3F3"/>
          </w:tcPr>
          <w:p w14:paraId="64CCF499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</w:p>
        </w:tc>
      </w:tr>
      <w:tr w:rsidR="005551F0" w:rsidRPr="00E54EEA" w14:paraId="1E624980" w14:textId="77777777" w:rsidTr="005551F0">
        <w:tc>
          <w:tcPr>
            <w:tcW w:w="2193" w:type="dxa"/>
            <w:shd w:val="clear" w:color="auto" w:fill="A6A6A6"/>
          </w:tcPr>
          <w:p w14:paraId="4A50C1E7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  <w:proofErr w:type="spellStart"/>
            <w:r>
              <w:t>R</w:t>
            </w:r>
            <w:r w:rsidRPr="00E54EEA">
              <w:t>egistr</w:t>
            </w:r>
            <w:r>
              <w:t>o</w:t>
            </w:r>
            <w:proofErr w:type="spellEnd"/>
            <w:r>
              <w:t xml:space="preserve"> de </w:t>
            </w:r>
            <w:proofErr w:type="spellStart"/>
            <w:r>
              <w:t>b</w:t>
            </w:r>
            <w:r w:rsidRPr="00E54EEA">
              <w:t>eneficiar</w:t>
            </w:r>
            <w:r>
              <w:t>ios</w:t>
            </w:r>
            <w:proofErr w:type="spellEnd"/>
            <w:r w:rsidRPr="00E54EEA">
              <w:t xml:space="preserve"> </w:t>
            </w:r>
          </w:p>
        </w:tc>
        <w:tc>
          <w:tcPr>
            <w:tcW w:w="2109" w:type="dxa"/>
            <w:shd w:val="clear" w:color="auto" w:fill="F3F3F3"/>
          </w:tcPr>
          <w:p w14:paraId="172B974F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</w:p>
        </w:tc>
        <w:tc>
          <w:tcPr>
            <w:tcW w:w="1777" w:type="dxa"/>
            <w:shd w:val="clear" w:color="auto" w:fill="F3F3F3"/>
          </w:tcPr>
          <w:p w14:paraId="7E5863BF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</w:p>
        </w:tc>
        <w:tc>
          <w:tcPr>
            <w:tcW w:w="1834" w:type="dxa"/>
            <w:shd w:val="clear" w:color="auto" w:fill="F3F3F3"/>
          </w:tcPr>
          <w:p w14:paraId="1FF7A37B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</w:p>
        </w:tc>
        <w:tc>
          <w:tcPr>
            <w:tcW w:w="1715" w:type="dxa"/>
            <w:shd w:val="clear" w:color="auto" w:fill="F3F3F3"/>
          </w:tcPr>
          <w:p w14:paraId="7A475A5B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</w:p>
        </w:tc>
      </w:tr>
      <w:tr w:rsidR="005551F0" w:rsidRPr="00E54EEA" w14:paraId="4D959058" w14:textId="77777777" w:rsidTr="005551F0">
        <w:tc>
          <w:tcPr>
            <w:tcW w:w="2193" w:type="dxa"/>
            <w:shd w:val="clear" w:color="auto" w:fill="A6A6A6"/>
          </w:tcPr>
          <w:p w14:paraId="3BAA7177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  <w:proofErr w:type="spellStart"/>
            <w:r>
              <w:t>Contratación</w:t>
            </w:r>
            <w:proofErr w:type="spellEnd"/>
            <w:r>
              <w:t xml:space="preserve"> de </w:t>
            </w:r>
            <w:proofErr w:type="spellStart"/>
            <w:r>
              <w:t>terceros</w:t>
            </w:r>
            <w:proofErr w:type="spellEnd"/>
            <w:r>
              <w:t xml:space="preserve"> </w:t>
            </w:r>
          </w:p>
        </w:tc>
        <w:tc>
          <w:tcPr>
            <w:tcW w:w="2109" w:type="dxa"/>
            <w:shd w:val="clear" w:color="auto" w:fill="F3F3F3"/>
          </w:tcPr>
          <w:p w14:paraId="14CFC464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</w:p>
        </w:tc>
        <w:tc>
          <w:tcPr>
            <w:tcW w:w="1777" w:type="dxa"/>
            <w:shd w:val="clear" w:color="auto" w:fill="F3F3F3"/>
          </w:tcPr>
          <w:p w14:paraId="01ADE1DC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</w:p>
        </w:tc>
        <w:tc>
          <w:tcPr>
            <w:tcW w:w="1834" w:type="dxa"/>
            <w:shd w:val="clear" w:color="auto" w:fill="F3F3F3"/>
          </w:tcPr>
          <w:p w14:paraId="06BE6AE0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</w:p>
        </w:tc>
        <w:tc>
          <w:tcPr>
            <w:tcW w:w="1715" w:type="dxa"/>
            <w:shd w:val="clear" w:color="auto" w:fill="F3F3F3"/>
          </w:tcPr>
          <w:p w14:paraId="5216BE76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</w:p>
        </w:tc>
      </w:tr>
      <w:tr w:rsidR="005551F0" w:rsidRPr="0069390C" w14:paraId="6FF5EA69" w14:textId="77777777" w:rsidTr="005551F0">
        <w:tc>
          <w:tcPr>
            <w:tcW w:w="2193" w:type="dxa"/>
            <w:shd w:val="clear" w:color="auto" w:fill="A6A6A6"/>
          </w:tcPr>
          <w:p w14:paraId="7DCF6891" w14:textId="4A2E1747" w:rsidR="005551F0" w:rsidRPr="00E067AA" w:rsidRDefault="005551F0" w:rsidP="00B971A7">
            <w:pPr>
              <w:spacing w:before="20" w:after="20"/>
              <w:rPr>
                <w:i/>
                <w:lang w:val="es-ES"/>
              </w:rPr>
            </w:pPr>
            <w:r w:rsidRPr="00E067AA">
              <w:rPr>
                <w:lang w:val="es-ES"/>
              </w:rPr>
              <w:t>Validación de las transferencias a los beneficiarios</w:t>
            </w:r>
          </w:p>
        </w:tc>
        <w:tc>
          <w:tcPr>
            <w:tcW w:w="2109" w:type="dxa"/>
            <w:shd w:val="clear" w:color="auto" w:fill="F3F3F3"/>
          </w:tcPr>
          <w:p w14:paraId="18EB7266" w14:textId="77777777" w:rsidR="005551F0" w:rsidRPr="00E067AA" w:rsidRDefault="005551F0" w:rsidP="007F1BD3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777" w:type="dxa"/>
            <w:shd w:val="clear" w:color="auto" w:fill="F3F3F3"/>
          </w:tcPr>
          <w:p w14:paraId="1B905FF0" w14:textId="77777777" w:rsidR="005551F0" w:rsidRPr="00E067AA" w:rsidRDefault="005551F0" w:rsidP="007F1BD3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834" w:type="dxa"/>
            <w:shd w:val="clear" w:color="auto" w:fill="F3F3F3"/>
          </w:tcPr>
          <w:p w14:paraId="0CBD4C76" w14:textId="77777777" w:rsidR="005551F0" w:rsidRPr="00E067AA" w:rsidRDefault="005551F0" w:rsidP="007F1BD3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715" w:type="dxa"/>
            <w:shd w:val="clear" w:color="auto" w:fill="F3F3F3"/>
          </w:tcPr>
          <w:p w14:paraId="552B0F47" w14:textId="77777777" w:rsidR="005551F0" w:rsidRPr="00E067AA" w:rsidRDefault="005551F0" w:rsidP="007F1BD3">
            <w:pPr>
              <w:spacing w:before="20" w:after="20"/>
              <w:rPr>
                <w:i/>
                <w:lang w:val="es-ES"/>
              </w:rPr>
            </w:pPr>
          </w:p>
        </w:tc>
      </w:tr>
      <w:tr w:rsidR="005551F0" w:rsidRPr="00E54EEA" w14:paraId="296BB29E" w14:textId="77777777" w:rsidTr="005551F0">
        <w:tc>
          <w:tcPr>
            <w:tcW w:w="2193" w:type="dxa"/>
            <w:shd w:val="clear" w:color="auto" w:fill="A6A6A6"/>
          </w:tcPr>
          <w:p w14:paraId="482EB342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  <w:proofErr w:type="spellStart"/>
            <w:r w:rsidRPr="00E54EEA">
              <w:t>Reconcilia</w:t>
            </w:r>
            <w:r>
              <w:t>ción</w:t>
            </w:r>
            <w:proofErr w:type="spellEnd"/>
            <w:r>
              <w:t xml:space="preserve"> de las </w:t>
            </w:r>
            <w:proofErr w:type="spellStart"/>
            <w:r w:rsidRPr="00E54EEA">
              <w:t>transfer</w:t>
            </w:r>
            <w:r>
              <w:t>encias</w:t>
            </w:r>
            <w:proofErr w:type="spellEnd"/>
          </w:p>
        </w:tc>
        <w:tc>
          <w:tcPr>
            <w:tcW w:w="2109" w:type="dxa"/>
            <w:shd w:val="clear" w:color="auto" w:fill="F3F3F3"/>
          </w:tcPr>
          <w:p w14:paraId="429FC138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</w:p>
        </w:tc>
        <w:tc>
          <w:tcPr>
            <w:tcW w:w="1777" w:type="dxa"/>
            <w:shd w:val="clear" w:color="auto" w:fill="F3F3F3"/>
          </w:tcPr>
          <w:p w14:paraId="05C45DCF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</w:p>
        </w:tc>
        <w:tc>
          <w:tcPr>
            <w:tcW w:w="1834" w:type="dxa"/>
            <w:shd w:val="clear" w:color="auto" w:fill="F3F3F3"/>
          </w:tcPr>
          <w:p w14:paraId="594F8738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</w:p>
        </w:tc>
        <w:tc>
          <w:tcPr>
            <w:tcW w:w="1715" w:type="dxa"/>
            <w:shd w:val="clear" w:color="auto" w:fill="F3F3F3"/>
          </w:tcPr>
          <w:p w14:paraId="5B0351F3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</w:p>
        </w:tc>
      </w:tr>
      <w:tr w:rsidR="005551F0" w:rsidRPr="0069390C" w14:paraId="41779723" w14:textId="77777777" w:rsidTr="005551F0">
        <w:tc>
          <w:tcPr>
            <w:tcW w:w="2193" w:type="dxa"/>
            <w:shd w:val="clear" w:color="auto" w:fill="A6A6A6"/>
          </w:tcPr>
          <w:p w14:paraId="23B01AFC" w14:textId="77777777" w:rsidR="005551F0" w:rsidRPr="005733A5" w:rsidRDefault="005551F0" w:rsidP="007F1BD3">
            <w:pPr>
              <w:spacing w:before="20" w:after="20"/>
              <w:rPr>
                <w:i/>
                <w:lang w:val="es-ES"/>
              </w:rPr>
            </w:pPr>
            <w:r w:rsidRPr="005733A5">
              <w:rPr>
                <w:lang w:val="es-ES"/>
              </w:rPr>
              <w:t xml:space="preserve">Seguimiento de </w:t>
            </w:r>
            <w:r>
              <w:rPr>
                <w:lang w:val="es-ES"/>
              </w:rPr>
              <w:t>los mecanismos de retro</w:t>
            </w:r>
            <w:r w:rsidRPr="005733A5">
              <w:rPr>
                <w:lang w:val="es-ES"/>
              </w:rPr>
              <w:t>alimentación y respuesta</w:t>
            </w:r>
          </w:p>
        </w:tc>
        <w:tc>
          <w:tcPr>
            <w:tcW w:w="2109" w:type="dxa"/>
            <w:shd w:val="clear" w:color="auto" w:fill="F3F3F3"/>
          </w:tcPr>
          <w:p w14:paraId="3608093E" w14:textId="77777777" w:rsidR="005551F0" w:rsidRPr="005733A5" w:rsidRDefault="005551F0" w:rsidP="007F1BD3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777" w:type="dxa"/>
            <w:shd w:val="clear" w:color="auto" w:fill="F3F3F3"/>
          </w:tcPr>
          <w:p w14:paraId="6D57653D" w14:textId="77777777" w:rsidR="005551F0" w:rsidRPr="005733A5" w:rsidRDefault="005551F0" w:rsidP="007F1BD3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834" w:type="dxa"/>
            <w:shd w:val="clear" w:color="auto" w:fill="F3F3F3"/>
          </w:tcPr>
          <w:p w14:paraId="4CD3CD92" w14:textId="77777777" w:rsidR="005551F0" w:rsidRPr="005733A5" w:rsidRDefault="005551F0" w:rsidP="007F1BD3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715" w:type="dxa"/>
            <w:shd w:val="clear" w:color="auto" w:fill="F3F3F3"/>
          </w:tcPr>
          <w:p w14:paraId="74822FFB" w14:textId="77777777" w:rsidR="005551F0" w:rsidRPr="005733A5" w:rsidRDefault="005551F0" w:rsidP="007F1BD3">
            <w:pPr>
              <w:spacing w:before="20" w:after="20"/>
              <w:rPr>
                <w:i/>
                <w:lang w:val="es-ES"/>
              </w:rPr>
            </w:pPr>
          </w:p>
        </w:tc>
      </w:tr>
      <w:tr w:rsidR="005551F0" w:rsidRPr="0069390C" w14:paraId="5004AD90" w14:textId="77777777" w:rsidTr="005551F0">
        <w:tc>
          <w:tcPr>
            <w:tcW w:w="2193" w:type="dxa"/>
            <w:shd w:val="clear" w:color="auto" w:fill="A6A6A6"/>
          </w:tcPr>
          <w:p w14:paraId="23EDE35F" w14:textId="77777777" w:rsidR="005551F0" w:rsidRPr="005733A5" w:rsidRDefault="005551F0" w:rsidP="007F1BD3">
            <w:pPr>
              <w:spacing w:before="20" w:after="20"/>
              <w:rPr>
                <w:i/>
                <w:lang w:val="es-ES"/>
              </w:rPr>
            </w:pPr>
            <w:r w:rsidRPr="005733A5">
              <w:rPr>
                <w:lang w:val="es-ES"/>
              </w:rPr>
              <w:t>Monitoreo de los precios del mercado</w:t>
            </w:r>
          </w:p>
        </w:tc>
        <w:tc>
          <w:tcPr>
            <w:tcW w:w="2109" w:type="dxa"/>
            <w:shd w:val="clear" w:color="auto" w:fill="F3F3F3"/>
          </w:tcPr>
          <w:p w14:paraId="78387C30" w14:textId="77777777" w:rsidR="005551F0" w:rsidRPr="005733A5" w:rsidRDefault="005551F0" w:rsidP="007F1BD3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777" w:type="dxa"/>
            <w:shd w:val="clear" w:color="auto" w:fill="F3F3F3"/>
          </w:tcPr>
          <w:p w14:paraId="2A0144FC" w14:textId="77777777" w:rsidR="005551F0" w:rsidRPr="005733A5" w:rsidRDefault="005551F0" w:rsidP="007F1BD3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834" w:type="dxa"/>
            <w:shd w:val="clear" w:color="auto" w:fill="F3F3F3"/>
          </w:tcPr>
          <w:p w14:paraId="0DC041A8" w14:textId="77777777" w:rsidR="005551F0" w:rsidRPr="005733A5" w:rsidRDefault="005551F0" w:rsidP="007F1BD3">
            <w:pPr>
              <w:spacing w:before="20" w:after="20"/>
              <w:rPr>
                <w:i/>
                <w:lang w:val="es-ES"/>
              </w:rPr>
            </w:pPr>
          </w:p>
        </w:tc>
        <w:tc>
          <w:tcPr>
            <w:tcW w:w="1715" w:type="dxa"/>
            <w:shd w:val="clear" w:color="auto" w:fill="F3F3F3"/>
          </w:tcPr>
          <w:p w14:paraId="23A36FCC" w14:textId="77777777" w:rsidR="005551F0" w:rsidRPr="005733A5" w:rsidRDefault="005551F0" w:rsidP="007F1BD3">
            <w:pPr>
              <w:spacing w:before="20" w:after="20"/>
              <w:rPr>
                <w:i/>
                <w:lang w:val="es-ES"/>
              </w:rPr>
            </w:pPr>
          </w:p>
        </w:tc>
      </w:tr>
      <w:tr w:rsidR="005551F0" w:rsidRPr="00E54EEA" w14:paraId="24DFFA4B" w14:textId="77777777" w:rsidTr="005551F0">
        <w:tc>
          <w:tcPr>
            <w:tcW w:w="2193" w:type="dxa"/>
            <w:shd w:val="clear" w:color="auto" w:fill="A6A6A6"/>
          </w:tcPr>
          <w:p w14:paraId="5E835FF4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  <w:proofErr w:type="spellStart"/>
            <w:r>
              <w:t>Otros</w:t>
            </w:r>
            <w:proofErr w:type="spellEnd"/>
          </w:p>
        </w:tc>
        <w:tc>
          <w:tcPr>
            <w:tcW w:w="2109" w:type="dxa"/>
            <w:shd w:val="clear" w:color="auto" w:fill="F3F3F3"/>
          </w:tcPr>
          <w:p w14:paraId="7104EA08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</w:p>
        </w:tc>
        <w:tc>
          <w:tcPr>
            <w:tcW w:w="1777" w:type="dxa"/>
            <w:shd w:val="clear" w:color="auto" w:fill="F3F3F3"/>
          </w:tcPr>
          <w:p w14:paraId="64931F4D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</w:p>
        </w:tc>
        <w:tc>
          <w:tcPr>
            <w:tcW w:w="1834" w:type="dxa"/>
            <w:shd w:val="clear" w:color="auto" w:fill="F3F3F3"/>
          </w:tcPr>
          <w:p w14:paraId="7B24CA79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</w:p>
        </w:tc>
        <w:tc>
          <w:tcPr>
            <w:tcW w:w="1715" w:type="dxa"/>
            <w:shd w:val="clear" w:color="auto" w:fill="F3F3F3"/>
          </w:tcPr>
          <w:p w14:paraId="4D788DAD" w14:textId="77777777" w:rsidR="005551F0" w:rsidRPr="00E54EEA" w:rsidRDefault="005551F0" w:rsidP="007F1BD3">
            <w:pPr>
              <w:spacing w:before="20" w:after="20"/>
              <w:rPr>
                <w:i/>
              </w:rPr>
            </w:pPr>
          </w:p>
        </w:tc>
      </w:tr>
    </w:tbl>
    <w:p w14:paraId="1D6F3C17" w14:textId="77777777" w:rsidR="005551F0" w:rsidRPr="00E54EEA" w:rsidRDefault="005551F0" w:rsidP="00FF617E">
      <w:pPr>
        <w:rPr>
          <w:i/>
        </w:rPr>
      </w:pPr>
    </w:p>
    <w:p w14:paraId="25880D6F" w14:textId="6A504AB8" w:rsidR="00996396" w:rsidRPr="003345FD" w:rsidRDefault="003345FD" w:rsidP="00D61AD7">
      <w:pPr>
        <w:pStyle w:val="Heading3"/>
        <w:rPr>
          <w:lang w:val="es-ES"/>
        </w:rPr>
      </w:pPr>
      <w:r w:rsidRPr="003345FD">
        <w:rPr>
          <w:lang w:val="es-ES"/>
        </w:rPr>
        <w:t>Formas de trabajar</w:t>
      </w:r>
    </w:p>
    <w:p w14:paraId="6F781DEF" w14:textId="5EB602E9" w:rsidR="00996396" w:rsidRPr="003345FD" w:rsidRDefault="003345FD" w:rsidP="004D2939">
      <w:pPr>
        <w:spacing w:after="60"/>
        <w:jc w:val="left"/>
        <w:rPr>
          <w:i/>
          <w:lang w:val="es-ES"/>
        </w:rPr>
      </w:pPr>
      <w:r>
        <w:rPr>
          <w:i/>
          <w:lang w:val="es-ES"/>
        </w:rPr>
        <w:t xml:space="preserve">Indicar claramente los mecanismos para </w:t>
      </w:r>
      <w:r w:rsidRPr="003345FD">
        <w:rPr>
          <w:i/>
          <w:lang w:val="es-ES"/>
        </w:rPr>
        <w:t>las formas de trabajo que han sido establecidas, entre ellas</w:t>
      </w:r>
      <w:r w:rsidR="00996396" w:rsidRPr="003345FD">
        <w:rPr>
          <w:i/>
          <w:lang w:val="es-ES"/>
        </w:rPr>
        <w:t xml:space="preserve">: </w:t>
      </w:r>
    </w:p>
    <w:p w14:paraId="697083EA" w14:textId="14FD7823" w:rsidR="003345FD" w:rsidRPr="003345FD" w:rsidRDefault="00F56EA8" w:rsidP="003345FD">
      <w:pPr>
        <w:pStyle w:val="Bullet2"/>
        <w:rPr>
          <w:lang w:val="es-ES"/>
        </w:rPr>
      </w:pPr>
      <w:r w:rsidRPr="003345FD">
        <w:rPr>
          <w:lang w:val="es-ES"/>
        </w:rPr>
        <w:t xml:space="preserve">GTT </w:t>
      </w:r>
      <w:r w:rsidR="00B971A7">
        <w:rPr>
          <w:lang w:val="es-ES"/>
        </w:rPr>
        <w:t xml:space="preserve">para </w:t>
      </w:r>
      <w:r w:rsidR="003345FD" w:rsidRPr="003345FD">
        <w:rPr>
          <w:lang w:val="es-ES"/>
        </w:rPr>
        <w:t>PTE (</w:t>
      </w:r>
      <w:r>
        <w:rPr>
          <w:lang w:val="es-ES"/>
        </w:rPr>
        <w:t xml:space="preserve">indicar los </w:t>
      </w:r>
      <w:r w:rsidR="003345FD" w:rsidRPr="003345FD">
        <w:rPr>
          <w:lang w:val="es-ES"/>
        </w:rPr>
        <w:t>miembros</w:t>
      </w:r>
      <w:r>
        <w:rPr>
          <w:lang w:val="es-ES"/>
        </w:rPr>
        <w:t xml:space="preserve"> </w:t>
      </w:r>
      <w:r w:rsidR="003345FD" w:rsidRPr="003345FD">
        <w:rPr>
          <w:lang w:val="es-ES"/>
        </w:rPr>
        <w:t xml:space="preserve">y </w:t>
      </w:r>
      <w:r>
        <w:rPr>
          <w:lang w:val="es-ES"/>
        </w:rPr>
        <w:t xml:space="preserve">las </w:t>
      </w:r>
      <w:r w:rsidR="003345FD" w:rsidRPr="003345FD">
        <w:rPr>
          <w:lang w:val="es-ES"/>
        </w:rPr>
        <w:t>reuniones planificadas)</w:t>
      </w:r>
    </w:p>
    <w:p w14:paraId="1C81A54A" w14:textId="6F260541" w:rsidR="003345FD" w:rsidRPr="003345FD" w:rsidRDefault="003345FD" w:rsidP="003345FD">
      <w:pPr>
        <w:pStyle w:val="Bullet2"/>
        <w:rPr>
          <w:lang w:val="es-ES"/>
        </w:rPr>
      </w:pPr>
      <w:r w:rsidRPr="003345FD">
        <w:rPr>
          <w:lang w:val="es-ES"/>
        </w:rPr>
        <w:t xml:space="preserve">Punto focal </w:t>
      </w:r>
      <w:r w:rsidR="00B971A7">
        <w:rPr>
          <w:lang w:val="es-ES"/>
        </w:rPr>
        <w:t xml:space="preserve">para </w:t>
      </w:r>
      <w:r w:rsidR="00F56EA8">
        <w:rPr>
          <w:lang w:val="es-ES"/>
        </w:rPr>
        <w:t xml:space="preserve">PTE </w:t>
      </w:r>
      <w:r w:rsidRPr="003345FD">
        <w:rPr>
          <w:lang w:val="es-ES"/>
        </w:rPr>
        <w:t>(</w:t>
      </w:r>
      <w:r w:rsidR="00F56EA8">
        <w:rPr>
          <w:lang w:val="es-ES"/>
        </w:rPr>
        <w:t xml:space="preserve">Indicar su </w:t>
      </w:r>
      <w:r w:rsidRPr="003345FD">
        <w:rPr>
          <w:lang w:val="es-ES"/>
        </w:rPr>
        <w:t xml:space="preserve">función principal </w:t>
      </w:r>
      <w:r w:rsidR="00F56EA8">
        <w:rPr>
          <w:lang w:val="es-ES"/>
        </w:rPr>
        <w:t>a nivel nacional/de seccionales</w:t>
      </w:r>
      <w:r w:rsidRPr="003345FD">
        <w:rPr>
          <w:lang w:val="es-ES"/>
        </w:rPr>
        <w:t>/</w:t>
      </w:r>
      <w:r w:rsidR="00F56EA8">
        <w:rPr>
          <w:lang w:val="es-ES"/>
        </w:rPr>
        <w:t>terreno</w:t>
      </w:r>
      <w:r w:rsidRPr="003345FD">
        <w:rPr>
          <w:lang w:val="es-ES"/>
        </w:rPr>
        <w:t>)</w:t>
      </w:r>
    </w:p>
    <w:p w14:paraId="34AED655" w14:textId="55D570D8" w:rsidR="003345FD" w:rsidRPr="003345FD" w:rsidRDefault="00F56EA8" w:rsidP="003345FD">
      <w:pPr>
        <w:pStyle w:val="Bullet2"/>
        <w:rPr>
          <w:lang w:val="es-ES"/>
        </w:rPr>
      </w:pPr>
      <w:r>
        <w:rPr>
          <w:lang w:val="es-ES"/>
        </w:rPr>
        <w:t>Gestión de desastres/</w:t>
      </w:r>
      <w:r w:rsidR="003345FD" w:rsidRPr="003345FD">
        <w:rPr>
          <w:lang w:val="es-ES"/>
        </w:rPr>
        <w:t>Programas/</w:t>
      </w:r>
      <w:proofErr w:type="spellStart"/>
      <w:r>
        <w:rPr>
          <w:lang w:val="es-ES"/>
        </w:rPr>
        <w:t>EcoSec</w:t>
      </w:r>
      <w:proofErr w:type="spellEnd"/>
      <w:r>
        <w:rPr>
          <w:lang w:val="es-ES"/>
        </w:rPr>
        <w:t xml:space="preserve"> (indicar roles </w:t>
      </w:r>
      <w:r w:rsidR="003345FD" w:rsidRPr="003345FD">
        <w:rPr>
          <w:lang w:val="es-ES"/>
        </w:rPr>
        <w:t>principales)</w:t>
      </w:r>
    </w:p>
    <w:p w14:paraId="32615B8A" w14:textId="1A4132CE" w:rsidR="003345FD" w:rsidRDefault="003345FD" w:rsidP="003345FD">
      <w:pPr>
        <w:pStyle w:val="Bullet2"/>
      </w:pPr>
      <w:proofErr w:type="spellStart"/>
      <w:r>
        <w:t>Coordinación</w:t>
      </w:r>
      <w:proofErr w:type="spellEnd"/>
      <w:r>
        <w:t xml:space="preserve"> con </w:t>
      </w:r>
      <w:proofErr w:type="spellStart"/>
      <w:r>
        <w:t>actores</w:t>
      </w:r>
      <w:proofErr w:type="spellEnd"/>
      <w:r>
        <w:t xml:space="preserve"> del </w:t>
      </w:r>
      <w:proofErr w:type="spellStart"/>
      <w:r>
        <w:t>Movimiento</w:t>
      </w:r>
      <w:proofErr w:type="spellEnd"/>
    </w:p>
    <w:p w14:paraId="5C017CBF" w14:textId="0AB7618B" w:rsidR="003345FD" w:rsidRPr="003345FD" w:rsidRDefault="003345FD" w:rsidP="003345FD">
      <w:pPr>
        <w:pStyle w:val="Bullet2"/>
        <w:rPr>
          <w:lang w:val="es-ES"/>
        </w:rPr>
      </w:pPr>
      <w:r w:rsidRPr="003345FD">
        <w:rPr>
          <w:lang w:val="es-ES"/>
        </w:rPr>
        <w:t xml:space="preserve">Coordinación externa con actores </w:t>
      </w:r>
      <w:r w:rsidR="00F56EA8">
        <w:rPr>
          <w:lang w:val="es-ES"/>
        </w:rPr>
        <w:t xml:space="preserve">que no pertenecen a la </w:t>
      </w:r>
      <w:r w:rsidR="00F56EA8" w:rsidRPr="003345FD">
        <w:rPr>
          <w:lang w:val="es-ES"/>
        </w:rPr>
        <w:t xml:space="preserve">Cruz Roja </w:t>
      </w:r>
      <w:r w:rsidR="00F56EA8">
        <w:rPr>
          <w:lang w:val="es-ES"/>
        </w:rPr>
        <w:t xml:space="preserve">y </w:t>
      </w:r>
      <w:r w:rsidRPr="003345FD">
        <w:rPr>
          <w:lang w:val="es-ES"/>
        </w:rPr>
        <w:t xml:space="preserve">la Media Luna Roja </w:t>
      </w:r>
    </w:p>
    <w:p w14:paraId="401B8D65" w14:textId="65F5E245" w:rsidR="003345FD" w:rsidRPr="00F56EA8" w:rsidRDefault="003345FD" w:rsidP="00F56EA8">
      <w:pPr>
        <w:pStyle w:val="Heading3"/>
        <w:rPr>
          <w:lang w:val="es-ES"/>
        </w:rPr>
      </w:pPr>
      <w:r w:rsidRPr="00F56EA8">
        <w:rPr>
          <w:lang w:val="es-ES"/>
        </w:rPr>
        <w:t>IV. Anex</w:t>
      </w:r>
      <w:r w:rsidR="00F56EA8" w:rsidRPr="00F56EA8">
        <w:rPr>
          <w:lang w:val="es-ES"/>
        </w:rPr>
        <w:t>os</w:t>
      </w:r>
    </w:p>
    <w:p w14:paraId="7C0C25A4" w14:textId="77777777" w:rsidR="003345FD" w:rsidRPr="003345FD" w:rsidRDefault="003345FD" w:rsidP="00F56EA8">
      <w:pPr>
        <w:pStyle w:val="Bullet2"/>
        <w:numPr>
          <w:ilvl w:val="0"/>
          <w:numId w:val="0"/>
        </w:numPr>
        <w:ind w:left="709" w:hanging="709"/>
        <w:rPr>
          <w:lang w:val="es-ES"/>
        </w:rPr>
      </w:pPr>
      <w:r w:rsidRPr="00F56EA8">
        <w:rPr>
          <w:rFonts w:eastAsiaTheme="minorEastAsia"/>
          <w:i/>
          <w:szCs w:val="21"/>
          <w:lang w:val="es-ES"/>
        </w:rPr>
        <w:t>Incluya cualquier documentación adicional producida durante las diferentes etapas del ciclo del programa</w:t>
      </w:r>
      <w:r w:rsidRPr="003345FD">
        <w:rPr>
          <w:lang w:val="es-ES"/>
        </w:rPr>
        <w:t>:</w:t>
      </w:r>
    </w:p>
    <w:p w14:paraId="790D0F7E" w14:textId="59166215" w:rsidR="003345FD" w:rsidRDefault="003345FD" w:rsidP="003345FD">
      <w:pPr>
        <w:pStyle w:val="Bullet2"/>
      </w:pPr>
      <w:proofErr w:type="spellStart"/>
      <w:r>
        <w:t>Preparación</w:t>
      </w:r>
      <w:proofErr w:type="spellEnd"/>
    </w:p>
    <w:p w14:paraId="05184BFD" w14:textId="2AD1FCC7" w:rsidR="003345FD" w:rsidRDefault="003345FD" w:rsidP="003345FD">
      <w:pPr>
        <w:pStyle w:val="Bullet2"/>
      </w:pPr>
      <w:proofErr w:type="spellStart"/>
      <w:r>
        <w:t>Evaluación</w:t>
      </w:r>
      <w:proofErr w:type="spellEnd"/>
    </w:p>
    <w:p w14:paraId="1027DC17" w14:textId="33E864BA" w:rsidR="003345FD" w:rsidRDefault="003345FD" w:rsidP="003345FD">
      <w:pPr>
        <w:pStyle w:val="Bullet2"/>
      </w:pPr>
      <w:proofErr w:type="spellStart"/>
      <w:r>
        <w:t>Análisis</w:t>
      </w:r>
      <w:proofErr w:type="spellEnd"/>
      <w:r>
        <w:t xml:space="preserve"> de </w:t>
      </w:r>
      <w:r w:rsidR="00F56EA8">
        <w:t xml:space="preserve">las </w:t>
      </w:r>
      <w:proofErr w:type="spellStart"/>
      <w:r w:rsidR="00F56EA8">
        <w:t>posibles</w:t>
      </w:r>
      <w:proofErr w:type="spellEnd"/>
      <w:r w:rsidR="00F56EA8">
        <w:t xml:space="preserve"> </w:t>
      </w:r>
      <w:proofErr w:type="spellStart"/>
      <w:r w:rsidR="00F56EA8">
        <w:t>intervenciones</w:t>
      </w:r>
      <w:proofErr w:type="spellEnd"/>
      <w:r w:rsidR="00F56EA8">
        <w:t xml:space="preserve"> </w:t>
      </w:r>
    </w:p>
    <w:p w14:paraId="64331427" w14:textId="6443C016" w:rsidR="003345FD" w:rsidRDefault="00F56EA8" w:rsidP="003345FD">
      <w:pPr>
        <w:pStyle w:val="Bullet2"/>
      </w:pPr>
      <w:proofErr w:type="spellStart"/>
      <w:r>
        <w:t>Puesta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marcha</w:t>
      </w:r>
      <w:proofErr w:type="spellEnd"/>
      <w:r>
        <w:t xml:space="preserve"> e </w:t>
      </w:r>
      <w:proofErr w:type="spellStart"/>
      <w:r>
        <w:t>implementación</w:t>
      </w:r>
      <w:proofErr w:type="spellEnd"/>
      <w:r>
        <w:t xml:space="preserve"> </w:t>
      </w:r>
    </w:p>
    <w:p w14:paraId="1699060B" w14:textId="5811454D" w:rsidR="003345FD" w:rsidRDefault="003345FD" w:rsidP="003345FD">
      <w:pPr>
        <w:pStyle w:val="Bullet2"/>
      </w:pPr>
      <w:proofErr w:type="spellStart"/>
      <w:r>
        <w:t>Monitoreo</w:t>
      </w:r>
      <w:proofErr w:type="spellEnd"/>
      <w:r>
        <w:t xml:space="preserve"> y </w:t>
      </w:r>
      <w:proofErr w:type="spellStart"/>
      <w:r>
        <w:t>evaluación</w:t>
      </w:r>
      <w:proofErr w:type="spellEnd"/>
    </w:p>
    <w:p w14:paraId="299C8D77" w14:textId="77777777" w:rsidR="00B971A7" w:rsidRDefault="00B971A7" w:rsidP="00B971A7">
      <w:pPr>
        <w:pStyle w:val="Bullet2"/>
        <w:numPr>
          <w:ilvl w:val="0"/>
          <w:numId w:val="0"/>
        </w:numPr>
        <w:ind w:left="720"/>
      </w:pPr>
    </w:p>
    <w:p w14:paraId="6E214605" w14:textId="76202059" w:rsidR="00996396" w:rsidRPr="00F56EA8" w:rsidRDefault="00B971A7" w:rsidP="00B971A7">
      <w:pPr>
        <w:pStyle w:val="Bullet2"/>
        <w:numPr>
          <w:ilvl w:val="0"/>
          <w:numId w:val="0"/>
        </w:numPr>
        <w:ind w:hanging="709"/>
        <w:rPr>
          <w:rFonts w:eastAsiaTheme="minorEastAsia"/>
          <w:i/>
          <w:szCs w:val="21"/>
          <w:lang w:val="es-ES"/>
        </w:rPr>
      </w:pPr>
      <w:r>
        <w:rPr>
          <w:rFonts w:eastAsiaTheme="minorEastAsia"/>
          <w:i/>
          <w:szCs w:val="21"/>
          <w:lang w:val="es-ES"/>
        </w:rPr>
        <w:t xml:space="preserve">             </w:t>
      </w:r>
      <w:r w:rsidR="003345FD" w:rsidRPr="00F56EA8">
        <w:rPr>
          <w:rFonts w:eastAsiaTheme="minorEastAsia"/>
          <w:i/>
          <w:szCs w:val="21"/>
          <w:lang w:val="es-ES"/>
        </w:rPr>
        <w:t>Incluya cualquier documentación adicional vinculada a los acuerdos de servic</w:t>
      </w:r>
      <w:r>
        <w:rPr>
          <w:rFonts w:eastAsiaTheme="minorEastAsia"/>
          <w:i/>
          <w:szCs w:val="21"/>
          <w:lang w:val="es-ES"/>
        </w:rPr>
        <w:t xml:space="preserve">io estándar, especificaciones o </w:t>
      </w:r>
      <w:r w:rsidR="003345FD" w:rsidRPr="00F56EA8">
        <w:rPr>
          <w:rFonts w:eastAsiaTheme="minorEastAsia"/>
          <w:i/>
          <w:szCs w:val="21"/>
          <w:lang w:val="es-ES"/>
        </w:rPr>
        <w:t xml:space="preserve">formatos de cupones que se </w:t>
      </w:r>
      <w:r w:rsidR="003345FD" w:rsidRPr="00B971A7">
        <w:rPr>
          <w:rFonts w:eastAsiaTheme="minorEastAsia"/>
          <w:i/>
          <w:szCs w:val="21"/>
          <w:lang w:val="es-ES"/>
        </w:rPr>
        <w:t>deben utilizar</w:t>
      </w:r>
      <w:r w:rsidRPr="00B971A7">
        <w:rPr>
          <w:rFonts w:eastAsiaTheme="minorEastAsia"/>
          <w:i/>
          <w:szCs w:val="21"/>
          <w:lang w:val="es-ES"/>
        </w:rPr>
        <w:t>.</w:t>
      </w:r>
    </w:p>
    <w:p w14:paraId="48B0FD07" w14:textId="0F89082E" w:rsidR="004D788E" w:rsidRPr="00F56EA8" w:rsidRDefault="00F56EA8" w:rsidP="00D61AD7">
      <w:pPr>
        <w:pStyle w:val="Heading3"/>
        <w:rPr>
          <w:lang w:val="es-ES"/>
        </w:rPr>
      </w:pPr>
      <w:r w:rsidRPr="00F56EA8">
        <w:rPr>
          <w:lang w:val="es-ES"/>
        </w:rPr>
        <w:t xml:space="preserve">Ejemplo: funciones de la FICR y roles de </w:t>
      </w:r>
      <w:r w:rsidR="00D117D6">
        <w:rPr>
          <w:lang w:val="es-ES"/>
        </w:rPr>
        <w:t xml:space="preserve">PTE </w:t>
      </w:r>
      <w:r w:rsidRPr="00F56EA8">
        <w:rPr>
          <w:lang w:val="es-ES"/>
        </w:rPr>
        <w:t xml:space="preserve">(Fuente: </w:t>
      </w:r>
      <w:r w:rsidR="00B971A7">
        <w:rPr>
          <w:lang w:val="es-ES"/>
        </w:rPr>
        <w:t>IFRC</w:t>
      </w:r>
      <w:r w:rsidR="00B971A7" w:rsidRPr="00F56EA8">
        <w:rPr>
          <w:lang w:val="es-ES"/>
        </w:rPr>
        <w:t xml:space="preserve"> </w:t>
      </w:r>
      <w:r w:rsidR="00B971A7" w:rsidRPr="00F56EA8">
        <w:rPr>
          <w:lang w:val="es-ES"/>
        </w:rPr>
        <w:t>CBP</w:t>
      </w:r>
      <w:r w:rsidR="00B971A7" w:rsidRPr="00F56EA8">
        <w:rPr>
          <w:lang w:val="es-ES"/>
        </w:rPr>
        <w:t xml:space="preserve"> </w:t>
      </w:r>
      <w:proofErr w:type="spellStart"/>
      <w:r w:rsidRPr="00F56EA8">
        <w:rPr>
          <w:lang w:val="es-ES"/>
        </w:rPr>
        <w:t>SOP</w:t>
      </w:r>
      <w:r w:rsidR="00B971A7">
        <w:rPr>
          <w:lang w:val="es-ES"/>
        </w:rPr>
        <w:t>s</w:t>
      </w:r>
      <w:proofErr w:type="spellEnd"/>
      <w:r w:rsidRPr="00F56EA8">
        <w:rPr>
          <w:lang w:val="es-ES"/>
        </w:rPr>
        <w:t xml:space="preserve"> v 14)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7722"/>
      </w:tblGrid>
      <w:tr w:rsidR="00C87512" w:rsidRPr="00E54EEA" w14:paraId="04E5A31A" w14:textId="77777777" w:rsidTr="009317C3">
        <w:tc>
          <w:tcPr>
            <w:tcW w:w="0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7EDB01FA" w14:textId="31D138B7" w:rsidR="004D788E" w:rsidRPr="00E54EEA" w:rsidRDefault="004D788E" w:rsidP="00D117D6">
            <w:pPr>
              <w:pStyle w:val="ListParagraph"/>
              <w:spacing w:before="120" w:after="120"/>
              <w:contextualSpacing w:val="0"/>
              <w:jc w:val="center"/>
              <w:rPr>
                <w:rFonts w:cs="Arial"/>
                <w:b/>
                <w:color w:val="FFFFFF" w:themeColor="background1"/>
              </w:rPr>
            </w:pPr>
            <w:proofErr w:type="spellStart"/>
            <w:r w:rsidRPr="00E54EEA">
              <w:rPr>
                <w:rFonts w:cs="Arial"/>
                <w:b/>
                <w:color w:val="FFFFFF" w:themeColor="background1"/>
              </w:rPr>
              <w:t>Funcion</w:t>
            </w:r>
            <w:r w:rsidR="00D117D6">
              <w:rPr>
                <w:rFonts w:cs="Arial"/>
                <w:b/>
                <w:color w:val="FFFFFF" w:themeColor="background1"/>
              </w:rPr>
              <w:t>e</w:t>
            </w:r>
            <w:r w:rsidRPr="00E54EEA">
              <w:rPr>
                <w:rFonts w:cs="Arial"/>
                <w:b/>
                <w:color w:val="FFFFFF" w:themeColor="background1"/>
              </w:rPr>
              <w:t>s</w:t>
            </w:r>
            <w:proofErr w:type="spellEnd"/>
          </w:p>
        </w:tc>
        <w:tc>
          <w:tcPr>
            <w:tcW w:w="0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32E7E269" w14:textId="511182E4" w:rsidR="004D788E" w:rsidRPr="00E54EEA" w:rsidRDefault="004D788E" w:rsidP="007B7ABE">
            <w:pPr>
              <w:pStyle w:val="ListParagraph"/>
              <w:spacing w:before="120" w:after="120"/>
              <w:contextualSpacing w:val="0"/>
              <w:jc w:val="center"/>
              <w:rPr>
                <w:rFonts w:cs="Arial"/>
                <w:b/>
                <w:i/>
                <w:color w:val="FFFFFF" w:themeColor="background1"/>
              </w:rPr>
            </w:pPr>
            <w:r w:rsidRPr="00E54EEA">
              <w:rPr>
                <w:rFonts w:cs="Arial"/>
                <w:b/>
                <w:color w:val="FFFFFF" w:themeColor="background1"/>
              </w:rPr>
              <w:t>R</w:t>
            </w:r>
            <w:r w:rsidR="00D117D6">
              <w:rPr>
                <w:rFonts w:cs="Arial"/>
                <w:b/>
                <w:color w:val="FFFFFF" w:themeColor="background1"/>
              </w:rPr>
              <w:t xml:space="preserve">oles para </w:t>
            </w:r>
            <w:r w:rsidR="00297957">
              <w:rPr>
                <w:rFonts w:cs="Arial"/>
                <w:b/>
                <w:color w:val="FFFFFF" w:themeColor="background1"/>
              </w:rPr>
              <w:t>PTE</w:t>
            </w:r>
          </w:p>
        </w:tc>
      </w:tr>
      <w:tr w:rsidR="004D788E" w:rsidRPr="0069390C" w14:paraId="5E7759F2" w14:textId="77777777" w:rsidTr="005F0DB4"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B717125" w14:textId="77777777" w:rsidR="00D117D6" w:rsidRPr="00B971A7" w:rsidRDefault="00D117D6" w:rsidP="00D117D6">
            <w:pPr>
              <w:pStyle w:val="ListParagraph"/>
              <w:rPr>
                <w:rFonts w:cs="Arial"/>
                <w:lang w:val="es-ES_tradnl"/>
              </w:rPr>
            </w:pPr>
            <w:r w:rsidRPr="00B971A7">
              <w:rPr>
                <w:rFonts w:cs="Arial"/>
                <w:lang w:val="es-ES_tradnl"/>
              </w:rPr>
              <w:t>Programas</w:t>
            </w:r>
          </w:p>
          <w:p w14:paraId="33198BD6" w14:textId="57EF9F57" w:rsidR="004D788E" w:rsidRPr="00B971A7" w:rsidRDefault="00D117D6" w:rsidP="00D117D6">
            <w:pPr>
              <w:pStyle w:val="ListParagraph"/>
              <w:rPr>
                <w:rFonts w:cs="Arial"/>
                <w:lang w:val="es-ES_tradnl"/>
              </w:rPr>
            </w:pPr>
            <w:r w:rsidRPr="00B971A7">
              <w:rPr>
                <w:rFonts w:cs="Arial"/>
                <w:lang w:val="es-ES_tradnl"/>
              </w:rPr>
              <w:t xml:space="preserve">(incluyendo la comunicación con </w:t>
            </w:r>
            <w:r w:rsidRPr="00B971A7">
              <w:rPr>
                <w:rFonts w:cs="Arial"/>
                <w:lang w:val="es-ES_tradnl"/>
              </w:rPr>
              <w:lastRenderedPageBreak/>
              <w:t>los beneficiarios y la planificación, monitoreo, evaluación y presentación de informes)</w:t>
            </w: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897AF95" w14:textId="0B6F5523" w:rsidR="00604FAE" w:rsidRPr="00B971A7" w:rsidRDefault="00604FAE" w:rsidP="00604FAE">
            <w:pPr>
              <w:pStyle w:val="Bullet2"/>
              <w:rPr>
                <w:lang w:val="es-ES_tradnl"/>
              </w:rPr>
            </w:pPr>
            <w:r w:rsidRPr="00B971A7">
              <w:rPr>
                <w:lang w:val="es-ES_tradnl"/>
              </w:rPr>
              <w:lastRenderedPageBreak/>
              <w:t>Asume la responsabilidad de gestión general del programa de PTE, inclusive establecer los criterios y los parámetros para apoyar los servicios</w:t>
            </w:r>
          </w:p>
          <w:p w14:paraId="5E37AF6F" w14:textId="18384406" w:rsidR="00604FAE" w:rsidRPr="00B971A7" w:rsidRDefault="00604FAE" w:rsidP="00604FAE">
            <w:pPr>
              <w:pStyle w:val="Bullet2"/>
              <w:rPr>
                <w:lang w:val="es-ES_tradnl"/>
              </w:rPr>
            </w:pPr>
            <w:r w:rsidRPr="00B971A7">
              <w:rPr>
                <w:lang w:val="es-ES_tradnl"/>
              </w:rPr>
              <w:lastRenderedPageBreak/>
              <w:t>Gestiona el proceso de evaluación de necesidades, la idoneidad y la viabilidad de los PTE, la selección de la modalidad y los mecanismos de transferencia de efectivo más apropiados, y asegurar el diseño de programas de buena calidad</w:t>
            </w:r>
          </w:p>
          <w:p w14:paraId="19521A08" w14:textId="6AD29115" w:rsidR="00604FAE" w:rsidRPr="00B971A7" w:rsidRDefault="00604FAE" w:rsidP="00604FAE">
            <w:pPr>
              <w:pStyle w:val="Bullet2"/>
              <w:rPr>
                <w:lang w:val="es-ES_tradnl"/>
              </w:rPr>
            </w:pPr>
            <w:r w:rsidRPr="00B971A7">
              <w:rPr>
                <w:lang w:val="es-ES_tradnl"/>
              </w:rPr>
              <w:t>Proporciona asesoramiento sobre las preferencias y costumbres de los beneficiarios sobre PTE a otros actores involucrados en el programa</w:t>
            </w:r>
          </w:p>
          <w:p w14:paraId="7DBD5D2D" w14:textId="51B1C72C" w:rsidR="00604FAE" w:rsidRPr="00B971A7" w:rsidRDefault="00604FAE" w:rsidP="00604FAE">
            <w:pPr>
              <w:pStyle w:val="Bullet2"/>
              <w:rPr>
                <w:lang w:val="es-ES_tradnl"/>
              </w:rPr>
            </w:pPr>
            <w:r w:rsidRPr="00B971A7">
              <w:rPr>
                <w:lang w:val="es-ES_tradnl"/>
              </w:rPr>
              <w:t>Elabora una estrategia de comunicación adecuada (incluyendo la denuncia de irregularidades y mecanismos de retroalimentación) que coincid</w:t>
            </w:r>
            <w:r w:rsidR="009D3D01" w:rsidRPr="00B971A7">
              <w:rPr>
                <w:lang w:val="es-ES_tradnl"/>
              </w:rPr>
              <w:t xml:space="preserve">e con la modalidad y mecanismo de entrega </w:t>
            </w:r>
            <w:r w:rsidRPr="00B971A7">
              <w:rPr>
                <w:lang w:val="es-ES_tradnl"/>
              </w:rPr>
              <w:t>eleg</w:t>
            </w:r>
            <w:r w:rsidR="009D3D01" w:rsidRPr="00B971A7">
              <w:rPr>
                <w:lang w:val="es-ES_tradnl"/>
              </w:rPr>
              <w:t xml:space="preserve">idos </w:t>
            </w:r>
            <w:r w:rsidRPr="00B971A7">
              <w:rPr>
                <w:lang w:val="es-ES_tradnl"/>
              </w:rPr>
              <w:t>en consulta con la Sociedad Nacional y la población afectada</w:t>
            </w:r>
          </w:p>
          <w:p w14:paraId="64AC70FF" w14:textId="3A3E77E6" w:rsidR="00604FAE" w:rsidRPr="00B971A7" w:rsidRDefault="00604FAE" w:rsidP="00604FAE">
            <w:pPr>
              <w:pStyle w:val="Bullet2"/>
              <w:rPr>
                <w:lang w:val="es-ES_tradnl"/>
              </w:rPr>
            </w:pPr>
            <w:r w:rsidRPr="00B971A7">
              <w:rPr>
                <w:lang w:val="es-ES_tradnl"/>
              </w:rPr>
              <w:t>Proporciona asesoramiento/apoyo en el desarrollo de pla</w:t>
            </w:r>
            <w:r w:rsidR="009D3D01" w:rsidRPr="00B971A7">
              <w:rPr>
                <w:lang w:val="es-ES_tradnl"/>
              </w:rPr>
              <w:t xml:space="preserve">nes de monitoreo y evaluación usando los </w:t>
            </w:r>
            <w:r w:rsidRPr="00B971A7">
              <w:rPr>
                <w:lang w:val="es-ES_tradnl"/>
              </w:rPr>
              <w:t>mejores métodos y frecuencia de la recolección de datos para realizar un seguimiento de la calidad y el impacto de l</w:t>
            </w:r>
            <w:r w:rsidR="009D3D01" w:rsidRPr="00B971A7">
              <w:rPr>
                <w:lang w:val="es-ES_tradnl"/>
              </w:rPr>
              <w:t>os PTE</w:t>
            </w:r>
          </w:p>
          <w:p w14:paraId="7B148D22" w14:textId="10077C5F" w:rsidR="004D788E" w:rsidRPr="00B971A7" w:rsidRDefault="009D3D01" w:rsidP="00EB4B14">
            <w:pPr>
              <w:pStyle w:val="Bullet2"/>
              <w:rPr>
                <w:lang w:val="es-ES_tradnl"/>
              </w:rPr>
            </w:pPr>
            <w:r w:rsidRPr="00B971A7">
              <w:rPr>
                <w:lang w:val="es-ES_tradnl"/>
              </w:rPr>
              <w:t xml:space="preserve">Promueve </w:t>
            </w:r>
            <w:r w:rsidR="00604FAE" w:rsidRPr="00B971A7">
              <w:rPr>
                <w:lang w:val="es-ES_tradnl"/>
              </w:rPr>
              <w:t xml:space="preserve">buenas prácticas y </w:t>
            </w:r>
            <w:r w:rsidRPr="00B971A7">
              <w:rPr>
                <w:lang w:val="es-ES_tradnl"/>
              </w:rPr>
              <w:t xml:space="preserve">enfoques comunes </w:t>
            </w:r>
            <w:r w:rsidR="00604FAE" w:rsidRPr="00B971A7">
              <w:rPr>
                <w:lang w:val="es-ES_tradnl"/>
              </w:rPr>
              <w:t xml:space="preserve">de programación y </w:t>
            </w:r>
            <w:r w:rsidRPr="00B971A7">
              <w:rPr>
                <w:lang w:val="es-ES_tradnl"/>
              </w:rPr>
              <w:t xml:space="preserve">estándares </w:t>
            </w:r>
            <w:r w:rsidR="00604FAE" w:rsidRPr="00B971A7">
              <w:rPr>
                <w:lang w:val="es-ES_tradnl"/>
              </w:rPr>
              <w:t>a través de redes específicas y la experiencia de la F</w:t>
            </w:r>
            <w:r w:rsidRPr="00B971A7">
              <w:rPr>
                <w:lang w:val="es-ES_tradnl"/>
              </w:rPr>
              <w:t>ICR</w:t>
            </w:r>
            <w:r w:rsidR="00604FAE" w:rsidRPr="00B971A7">
              <w:rPr>
                <w:lang w:val="es-ES_tradnl"/>
              </w:rPr>
              <w:t xml:space="preserve"> (por ejemplo,</w:t>
            </w:r>
            <w:r w:rsidRPr="00B971A7">
              <w:rPr>
                <w:lang w:val="es-ES_tradnl"/>
              </w:rPr>
              <w:t xml:space="preserve"> el “peer </w:t>
            </w:r>
            <w:proofErr w:type="spellStart"/>
            <w:r w:rsidRPr="00B971A7">
              <w:rPr>
                <w:lang w:val="es-ES_tradnl"/>
              </w:rPr>
              <w:t>group</w:t>
            </w:r>
            <w:proofErr w:type="spellEnd"/>
            <w:r w:rsidR="003D5A0E" w:rsidRPr="00B971A7">
              <w:rPr>
                <w:lang w:val="es-ES_tradnl"/>
              </w:rPr>
              <w:t>”</w:t>
            </w:r>
            <w:r w:rsidRPr="00B971A7">
              <w:rPr>
                <w:lang w:val="es-ES_tradnl"/>
              </w:rPr>
              <w:t xml:space="preserve"> del Movimiento </w:t>
            </w:r>
            <w:r w:rsidR="00604FAE" w:rsidRPr="00B971A7">
              <w:rPr>
                <w:lang w:val="es-ES_tradnl"/>
              </w:rPr>
              <w:t xml:space="preserve">Internacional </w:t>
            </w:r>
            <w:r w:rsidRPr="00B971A7">
              <w:rPr>
                <w:lang w:val="es-ES_tradnl"/>
              </w:rPr>
              <w:t>de la Cruz Roja y de</w:t>
            </w:r>
            <w:r w:rsidR="00736978" w:rsidRPr="00B971A7">
              <w:rPr>
                <w:lang w:val="es-ES_tradnl"/>
              </w:rPr>
              <w:t xml:space="preserve"> </w:t>
            </w:r>
            <w:r w:rsidR="00604FAE" w:rsidRPr="00B971A7">
              <w:rPr>
                <w:lang w:val="es-ES_tradnl"/>
              </w:rPr>
              <w:t>la Media Luna Roja</w:t>
            </w:r>
            <w:r w:rsidR="00736978" w:rsidRPr="00B971A7">
              <w:rPr>
                <w:lang w:val="es-ES_tradnl"/>
              </w:rPr>
              <w:t xml:space="preserve">, el </w:t>
            </w:r>
            <w:r w:rsidR="00604FAE" w:rsidRPr="00B971A7">
              <w:rPr>
                <w:lang w:val="es-ES_tradnl"/>
              </w:rPr>
              <w:t xml:space="preserve">Liderazgo </w:t>
            </w:r>
            <w:r w:rsidR="00736978" w:rsidRPr="00B971A7">
              <w:rPr>
                <w:lang w:val="es-ES_tradnl"/>
              </w:rPr>
              <w:t xml:space="preserve">del </w:t>
            </w:r>
            <w:proofErr w:type="spellStart"/>
            <w:r w:rsidR="00736978" w:rsidRPr="00B971A7">
              <w:rPr>
                <w:lang w:val="es-ES_tradnl"/>
              </w:rPr>
              <w:t>Cluster</w:t>
            </w:r>
            <w:proofErr w:type="spellEnd"/>
            <w:r w:rsidR="00736978" w:rsidRPr="00B971A7">
              <w:rPr>
                <w:lang w:val="es-ES_tradnl"/>
              </w:rPr>
              <w:t xml:space="preserve"> de a</w:t>
            </w:r>
            <w:r w:rsidR="00604FAE" w:rsidRPr="00B971A7">
              <w:rPr>
                <w:lang w:val="es-ES_tradnl"/>
              </w:rPr>
              <w:t xml:space="preserve">lojamiento, </w:t>
            </w:r>
            <w:r w:rsidR="00736978" w:rsidRPr="00B971A7">
              <w:rPr>
                <w:lang w:val="es-ES_tradnl"/>
              </w:rPr>
              <w:t xml:space="preserve">y el </w:t>
            </w:r>
            <w:proofErr w:type="spellStart"/>
            <w:r w:rsidR="00736978" w:rsidRPr="00B971A7">
              <w:rPr>
                <w:lang w:val="es-ES_tradnl"/>
              </w:rPr>
              <w:t>partenariado</w:t>
            </w:r>
            <w:proofErr w:type="spellEnd"/>
            <w:r w:rsidR="00736978" w:rsidRPr="00B971A7">
              <w:rPr>
                <w:lang w:val="es-ES_tradnl"/>
              </w:rPr>
              <w:t xml:space="preserve"> </w:t>
            </w:r>
            <w:r w:rsidR="00604FAE" w:rsidRPr="00B971A7">
              <w:rPr>
                <w:lang w:val="es-ES_tradnl"/>
              </w:rPr>
              <w:t xml:space="preserve">con </w:t>
            </w:r>
            <w:proofErr w:type="spellStart"/>
            <w:r w:rsidR="00604FAE" w:rsidRPr="00B971A7">
              <w:rPr>
                <w:lang w:val="es-ES_tradnl"/>
              </w:rPr>
              <w:t>CaLP</w:t>
            </w:r>
            <w:proofErr w:type="spellEnd"/>
            <w:r w:rsidR="00604FAE" w:rsidRPr="00B971A7">
              <w:rPr>
                <w:lang w:val="es-ES_tradnl"/>
              </w:rPr>
              <w:t>)</w:t>
            </w:r>
            <w:r w:rsidR="00736978" w:rsidRPr="00B971A7">
              <w:rPr>
                <w:lang w:val="es-ES_tradnl"/>
              </w:rPr>
              <w:t xml:space="preserve"> </w:t>
            </w:r>
          </w:p>
        </w:tc>
      </w:tr>
      <w:tr w:rsidR="004D788E" w:rsidRPr="00EB4B14" w14:paraId="6E441D35" w14:textId="77777777" w:rsidTr="005F0DB4">
        <w:tc>
          <w:tcPr>
            <w:tcW w:w="990" w:type="pct"/>
            <w:shd w:val="clear" w:color="auto" w:fill="A6A6A6"/>
          </w:tcPr>
          <w:p w14:paraId="23C277DA" w14:textId="308E94C8" w:rsidR="004D788E" w:rsidRPr="00B971A7" w:rsidRDefault="00B971A7" w:rsidP="00D117D6">
            <w:pPr>
              <w:pStyle w:val="ListParagraph"/>
              <w:rPr>
                <w:rFonts w:cs="Arial"/>
                <w:lang w:val="es-ES_tradnl"/>
              </w:rPr>
            </w:pPr>
            <w:r w:rsidRPr="00B971A7">
              <w:rPr>
                <w:rFonts w:cs="Arial"/>
                <w:lang w:val="es-ES_tradnl"/>
              </w:rPr>
              <w:lastRenderedPageBreak/>
              <w:t>Logí</w:t>
            </w:r>
            <w:r w:rsidR="004D788E" w:rsidRPr="00B971A7">
              <w:rPr>
                <w:rFonts w:cs="Arial"/>
                <w:lang w:val="es-ES_tradnl"/>
              </w:rPr>
              <w:t>stic</w:t>
            </w:r>
            <w:r w:rsidR="00D117D6" w:rsidRPr="00B971A7">
              <w:rPr>
                <w:rFonts w:cs="Arial"/>
                <w:lang w:val="es-ES_tradnl"/>
              </w:rPr>
              <w:t>a</w:t>
            </w:r>
          </w:p>
        </w:tc>
        <w:tc>
          <w:tcPr>
            <w:tcW w:w="4010" w:type="pct"/>
            <w:shd w:val="clear" w:color="auto" w:fill="E6E6E6"/>
          </w:tcPr>
          <w:p w14:paraId="58C4C8FC" w14:textId="6997AE2A" w:rsidR="00736978" w:rsidRPr="00B971A7" w:rsidRDefault="00736978" w:rsidP="00736978">
            <w:pPr>
              <w:pStyle w:val="Bullet2"/>
              <w:rPr>
                <w:lang w:val="es-ES_tradnl"/>
              </w:rPr>
            </w:pPr>
            <w:r w:rsidRPr="00B971A7">
              <w:rPr>
                <w:lang w:val="es-ES_tradnl"/>
              </w:rPr>
              <w:t xml:space="preserve">Participa en el proceso de evaluación, especialmente cuando </w:t>
            </w:r>
            <w:r w:rsidR="0069390C" w:rsidRPr="00B971A7">
              <w:rPr>
                <w:lang w:val="es-ES_tradnl"/>
              </w:rPr>
              <w:t>se evalúan l</w:t>
            </w:r>
            <w:r w:rsidRPr="00B971A7">
              <w:rPr>
                <w:lang w:val="es-ES_tradnl"/>
              </w:rPr>
              <w:t>os mercados</w:t>
            </w:r>
            <w:r w:rsidR="0069390C" w:rsidRPr="00B971A7">
              <w:rPr>
                <w:lang w:val="es-ES_tradnl"/>
              </w:rPr>
              <w:t xml:space="preserve"> y la</w:t>
            </w:r>
            <w:r w:rsidRPr="00B971A7">
              <w:rPr>
                <w:lang w:val="es-ES_tradnl"/>
              </w:rPr>
              <w:t xml:space="preserve"> viabilidad</w:t>
            </w:r>
            <w:r w:rsidR="0069390C" w:rsidRPr="00B971A7">
              <w:rPr>
                <w:lang w:val="es-ES_tradnl"/>
              </w:rPr>
              <w:t xml:space="preserve"> de los PTE</w:t>
            </w:r>
            <w:r w:rsidRPr="00B971A7">
              <w:rPr>
                <w:lang w:val="es-ES_tradnl"/>
              </w:rPr>
              <w:t>, debido a las habilidades en el análisis de los sistemas de</w:t>
            </w:r>
            <w:r w:rsidR="0069390C" w:rsidRPr="00B971A7">
              <w:rPr>
                <w:lang w:val="es-ES_tradnl"/>
              </w:rPr>
              <w:t>l</w:t>
            </w:r>
            <w:r w:rsidRPr="00B971A7">
              <w:rPr>
                <w:lang w:val="es-ES_tradnl"/>
              </w:rPr>
              <w:t xml:space="preserve"> mercado, las cadenas de comercialización, </w:t>
            </w:r>
            <w:r w:rsidR="0069390C" w:rsidRPr="00B971A7">
              <w:rPr>
                <w:lang w:val="es-ES_tradnl"/>
              </w:rPr>
              <w:t xml:space="preserve">los </w:t>
            </w:r>
            <w:r w:rsidRPr="00B971A7">
              <w:rPr>
                <w:lang w:val="es-ES_tradnl"/>
              </w:rPr>
              <w:t xml:space="preserve">comerciantes y </w:t>
            </w:r>
            <w:r w:rsidR="0069390C" w:rsidRPr="00B971A7">
              <w:rPr>
                <w:lang w:val="es-ES_tradnl"/>
              </w:rPr>
              <w:t>los proveedores</w:t>
            </w:r>
            <w:r w:rsidRPr="00B971A7">
              <w:rPr>
                <w:lang w:val="es-ES_tradnl"/>
              </w:rPr>
              <w:t xml:space="preserve"> de servicios</w:t>
            </w:r>
          </w:p>
          <w:p w14:paraId="105F5AF8" w14:textId="38301B03" w:rsidR="00736978" w:rsidRPr="00B971A7" w:rsidRDefault="00736978" w:rsidP="00736978">
            <w:pPr>
              <w:pStyle w:val="Bullet2"/>
              <w:rPr>
                <w:lang w:val="es-ES_tradnl"/>
              </w:rPr>
            </w:pPr>
            <w:r w:rsidRPr="00B971A7">
              <w:rPr>
                <w:lang w:val="es-ES_tradnl"/>
              </w:rPr>
              <w:t xml:space="preserve">Gestiona el </w:t>
            </w:r>
            <w:r w:rsidR="0069390C" w:rsidRPr="00B971A7">
              <w:rPr>
                <w:lang w:val="es-ES_tradnl"/>
              </w:rPr>
              <w:t>proceso de licitación y contratación de cupones de productos o de efectivo, también a terceros</w:t>
            </w:r>
            <w:r w:rsidRPr="00B971A7">
              <w:rPr>
                <w:lang w:val="es-ES_tradnl"/>
              </w:rPr>
              <w:t>/compañías de transferencia</w:t>
            </w:r>
            <w:r w:rsidR="0069390C" w:rsidRPr="00B971A7">
              <w:rPr>
                <w:lang w:val="es-ES_tradnl"/>
              </w:rPr>
              <w:t>s</w:t>
            </w:r>
          </w:p>
          <w:p w14:paraId="35319364" w14:textId="27D334AC" w:rsidR="00736978" w:rsidRPr="00B971A7" w:rsidRDefault="0069390C" w:rsidP="00736978">
            <w:pPr>
              <w:pStyle w:val="Bullet2"/>
              <w:rPr>
                <w:lang w:val="es-ES_tradnl"/>
              </w:rPr>
            </w:pPr>
            <w:r w:rsidRPr="00B971A7">
              <w:rPr>
                <w:lang w:val="es-ES_tradnl"/>
              </w:rPr>
              <w:t>Monitorea l</w:t>
            </w:r>
            <w:r w:rsidR="00736978" w:rsidRPr="00B971A7">
              <w:rPr>
                <w:lang w:val="es-ES_tradnl"/>
              </w:rPr>
              <w:t>a calidad de los servicios prestados por los proveedores</w:t>
            </w:r>
          </w:p>
          <w:p w14:paraId="219BBA3B" w14:textId="65F4B463" w:rsidR="004D788E" w:rsidRPr="00B971A7" w:rsidRDefault="00736978" w:rsidP="00EB4B14">
            <w:pPr>
              <w:pStyle w:val="Bullet2"/>
              <w:rPr>
                <w:lang w:val="es-ES_tradnl"/>
              </w:rPr>
            </w:pPr>
            <w:r w:rsidRPr="00B971A7">
              <w:rPr>
                <w:lang w:val="es-ES_tradnl"/>
              </w:rPr>
              <w:t>Apoya las actividades de seguimiento de los productos</w:t>
            </w:r>
            <w:r w:rsidR="0069390C" w:rsidRPr="00B971A7">
              <w:rPr>
                <w:lang w:val="es-ES_tradnl"/>
              </w:rPr>
              <w:t xml:space="preserve"> </w:t>
            </w:r>
            <w:r w:rsidRPr="00B971A7">
              <w:rPr>
                <w:lang w:val="es-ES_tradnl"/>
              </w:rPr>
              <w:t>a gran escala</w:t>
            </w:r>
          </w:p>
        </w:tc>
      </w:tr>
      <w:tr w:rsidR="004D788E" w:rsidRPr="00EB4B14" w14:paraId="6557371E" w14:textId="77777777" w:rsidTr="005F0DB4">
        <w:tc>
          <w:tcPr>
            <w:tcW w:w="990" w:type="pct"/>
            <w:shd w:val="clear" w:color="auto" w:fill="A6A6A6"/>
          </w:tcPr>
          <w:p w14:paraId="462167CD" w14:textId="1DAFFF87" w:rsidR="004D788E" w:rsidRPr="00B971A7" w:rsidRDefault="004D788E" w:rsidP="00D117D6">
            <w:pPr>
              <w:pStyle w:val="ListParagraph"/>
              <w:rPr>
                <w:rFonts w:cs="Arial"/>
                <w:lang w:val="es-ES_tradnl"/>
              </w:rPr>
            </w:pPr>
            <w:r w:rsidRPr="00B971A7">
              <w:rPr>
                <w:rFonts w:cs="Arial"/>
                <w:lang w:val="es-ES_tradnl"/>
              </w:rPr>
              <w:t>Finan</w:t>
            </w:r>
            <w:r w:rsidR="00D117D6" w:rsidRPr="00B971A7">
              <w:rPr>
                <w:rFonts w:cs="Arial"/>
                <w:lang w:val="es-ES_tradnl"/>
              </w:rPr>
              <w:t>zas</w:t>
            </w:r>
          </w:p>
        </w:tc>
        <w:tc>
          <w:tcPr>
            <w:tcW w:w="4010" w:type="pct"/>
            <w:shd w:val="clear" w:color="auto" w:fill="E6E6E6"/>
          </w:tcPr>
          <w:p w14:paraId="05ABCE77" w14:textId="2B425886" w:rsidR="003D5A0E" w:rsidRPr="00B971A7" w:rsidRDefault="003D5A0E" w:rsidP="003D5A0E">
            <w:pPr>
              <w:pStyle w:val="Bullet2"/>
              <w:rPr>
                <w:lang w:val="es-ES_tradnl"/>
              </w:rPr>
            </w:pPr>
            <w:r w:rsidRPr="00B971A7">
              <w:rPr>
                <w:lang w:val="es-ES_tradnl"/>
              </w:rPr>
              <w:t>Apoya y participa en la evaluación de la viabilidad de la entrega de efectivo en calidad de expertos financieros de la Federación Internacional</w:t>
            </w:r>
          </w:p>
          <w:p w14:paraId="2B1C508C" w14:textId="2C0D18EB" w:rsidR="003D5A0E" w:rsidRPr="00B971A7" w:rsidRDefault="003D5A0E" w:rsidP="003D5A0E">
            <w:pPr>
              <w:pStyle w:val="Bullet2"/>
              <w:rPr>
                <w:lang w:val="es-ES_tradnl"/>
              </w:rPr>
            </w:pPr>
            <w:r w:rsidRPr="00B971A7">
              <w:rPr>
                <w:lang w:val="es-ES_tradnl"/>
              </w:rPr>
              <w:t>Establece los criterios financieros, identifica a terceros/compañías de transferencia (intermediarios financieros) para ser contactados, evalúa y aprueba los criterios financieros de los terceros seleccionados a través del proceso de licitación de acuerdo con los procedimientos de la Federación Internacional sobre Bancos y moneda</w:t>
            </w:r>
          </w:p>
          <w:p w14:paraId="784ACFDD" w14:textId="212BC4EA" w:rsidR="003D5A0E" w:rsidRPr="00B971A7" w:rsidRDefault="00AA4FC3" w:rsidP="003D5A0E">
            <w:pPr>
              <w:pStyle w:val="Bullet2"/>
              <w:rPr>
                <w:lang w:val="es-ES_tradnl"/>
              </w:rPr>
            </w:pPr>
            <w:r w:rsidRPr="00B971A7">
              <w:rPr>
                <w:lang w:val="es-ES_tradnl"/>
              </w:rPr>
              <w:t>En la etapa de diseño del programa, a</w:t>
            </w:r>
            <w:r w:rsidR="003D5A0E" w:rsidRPr="00B971A7">
              <w:rPr>
                <w:lang w:val="es-ES_tradnl"/>
              </w:rPr>
              <w:t xml:space="preserve">poya </w:t>
            </w:r>
            <w:r w:rsidRPr="00B971A7">
              <w:rPr>
                <w:lang w:val="es-ES_tradnl"/>
              </w:rPr>
              <w:t xml:space="preserve">en el </w:t>
            </w:r>
            <w:r w:rsidR="003D5A0E" w:rsidRPr="00B971A7">
              <w:rPr>
                <w:lang w:val="es-ES_tradnl"/>
              </w:rPr>
              <w:t xml:space="preserve">diseño del sistema de </w:t>
            </w:r>
            <w:r w:rsidRPr="00B971A7">
              <w:rPr>
                <w:lang w:val="es-ES_tradnl"/>
              </w:rPr>
              <w:t xml:space="preserve">presentación de informes financieros y del sistema de </w:t>
            </w:r>
            <w:r w:rsidR="003D5A0E" w:rsidRPr="00B971A7">
              <w:rPr>
                <w:lang w:val="es-ES_tradnl"/>
              </w:rPr>
              <w:t xml:space="preserve">reconciliación </w:t>
            </w:r>
          </w:p>
          <w:p w14:paraId="689CE056" w14:textId="28BD4B9F" w:rsidR="004D788E" w:rsidRPr="00B971A7" w:rsidRDefault="003D5A0E" w:rsidP="00EB4B14">
            <w:pPr>
              <w:pStyle w:val="Bullet2"/>
              <w:rPr>
                <w:lang w:val="es-ES_tradnl"/>
              </w:rPr>
            </w:pPr>
            <w:r w:rsidRPr="00B971A7">
              <w:rPr>
                <w:lang w:val="es-ES_tradnl"/>
              </w:rPr>
              <w:t xml:space="preserve">Valida la información financiera y la reconciliación para asegurar la </w:t>
            </w:r>
            <w:r w:rsidR="00AA4FC3" w:rsidRPr="00B971A7">
              <w:rPr>
                <w:lang w:val="es-ES_tradnl"/>
              </w:rPr>
              <w:t>redición de cuentas de las finanzas</w:t>
            </w:r>
          </w:p>
        </w:tc>
      </w:tr>
      <w:tr w:rsidR="004D788E" w:rsidRPr="00AA4FC3" w14:paraId="4F4100AB" w14:textId="77777777" w:rsidTr="005F0DB4">
        <w:tc>
          <w:tcPr>
            <w:tcW w:w="990" w:type="pct"/>
            <w:shd w:val="clear" w:color="auto" w:fill="A6A6A6"/>
          </w:tcPr>
          <w:p w14:paraId="5DEA6365" w14:textId="174BD47B" w:rsidR="004D788E" w:rsidRPr="00B971A7" w:rsidRDefault="00AA4FC3" w:rsidP="00D117D6">
            <w:pPr>
              <w:pStyle w:val="ListParagraph"/>
              <w:rPr>
                <w:rFonts w:cs="Arial"/>
                <w:lang w:val="es-ES_tradnl"/>
              </w:rPr>
            </w:pPr>
            <w:r w:rsidRPr="00B971A7">
              <w:rPr>
                <w:rFonts w:cs="Arial"/>
                <w:lang w:val="es-ES_tradnl"/>
              </w:rPr>
              <w:t>Seg</w:t>
            </w:r>
            <w:r w:rsidR="004D788E" w:rsidRPr="00B971A7">
              <w:rPr>
                <w:rFonts w:cs="Arial"/>
                <w:lang w:val="es-ES_tradnl"/>
              </w:rPr>
              <w:t>uri</w:t>
            </w:r>
            <w:r w:rsidR="00D117D6" w:rsidRPr="00B971A7">
              <w:rPr>
                <w:rFonts w:cs="Arial"/>
                <w:lang w:val="es-ES_tradnl"/>
              </w:rPr>
              <w:t>dad</w:t>
            </w:r>
          </w:p>
        </w:tc>
        <w:tc>
          <w:tcPr>
            <w:tcW w:w="4010" w:type="pct"/>
            <w:shd w:val="clear" w:color="auto" w:fill="E6E6E6"/>
          </w:tcPr>
          <w:p w14:paraId="771A1140" w14:textId="23F4B978" w:rsidR="00AA4FC3" w:rsidRPr="00B971A7" w:rsidRDefault="00AA4FC3" w:rsidP="00AA4FC3">
            <w:pPr>
              <w:pStyle w:val="Bullet2"/>
              <w:rPr>
                <w:lang w:val="es-ES_tradnl"/>
              </w:rPr>
            </w:pPr>
            <w:r w:rsidRPr="00B971A7">
              <w:rPr>
                <w:lang w:val="es-ES_tradnl"/>
              </w:rPr>
              <w:t>Participa en las evaluaciones y revisiones de riesgos de seguridad para asegurar que el nivel de riesgo es aceptable para el personal del programa, los voluntarios y los beneficiarios</w:t>
            </w:r>
          </w:p>
          <w:p w14:paraId="4522486B" w14:textId="6463EC84" w:rsidR="004D788E" w:rsidRPr="00B971A7" w:rsidRDefault="00AA4FC3" w:rsidP="00AA4FC3">
            <w:pPr>
              <w:pStyle w:val="Bullet2"/>
              <w:rPr>
                <w:lang w:val="es-ES_tradnl"/>
              </w:rPr>
            </w:pPr>
            <w:r w:rsidRPr="00B971A7">
              <w:rPr>
                <w:lang w:val="es-ES_tradnl"/>
              </w:rPr>
              <w:t>Asegura que el programa/operación cumple con los requisitos mínimos de seguridad</w:t>
            </w:r>
          </w:p>
        </w:tc>
      </w:tr>
      <w:tr w:rsidR="004D788E" w:rsidRPr="00AA4FC3" w14:paraId="494C8BD7" w14:textId="77777777" w:rsidTr="005F0DB4">
        <w:tc>
          <w:tcPr>
            <w:tcW w:w="990" w:type="pct"/>
            <w:shd w:val="clear" w:color="auto" w:fill="A6A6A6"/>
          </w:tcPr>
          <w:p w14:paraId="0BC38B1F" w14:textId="65E7865B" w:rsidR="004D788E" w:rsidRPr="00B971A7" w:rsidRDefault="00D117D6" w:rsidP="00D117D6">
            <w:pPr>
              <w:pStyle w:val="ListParagraph"/>
              <w:rPr>
                <w:rFonts w:cs="Arial"/>
                <w:lang w:val="es-ES_tradnl"/>
              </w:rPr>
            </w:pPr>
            <w:r w:rsidRPr="00B971A7">
              <w:rPr>
                <w:rFonts w:cs="Arial"/>
                <w:lang w:val="es-ES_tradnl"/>
              </w:rPr>
              <w:t>Gestión de riesgos y auditoria</w:t>
            </w:r>
          </w:p>
        </w:tc>
        <w:tc>
          <w:tcPr>
            <w:tcW w:w="4010" w:type="pct"/>
            <w:shd w:val="clear" w:color="auto" w:fill="E6E6E6"/>
          </w:tcPr>
          <w:p w14:paraId="73810A58" w14:textId="6587E3E2" w:rsidR="00AA4FC3" w:rsidRPr="00B971A7" w:rsidRDefault="00602364" w:rsidP="00AA4FC3">
            <w:pPr>
              <w:pStyle w:val="Bullet2"/>
              <w:rPr>
                <w:lang w:val="es-ES_tradnl"/>
              </w:rPr>
            </w:pPr>
            <w:r w:rsidRPr="00B971A7">
              <w:rPr>
                <w:lang w:val="es-ES_tradnl"/>
              </w:rPr>
              <w:t>Cuando sea necesario, p</w:t>
            </w:r>
            <w:r w:rsidR="00AA4FC3" w:rsidRPr="00B971A7">
              <w:rPr>
                <w:lang w:val="es-ES_tradnl"/>
              </w:rPr>
              <w:t>roporciona consejos en los procesos de gestión de riesgos</w:t>
            </w:r>
          </w:p>
          <w:p w14:paraId="54E0A5FC" w14:textId="0FAFBB5A" w:rsidR="004D788E" w:rsidRPr="00B971A7" w:rsidRDefault="00AA4FC3" w:rsidP="00602364">
            <w:pPr>
              <w:pStyle w:val="Bullet2"/>
              <w:rPr>
                <w:lang w:val="es-ES_tradnl"/>
              </w:rPr>
            </w:pPr>
            <w:r w:rsidRPr="00B971A7">
              <w:rPr>
                <w:lang w:val="es-ES_tradnl"/>
              </w:rPr>
              <w:t>Revisa las cláusulas de auditoría e</w:t>
            </w:r>
            <w:r w:rsidR="00602364" w:rsidRPr="00B971A7">
              <w:rPr>
                <w:lang w:val="es-ES_tradnl"/>
              </w:rPr>
              <w:t>n el Memorando de Entendimiento</w:t>
            </w:r>
            <w:r w:rsidRPr="00B971A7">
              <w:rPr>
                <w:lang w:val="es-ES_tradnl"/>
              </w:rPr>
              <w:t xml:space="preserve">/ acuerdos con los proveedores de </w:t>
            </w:r>
            <w:r w:rsidR="00602364" w:rsidRPr="00B971A7">
              <w:rPr>
                <w:lang w:val="es-ES_tradnl"/>
              </w:rPr>
              <w:t>los PTE</w:t>
            </w:r>
            <w:r w:rsidRPr="00B971A7">
              <w:rPr>
                <w:lang w:val="es-ES_tradnl"/>
              </w:rPr>
              <w:t xml:space="preserve">, </w:t>
            </w:r>
            <w:r w:rsidR="00602364" w:rsidRPr="00B971A7">
              <w:rPr>
                <w:lang w:val="es-ES_tradnl"/>
              </w:rPr>
              <w:t xml:space="preserve">y </w:t>
            </w:r>
            <w:r w:rsidRPr="00B971A7">
              <w:rPr>
                <w:lang w:val="es-ES_tradnl"/>
              </w:rPr>
              <w:t>cuando existen requisitos específicos de a</w:t>
            </w:r>
            <w:r w:rsidR="00602364" w:rsidRPr="00B971A7">
              <w:rPr>
                <w:lang w:val="es-ES_tradnl"/>
              </w:rPr>
              <w:t>uditoría de los donantes sobre los PTE</w:t>
            </w:r>
          </w:p>
        </w:tc>
      </w:tr>
      <w:tr w:rsidR="004D788E" w:rsidRPr="00602364" w14:paraId="29A1C7FA" w14:textId="77777777" w:rsidTr="005F0DB4">
        <w:tc>
          <w:tcPr>
            <w:tcW w:w="990" w:type="pct"/>
            <w:shd w:val="clear" w:color="auto" w:fill="A6A6A6"/>
          </w:tcPr>
          <w:p w14:paraId="189D8209" w14:textId="77777777" w:rsidR="004D788E" w:rsidRPr="00B971A7" w:rsidRDefault="004D788E" w:rsidP="00C87512">
            <w:pPr>
              <w:pStyle w:val="ListParagraph"/>
              <w:rPr>
                <w:rFonts w:cs="Arial"/>
                <w:lang w:val="es-ES_tradnl"/>
              </w:rPr>
            </w:pPr>
            <w:r w:rsidRPr="00B971A7">
              <w:rPr>
                <w:rFonts w:cs="Arial"/>
                <w:lang w:val="es-ES_tradnl"/>
              </w:rPr>
              <w:t>Legal</w:t>
            </w:r>
          </w:p>
        </w:tc>
        <w:tc>
          <w:tcPr>
            <w:tcW w:w="4010" w:type="pct"/>
            <w:shd w:val="clear" w:color="auto" w:fill="E6E6E6"/>
          </w:tcPr>
          <w:p w14:paraId="55FB9FBF" w14:textId="3E944F46" w:rsidR="00602364" w:rsidRPr="00B971A7" w:rsidRDefault="00602364" w:rsidP="00602364">
            <w:pPr>
              <w:pStyle w:val="Bullet2"/>
              <w:rPr>
                <w:lang w:val="es-ES_tradnl"/>
              </w:rPr>
            </w:pPr>
            <w:r w:rsidRPr="00B971A7">
              <w:rPr>
                <w:lang w:val="es-ES_tradnl"/>
              </w:rPr>
              <w:t>Revisa y orienta sobre contratos cuando el modelo de contrato estándar de la FICR y condiciones (Anexo 4) no son aceptables</w:t>
            </w:r>
          </w:p>
          <w:p w14:paraId="235FB4A4" w14:textId="021C8523" w:rsidR="004D788E" w:rsidRPr="00B971A7" w:rsidRDefault="00602364" w:rsidP="00602364">
            <w:pPr>
              <w:pStyle w:val="Bullet2"/>
              <w:rPr>
                <w:lang w:val="es-ES_tradnl"/>
              </w:rPr>
            </w:pPr>
            <w:r w:rsidRPr="00B971A7">
              <w:rPr>
                <w:lang w:val="es-ES_tradnl"/>
              </w:rPr>
              <w:t xml:space="preserve">Cuando es necesario, dependiendo del contexto, lleva a cabo revisiones de aspectos legales o evaluaciones sobre los riesgos. </w:t>
            </w:r>
          </w:p>
        </w:tc>
      </w:tr>
      <w:tr w:rsidR="004D788E" w:rsidRPr="00EB4B14" w14:paraId="11937125" w14:textId="77777777" w:rsidTr="005F0DB4">
        <w:tc>
          <w:tcPr>
            <w:tcW w:w="990" w:type="pct"/>
            <w:shd w:val="clear" w:color="auto" w:fill="A6A6A6"/>
          </w:tcPr>
          <w:p w14:paraId="3E8197D7" w14:textId="73F7C298" w:rsidR="004D788E" w:rsidRPr="00B971A7" w:rsidRDefault="00D117D6" w:rsidP="00D117D6">
            <w:pPr>
              <w:pStyle w:val="ListParagraph"/>
              <w:rPr>
                <w:rFonts w:cs="Arial"/>
                <w:lang w:val="es-ES_tradnl"/>
              </w:rPr>
            </w:pPr>
            <w:r w:rsidRPr="00B971A7">
              <w:rPr>
                <w:rFonts w:cs="Arial"/>
                <w:lang w:val="es-ES_tradnl"/>
              </w:rPr>
              <w:t xml:space="preserve">Tecnologías de la información y apoyo a los sistemas de comunicación (Informática) </w:t>
            </w:r>
          </w:p>
        </w:tc>
        <w:tc>
          <w:tcPr>
            <w:tcW w:w="4010" w:type="pct"/>
            <w:shd w:val="clear" w:color="auto" w:fill="E6E6E6"/>
          </w:tcPr>
          <w:p w14:paraId="0CAADAAA" w14:textId="052DA9AC" w:rsidR="004D788E" w:rsidRPr="00B971A7" w:rsidRDefault="00602364" w:rsidP="00EB4B14">
            <w:pPr>
              <w:pStyle w:val="Bullet2"/>
              <w:rPr>
                <w:lang w:val="es-ES_tradnl"/>
              </w:rPr>
            </w:pPr>
            <w:r w:rsidRPr="00B971A7">
              <w:rPr>
                <w:lang w:val="es-ES_tradnl"/>
              </w:rPr>
              <w:t xml:space="preserve">Proporciona conocimientos técnicos sobre </w:t>
            </w:r>
            <w:r w:rsidR="00EB4B14" w:rsidRPr="00B971A7">
              <w:rPr>
                <w:lang w:val="es-ES_tradnl"/>
              </w:rPr>
              <w:t>aspectos relacionados con tecnologías de la información, en PTE</w:t>
            </w:r>
            <w:r w:rsidRPr="00B971A7">
              <w:rPr>
                <w:lang w:val="es-ES_tradnl"/>
              </w:rPr>
              <w:t xml:space="preserve"> que implican </w:t>
            </w:r>
            <w:r w:rsidR="00EB4B14" w:rsidRPr="00B971A7">
              <w:rPr>
                <w:lang w:val="es-ES_tradnl"/>
              </w:rPr>
              <w:t xml:space="preserve">el uso de </w:t>
            </w:r>
            <w:r w:rsidRPr="00B971A7">
              <w:rPr>
                <w:lang w:val="es-ES_tradnl"/>
              </w:rPr>
              <w:t xml:space="preserve">nuevas tecnologías, como la banca </w:t>
            </w:r>
            <w:r w:rsidR="00EB4B14" w:rsidRPr="00B971A7">
              <w:rPr>
                <w:lang w:val="es-ES_tradnl"/>
              </w:rPr>
              <w:t xml:space="preserve">a través de los teléfonos </w:t>
            </w:r>
            <w:r w:rsidRPr="00B971A7">
              <w:rPr>
                <w:lang w:val="es-ES_tradnl"/>
              </w:rPr>
              <w:t>móvil</w:t>
            </w:r>
            <w:r w:rsidR="00EB4B14" w:rsidRPr="00B971A7">
              <w:rPr>
                <w:lang w:val="es-ES_tradnl"/>
              </w:rPr>
              <w:t xml:space="preserve">es, la recolección de información digital </w:t>
            </w:r>
            <w:r w:rsidRPr="00B971A7">
              <w:rPr>
                <w:lang w:val="es-ES_tradnl"/>
              </w:rPr>
              <w:t xml:space="preserve">y los sistemas de pago electrónico </w:t>
            </w:r>
          </w:p>
        </w:tc>
      </w:tr>
      <w:tr w:rsidR="004D788E" w:rsidRPr="00EB4B14" w14:paraId="1A9F43E0" w14:textId="77777777" w:rsidTr="005F0DB4">
        <w:tc>
          <w:tcPr>
            <w:tcW w:w="990" w:type="pct"/>
            <w:shd w:val="clear" w:color="auto" w:fill="A6A6A6"/>
          </w:tcPr>
          <w:p w14:paraId="6068538F" w14:textId="6D7DC17E" w:rsidR="004D788E" w:rsidRPr="00B971A7" w:rsidRDefault="00B971A7" w:rsidP="00D117D6">
            <w:pPr>
              <w:pStyle w:val="ListParagraph"/>
              <w:rPr>
                <w:rFonts w:cs="Arial"/>
                <w:lang w:val="es-ES_tradnl"/>
              </w:rPr>
            </w:pPr>
            <w:r w:rsidRPr="00B971A7">
              <w:rPr>
                <w:rFonts w:cs="Arial"/>
                <w:lang w:val="es-ES_tradnl"/>
              </w:rPr>
              <w:t>Movilización</w:t>
            </w:r>
            <w:r w:rsidR="00D117D6" w:rsidRPr="00B971A7">
              <w:rPr>
                <w:rFonts w:cs="Arial"/>
                <w:lang w:val="es-ES_tradnl"/>
              </w:rPr>
              <w:t xml:space="preserve"> de recursos</w:t>
            </w:r>
          </w:p>
        </w:tc>
        <w:tc>
          <w:tcPr>
            <w:tcW w:w="4010" w:type="pct"/>
            <w:shd w:val="clear" w:color="auto" w:fill="E6E6E6"/>
          </w:tcPr>
          <w:p w14:paraId="3327D83C" w14:textId="00D5CAF1" w:rsidR="004D788E" w:rsidRPr="00B971A7" w:rsidRDefault="00EB4B14" w:rsidP="00EB4B14">
            <w:pPr>
              <w:pStyle w:val="Bullet2"/>
              <w:rPr>
                <w:rFonts w:eastAsia="Calibri"/>
                <w:sz w:val="18"/>
                <w:szCs w:val="18"/>
                <w:lang w:val="es-ES_tradnl"/>
              </w:rPr>
            </w:pPr>
            <w:r w:rsidRPr="00B971A7">
              <w:rPr>
                <w:lang w:val="es-ES_tradnl"/>
              </w:rPr>
              <w:t xml:space="preserve">Proporciona apoyo a los esfuerzos de recaudación de fondos y </w:t>
            </w:r>
            <w:proofErr w:type="spellStart"/>
            <w:r w:rsidRPr="00B971A7">
              <w:rPr>
                <w:lang w:val="es-ES_tradnl"/>
              </w:rPr>
              <w:t>partenariado</w:t>
            </w:r>
            <w:proofErr w:type="spellEnd"/>
            <w:r w:rsidRPr="00B971A7">
              <w:rPr>
                <w:lang w:val="es-ES_tradnl"/>
              </w:rPr>
              <w:t>, en curso</w:t>
            </w:r>
          </w:p>
        </w:tc>
      </w:tr>
    </w:tbl>
    <w:p w14:paraId="38BE3AFB" w14:textId="77777777" w:rsidR="008E5090" w:rsidRPr="00EB4B14" w:rsidRDefault="008E5090" w:rsidP="00193897">
      <w:pPr>
        <w:rPr>
          <w:lang w:val="es-ES"/>
        </w:rPr>
      </w:pPr>
    </w:p>
    <w:sectPr w:rsidR="008E5090" w:rsidRPr="00EB4B14" w:rsidSect="0099639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AFE7F" w14:textId="77777777" w:rsidR="003B6009" w:rsidRDefault="003B6009" w:rsidP="00214F3B">
      <w:r>
        <w:separator/>
      </w:r>
    </w:p>
  </w:endnote>
  <w:endnote w:type="continuationSeparator" w:id="0">
    <w:p w14:paraId="3AE08429" w14:textId="77777777" w:rsidR="003B6009" w:rsidRDefault="003B6009" w:rsidP="0021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EDCE6" w14:textId="4B19A90D" w:rsidR="00996396" w:rsidRPr="00B45C74" w:rsidRDefault="00996396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446DEB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0B2D37C7" w14:textId="21A9B381" w:rsidR="00996396" w:rsidRPr="003A3500" w:rsidRDefault="00B00246" w:rsidP="00ED1B2B">
    <w:pPr>
      <w:pStyle w:val="Footer"/>
    </w:pPr>
    <w:proofErr w:type="spellStart"/>
    <w:r>
      <w:rPr>
        <w:b/>
      </w:rPr>
      <w:t>Módulo</w:t>
    </w:r>
    <w:proofErr w:type="spellEnd"/>
    <w:r w:rsidR="00996396" w:rsidRPr="00107E15">
      <w:rPr>
        <w:b/>
      </w:rPr>
      <w:t xml:space="preserve"> </w:t>
    </w:r>
    <w:r w:rsidR="00996396">
      <w:rPr>
        <w:b/>
      </w:rPr>
      <w:t>1</w:t>
    </w:r>
    <w:r w:rsidR="00996396" w:rsidRPr="00107E15">
      <w:rPr>
        <w:b/>
      </w:rPr>
      <w:t>.</w:t>
    </w:r>
    <w:r w:rsidR="00996396" w:rsidRPr="00107E15">
      <w:t xml:space="preserve"> </w:t>
    </w:r>
    <w:proofErr w:type="spellStart"/>
    <w:r>
      <w:t>Etapa</w:t>
    </w:r>
    <w:proofErr w:type="spellEnd"/>
    <w:r w:rsidR="00996396" w:rsidRPr="00107E15">
      <w:t xml:space="preserve"> </w:t>
    </w:r>
    <w:r w:rsidR="00996396">
      <w:t>2. Sub-</w:t>
    </w:r>
    <w:proofErr w:type="spellStart"/>
    <w:r>
      <w:t>etapa</w:t>
    </w:r>
    <w:proofErr w:type="spellEnd"/>
    <w:r w:rsidR="00996396">
      <w:t xml:space="preserve"> 4. </w:t>
    </w:r>
    <w:r w:rsidR="00996396" w:rsidRPr="00107E15">
      <w:rPr>
        <w:i/>
      </w:rPr>
      <w:fldChar w:fldCharType="begin"/>
    </w:r>
    <w:r w:rsidR="00996396" w:rsidRPr="00107E15">
      <w:rPr>
        <w:i/>
      </w:rPr>
      <w:instrText xml:space="preserve"> STYLEREF  H1 \t  \* MERGEFORMAT </w:instrText>
    </w:r>
    <w:r w:rsidR="00996396" w:rsidRPr="00107E15">
      <w:rPr>
        <w:i/>
      </w:rPr>
      <w:fldChar w:fldCharType="separate"/>
    </w:r>
    <w:r w:rsidR="00446DEB" w:rsidRPr="00446DEB">
      <w:rPr>
        <w:noProof/>
      </w:rPr>
      <w:t>Plantilla de procedimientos operativos estándar</w:t>
    </w:r>
    <w:r w:rsidR="00446DEB">
      <w:rPr>
        <w:i/>
        <w:noProof/>
      </w:rPr>
      <w:t xml:space="preserve"> para PTE</w:t>
    </w:r>
    <w:r w:rsidR="00996396" w:rsidRPr="00107E15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B2900" w14:textId="77777777" w:rsidR="003B6009" w:rsidRDefault="003B6009" w:rsidP="00214F3B">
      <w:r>
        <w:separator/>
      </w:r>
    </w:p>
  </w:footnote>
  <w:footnote w:type="continuationSeparator" w:id="0">
    <w:p w14:paraId="3CAB2DC8" w14:textId="77777777" w:rsidR="003B6009" w:rsidRDefault="003B6009" w:rsidP="00214F3B">
      <w:r>
        <w:continuationSeparator/>
      </w:r>
    </w:p>
  </w:footnote>
  <w:footnote w:id="1">
    <w:p w14:paraId="7DFFC864" w14:textId="3D528771" w:rsidR="00926BFA" w:rsidRPr="00926BFA" w:rsidRDefault="00926BFA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GB"/>
        </w:rPr>
        <w:t>Por</w:t>
      </w:r>
      <w:proofErr w:type="spellEnd"/>
      <w:r>
        <w:rPr>
          <w:lang w:val="en-GB"/>
        </w:rPr>
        <w:t xml:space="preserve"> sus </w:t>
      </w:r>
      <w:proofErr w:type="spellStart"/>
      <w:r>
        <w:rPr>
          <w:lang w:val="en-GB"/>
        </w:rPr>
        <w:t>siglas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inglés</w:t>
      </w:r>
      <w:proofErr w:type="spellEnd"/>
      <w:r w:rsidR="00BF0A76">
        <w:rPr>
          <w:lang w:val="en-GB"/>
        </w:rPr>
        <w:t xml:space="preserve">, Standard Operation Procedures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B948" w14:textId="77777777" w:rsidR="00C00418" w:rsidRPr="00C746A5" w:rsidRDefault="00C00418" w:rsidP="00C00418">
    <w:pPr>
      <w:pStyle w:val="Header"/>
      <w:rPr>
        <w:szCs w:val="16"/>
        <w:lang w:val="es-ES"/>
      </w:rPr>
    </w:pPr>
    <w:r w:rsidRPr="00C746A5">
      <w:rPr>
        <w:rStyle w:val="Pantone485"/>
        <w:lang w:val="es-ES"/>
      </w:rPr>
      <w:t xml:space="preserve">Movimiento Internacional </w:t>
    </w:r>
    <w:r>
      <w:rPr>
        <w:rStyle w:val="Pantone485"/>
        <w:lang w:val="es-ES"/>
      </w:rPr>
      <w:t xml:space="preserve">de </w:t>
    </w:r>
    <w:r w:rsidRPr="00C746A5">
      <w:rPr>
        <w:rStyle w:val="Pantone485"/>
        <w:lang w:val="es-ES"/>
      </w:rPr>
      <w:t xml:space="preserve">la Cruz Roja y </w:t>
    </w:r>
    <w:r>
      <w:rPr>
        <w:rStyle w:val="Pantone485"/>
        <w:lang w:val="es-ES"/>
      </w:rPr>
      <w:t xml:space="preserve">de </w:t>
    </w:r>
    <w:r w:rsidRPr="00C746A5">
      <w:rPr>
        <w:rStyle w:val="Pantone485"/>
        <w:lang w:val="es-ES"/>
      </w:rPr>
      <w:t>la Media Luna Roja</w:t>
    </w:r>
    <w:r w:rsidRPr="00C746A5">
      <w:rPr>
        <w:rFonts w:cs="Caecilia-Light"/>
        <w:color w:val="FF0000"/>
        <w:szCs w:val="16"/>
        <w:lang w:val="es-ES"/>
      </w:rPr>
      <w:t xml:space="preserve"> </w:t>
    </w:r>
    <w:r w:rsidRPr="00C746A5">
      <w:rPr>
        <w:rStyle w:val="PageNumber"/>
        <w:bCs/>
        <w:szCs w:val="16"/>
        <w:lang w:val="es-ES"/>
      </w:rPr>
      <w:t>I</w:t>
    </w:r>
    <w:r w:rsidRPr="00C746A5">
      <w:rPr>
        <w:rStyle w:val="PageNumber"/>
        <w:color w:val="FF0000"/>
        <w:szCs w:val="16"/>
        <w:lang w:val="es-ES"/>
      </w:rPr>
      <w:t xml:space="preserve"> </w:t>
    </w:r>
    <w:r w:rsidRPr="00C746A5">
      <w:rPr>
        <w:b/>
        <w:szCs w:val="16"/>
        <w:lang w:val="es-ES"/>
      </w:rPr>
      <w:t>C</w:t>
    </w:r>
    <w:r>
      <w:rPr>
        <w:b/>
        <w:szCs w:val="16"/>
        <w:lang w:val="es-ES"/>
      </w:rPr>
      <w:t>aja de Herramientas para PTE en emergencias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B13"/>
    <w:multiLevelType w:val="hybridMultilevel"/>
    <w:tmpl w:val="7A58F56C"/>
    <w:lvl w:ilvl="0" w:tplc="C04A8794">
      <w:start w:val="1"/>
      <w:numFmt w:val="bullet"/>
      <w:pStyle w:val="Exaplanationbullets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90F06"/>
    <w:multiLevelType w:val="hybridMultilevel"/>
    <w:tmpl w:val="16EEE6AE"/>
    <w:lvl w:ilvl="0" w:tplc="97B44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C139D"/>
    <w:multiLevelType w:val="hybridMultilevel"/>
    <w:tmpl w:val="5F909934"/>
    <w:lvl w:ilvl="0" w:tplc="DDE2BC54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1"/>
  <w:proofState w:spelling="clean" w:grammar="clean"/>
  <w:attachedTemplate r:id="rId1"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17"/>
    <w:rsid w:val="00006BBF"/>
    <w:rsid w:val="00010DFE"/>
    <w:rsid w:val="00014DFC"/>
    <w:rsid w:val="00015712"/>
    <w:rsid w:val="0002541D"/>
    <w:rsid w:val="00030CC0"/>
    <w:rsid w:val="00031FA3"/>
    <w:rsid w:val="0003434B"/>
    <w:rsid w:val="00034AA0"/>
    <w:rsid w:val="000368AB"/>
    <w:rsid w:val="00042735"/>
    <w:rsid w:val="0005150F"/>
    <w:rsid w:val="00084F9F"/>
    <w:rsid w:val="000949C1"/>
    <w:rsid w:val="00096297"/>
    <w:rsid w:val="00096A14"/>
    <w:rsid w:val="000A167A"/>
    <w:rsid w:val="000B42FE"/>
    <w:rsid w:val="000F5FB3"/>
    <w:rsid w:val="00130F7D"/>
    <w:rsid w:val="00134925"/>
    <w:rsid w:val="00137659"/>
    <w:rsid w:val="001418A3"/>
    <w:rsid w:val="00154AE7"/>
    <w:rsid w:val="00166927"/>
    <w:rsid w:val="00167FDA"/>
    <w:rsid w:val="0017388C"/>
    <w:rsid w:val="0018189F"/>
    <w:rsid w:val="00193897"/>
    <w:rsid w:val="00193AF1"/>
    <w:rsid w:val="001B1B4C"/>
    <w:rsid w:val="001C0FC8"/>
    <w:rsid w:val="001F5B89"/>
    <w:rsid w:val="00214F3B"/>
    <w:rsid w:val="00224867"/>
    <w:rsid w:val="00242E9E"/>
    <w:rsid w:val="00243808"/>
    <w:rsid w:val="002467E6"/>
    <w:rsid w:val="00257AB8"/>
    <w:rsid w:val="00266F5C"/>
    <w:rsid w:val="00267610"/>
    <w:rsid w:val="00271334"/>
    <w:rsid w:val="00276BFB"/>
    <w:rsid w:val="00297957"/>
    <w:rsid w:val="002A33FE"/>
    <w:rsid w:val="002A3623"/>
    <w:rsid w:val="002A5BC1"/>
    <w:rsid w:val="002D1DE8"/>
    <w:rsid w:val="002E6E16"/>
    <w:rsid w:val="002F38C4"/>
    <w:rsid w:val="0030260E"/>
    <w:rsid w:val="00311319"/>
    <w:rsid w:val="00312FC7"/>
    <w:rsid w:val="00315FA2"/>
    <w:rsid w:val="0032645A"/>
    <w:rsid w:val="003302F8"/>
    <w:rsid w:val="003345FD"/>
    <w:rsid w:val="00334ADC"/>
    <w:rsid w:val="00343C8A"/>
    <w:rsid w:val="003441CC"/>
    <w:rsid w:val="00376F1D"/>
    <w:rsid w:val="003860BE"/>
    <w:rsid w:val="003A2774"/>
    <w:rsid w:val="003A4C81"/>
    <w:rsid w:val="003A7707"/>
    <w:rsid w:val="003B25BA"/>
    <w:rsid w:val="003B57A7"/>
    <w:rsid w:val="003B5CDD"/>
    <w:rsid w:val="003B6009"/>
    <w:rsid w:val="003C6BF3"/>
    <w:rsid w:val="003D5A0E"/>
    <w:rsid w:val="00405BE0"/>
    <w:rsid w:val="00432124"/>
    <w:rsid w:val="0044299B"/>
    <w:rsid w:val="00446DEB"/>
    <w:rsid w:val="0044743A"/>
    <w:rsid w:val="004544C0"/>
    <w:rsid w:val="00467B15"/>
    <w:rsid w:val="004742CD"/>
    <w:rsid w:val="00477CED"/>
    <w:rsid w:val="00481C65"/>
    <w:rsid w:val="00483585"/>
    <w:rsid w:val="00494645"/>
    <w:rsid w:val="00497B77"/>
    <w:rsid w:val="004C3EED"/>
    <w:rsid w:val="004D2939"/>
    <w:rsid w:val="004D34AD"/>
    <w:rsid w:val="004D66C9"/>
    <w:rsid w:val="004D6A32"/>
    <w:rsid w:val="004D788E"/>
    <w:rsid w:val="004F6C7D"/>
    <w:rsid w:val="00501173"/>
    <w:rsid w:val="005316C8"/>
    <w:rsid w:val="0054200E"/>
    <w:rsid w:val="00552296"/>
    <w:rsid w:val="005551F0"/>
    <w:rsid w:val="005733A5"/>
    <w:rsid w:val="00582ADB"/>
    <w:rsid w:val="00583B60"/>
    <w:rsid w:val="00590509"/>
    <w:rsid w:val="0059323F"/>
    <w:rsid w:val="005941D5"/>
    <w:rsid w:val="005A409A"/>
    <w:rsid w:val="005A50E0"/>
    <w:rsid w:val="005C7D99"/>
    <w:rsid w:val="005D5730"/>
    <w:rsid w:val="005E1A34"/>
    <w:rsid w:val="005E36A1"/>
    <w:rsid w:val="005F0DB4"/>
    <w:rsid w:val="005F6C47"/>
    <w:rsid w:val="005F7EE1"/>
    <w:rsid w:val="00602355"/>
    <w:rsid w:val="00602364"/>
    <w:rsid w:val="00604FAE"/>
    <w:rsid w:val="006153B3"/>
    <w:rsid w:val="00616565"/>
    <w:rsid w:val="00626529"/>
    <w:rsid w:val="006610CC"/>
    <w:rsid w:val="00662F1B"/>
    <w:rsid w:val="00667A44"/>
    <w:rsid w:val="00670146"/>
    <w:rsid w:val="0067681E"/>
    <w:rsid w:val="00682609"/>
    <w:rsid w:val="0069390C"/>
    <w:rsid w:val="00695009"/>
    <w:rsid w:val="006B4442"/>
    <w:rsid w:val="006B4770"/>
    <w:rsid w:val="006C684D"/>
    <w:rsid w:val="006D3BF7"/>
    <w:rsid w:val="006D4416"/>
    <w:rsid w:val="006F2503"/>
    <w:rsid w:val="00706131"/>
    <w:rsid w:val="00734A8B"/>
    <w:rsid w:val="0073592B"/>
    <w:rsid w:val="00736978"/>
    <w:rsid w:val="007553A3"/>
    <w:rsid w:val="00760F80"/>
    <w:rsid w:val="00762B34"/>
    <w:rsid w:val="00774B66"/>
    <w:rsid w:val="00776C4C"/>
    <w:rsid w:val="007A32C6"/>
    <w:rsid w:val="007A69F8"/>
    <w:rsid w:val="007A6E27"/>
    <w:rsid w:val="007B3979"/>
    <w:rsid w:val="007B6BB7"/>
    <w:rsid w:val="007B7ABE"/>
    <w:rsid w:val="007B7B4A"/>
    <w:rsid w:val="007C2235"/>
    <w:rsid w:val="007C4F1C"/>
    <w:rsid w:val="007D217B"/>
    <w:rsid w:val="007D35D5"/>
    <w:rsid w:val="007E3499"/>
    <w:rsid w:val="007E386A"/>
    <w:rsid w:val="00806CAA"/>
    <w:rsid w:val="00807338"/>
    <w:rsid w:val="00811406"/>
    <w:rsid w:val="00830226"/>
    <w:rsid w:val="008332CB"/>
    <w:rsid w:val="008463FC"/>
    <w:rsid w:val="00865444"/>
    <w:rsid w:val="00866480"/>
    <w:rsid w:val="00874ACF"/>
    <w:rsid w:val="00876551"/>
    <w:rsid w:val="008779AB"/>
    <w:rsid w:val="0088211A"/>
    <w:rsid w:val="00893A68"/>
    <w:rsid w:val="00894B31"/>
    <w:rsid w:val="008B2C7F"/>
    <w:rsid w:val="008B31D5"/>
    <w:rsid w:val="008C0DA2"/>
    <w:rsid w:val="008C1A77"/>
    <w:rsid w:val="008C3212"/>
    <w:rsid w:val="008C4D52"/>
    <w:rsid w:val="008C75D0"/>
    <w:rsid w:val="008D0419"/>
    <w:rsid w:val="008D089D"/>
    <w:rsid w:val="008D2114"/>
    <w:rsid w:val="008E04A9"/>
    <w:rsid w:val="008E3B0A"/>
    <w:rsid w:val="008E5090"/>
    <w:rsid w:val="00903938"/>
    <w:rsid w:val="0091565A"/>
    <w:rsid w:val="00925A38"/>
    <w:rsid w:val="00926BFA"/>
    <w:rsid w:val="009317C3"/>
    <w:rsid w:val="009423E1"/>
    <w:rsid w:val="00961477"/>
    <w:rsid w:val="00962C54"/>
    <w:rsid w:val="00970E74"/>
    <w:rsid w:val="00971803"/>
    <w:rsid w:val="009728DC"/>
    <w:rsid w:val="009776D6"/>
    <w:rsid w:val="00996396"/>
    <w:rsid w:val="009A6E23"/>
    <w:rsid w:val="009B10DB"/>
    <w:rsid w:val="009C1B85"/>
    <w:rsid w:val="009C3C0F"/>
    <w:rsid w:val="009C3D1A"/>
    <w:rsid w:val="009D2B4A"/>
    <w:rsid w:val="009D3D01"/>
    <w:rsid w:val="009E631E"/>
    <w:rsid w:val="009E714B"/>
    <w:rsid w:val="00A238BA"/>
    <w:rsid w:val="00A622F2"/>
    <w:rsid w:val="00A65FA6"/>
    <w:rsid w:val="00A72044"/>
    <w:rsid w:val="00A85FA8"/>
    <w:rsid w:val="00A86B11"/>
    <w:rsid w:val="00A87771"/>
    <w:rsid w:val="00AA1ECA"/>
    <w:rsid w:val="00AA4FC3"/>
    <w:rsid w:val="00AC36ED"/>
    <w:rsid w:val="00AD003F"/>
    <w:rsid w:val="00AD0FF5"/>
    <w:rsid w:val="00AD6F3C"/>
    <w:rsid w:val="00AE143C"/>
    <w:rsid w:val="00AE50BC"/>
    <w:rsid w:val="00AF05D8"/>
    <w:rsid w:val="00B00246"/>
    <w:rsid w:val="00B202C6"/>
    <w:rsid w:val="00B21E1C"/>
    <w:rsid w:val="00B3455A"/>
    <w:rsid w:val="00B35509"/>
    <w:rsid w:val="00B35D2B"/>
    <w:rsid w:val="00B4682B"/>
    <w:rsid w:val="00B50ECF"/>
    <w:rsid w:val="00B51F62"/>
    <w:rsid w:val="00B532ED"/>
    <w:rsid w:val="00B54D86"/>
    <w:rsid w:val="00B650D7"/>
    <w:rsid w:val="00B70758"/>
    <w:rsid w:val="00B8129F"/>
    <w:rsid w:val="00B84EAA"/>
    <w:rsid w:val="00B85FDA"/>
    <w:rsid w:val="00B960D0"/>
    <w:rsid w:val="00B971A7"/>
    <w:rsid w:val="00BB03D4"/>
    <w:rsid w:val="00BB3C24"/>
    <w:rsid w:val="00BC02CC"/>
    <w:rsid w:val="00BC21AB"/>
    <w:rsid w:val="00BC48B3"/>
    <w:rsid w:val="00BC646F"/>
    <w:rsid w:val="00BC79AA"/>
    <w:rsid w:val="00BD4796"/>
    <w:rsid w:val="00BF0A76"/>
    <w:rsid w:val="00C00418"/>
    <w:rsid w:val="00C0208B"/>
    <w:rsid w:val="00C04C88"/>
    <w:rsid w:val="00C10C17"/>
    <w:rsid w:val="00C23595"/>
    <w:rsid w:val="00C31A2C"/>
    <w:rsid w:val="00C35E27"/>
    <w:rsid w:val="00C37899"/>
    <w:rsid w:val="00C43A1E"/>
    <w:rsid w:val="00C75550"/>
    <w:rsid w:val="00C771C1"/>
    <w:rsid w:val="00C87512"/>
    <w:rsid w:val="00C91E90"/>
    <w:rsid w:val="00C960BE"/>
    <w:rsid w:val="00C970A0"/>
    <w:rsid w:val="00CB7B02"/>
    <w:rsid w:val="00CC4F58"/>
    <w:rsid w:val="00CE5307"/>
    <w:rsid w:val="00CF0B79"/>
    <w:rsid w:val="00D050D3"/>
    <w:rsid w:val="00D117D6"/>
    <w:rsid w:val="00D27CF6"/>
    <w:rsid w:val="00D5149A"/>
    <w:rsid w:val="00D5579A"/>
    <w:rsid w:val="00D61AD7"/>
    <w:rsid w:val="00D76C8D"/>
    <w:rsid w:val="00D803D4"/>
    <w:rsid w:val="00D8700E"/>
    <w:rsid w:val="00D9291B"/>
    <w:rsid w:val="00DA617A"/>
    <w:rsid w:val="00DC405D"/>
    <w:rsid w:val="00DE303F"/>
    <w:rsid w:val="00DF3988"/>
    <w:rsid w:val="00DF3E5A"/>
    <w:rsid w:val="00DF4B28"/>
    <w:rsid w:val="00E047BF"/>
    <w:rsid w:val="00E067AA"/>
    <w:rsid w:val="00E1492E"/>
    <w:rsid w:val="00E23289"/>
    <w:rsid w:val="00E3000C"/>
    <w:rsid w:val="00E345D8"/>
    <w:rsid w:val="00E3717D"/>
    <w:rsid w:val="00E54EEA"/>
    <w:rsid w:val="00E55BB3"/>
    <w:rsid w:val="00E57307"/>
    <w:rsid w:val="00E57504"/>
    <w:rsid w:val="00E64A5D"/>
    <w:rsid w:val="00E72985"/>
    <w:rsid w:val="00E83F26"/>
    <w:rsid w:val="00E86DB9"/>
    <w:rsid w:val="00E92C7F"/>
    <w:rsid w:val="00EA3B6B"/>
    <w:rsid w:val="00EB4B14"/>
    <w:rsid w:val="00EC0EF9"/>
    <w:rsid w:val="00EC251F"/>
    <w:rsid w:val="00EC3A64"/>
    <w:rsid w:val="00ED08F3"/>
    <w:rsid w:val="00EE7E9D"/>
    <w:rsid w:val="00F03560"/>
    <w:rsid w:val="00F0521C"/>
    <w:rsid w:val="00F075D4"/>
    <w:rsid w:val="00F12CB7"/>
    <w:rsid w:val="00F1772E"/>
    <w:rsid w:val="00F20C41"/>
    <w:rsid w:val="00F37F90"/>
    <w:rsid w:val="00F45BE2"/>
    <w:rsid w:val="00F56EA8"/>
    <w:rsid w:val="00F6269B"/>
    <w:rsid w:val="00F666E6"/>
    <w:rsid w:val="00F8660A"/>
    <w:rsid w:val="00F86E21"/>
    <w:rsid w:val="00FB4FCB"/>
    <w:rsid w:val="00FC3D61"/>
    <w:rsid w:val="00FC52A7"/>
    <w:rsid w:val="00FD07B2"/>
    <w:rsid w:val="00FE04B9"/>
    <w:rsid w:val="00FE77EF"/>
    <w:rsid w:val="00FF5A48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885F3"/>
  <w15:docId w15:val="{8E2982F3-A587-4FC0-BBEE-D7BED0B9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1F0"/>
    <w:pPr>
      <w:spacing w:after="120" w:line="240" w:lineRule="auto"/>
    </w:pPr>
    <w:rPr>
      <w:rFonts w:ascii="Arial" w:eastAsiaTheme="minorEastAsia" w:hAnsi="Arial" w:cs="Arial"/>
      <w:sz w:val="20"/>
      <w:szCs w:val="21"/>
    </w:rPr>
  </w:style>
  <w:style w:type="paragraph" w:styleId="Heading1">
    <w:name w:val="heading 1"/>
    <w:basedOn w:val="H1"/>
    <w:next w:val="Normal"/>
    <w:link w:val="Heading1Char"/>
    <w:uiPriority w:val="9"/>
    <w:rsid w:val="00996396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96396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396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6396"/>
    <w:rPr>
      <w:rFonts w:ascii="Arial" w:eastAsiaTheme="minorEastAsia" w:hAnsi="Arial" w:cs="Arial"/>
      <w:b/>
      <w:caps/>
      <w:sz w:val="24"/>
      <w:szCs w:val="26"/>
    </w:rPr>
  </w:style>
  <w:style w:type="table" w:styleId="TableGrid">
    <w:name w:val="Table Grid"/>
    <w:basedOn w:val="TableNormal"/>
    <w:uiPriority w:val="59"/>
    <w:rsid w:val="00996396"/>
    <w:pPr>
      <w:spacing w:line="240" w:lineRule="auto"/>
      <w:jc w:val="left"/>
    </w:pPr>
    <w:rPr>
      <w:rFonts w:asciiTheme="majorHAnsi" w:eastAsiaTheme="minorEastAsia" w:hAnsiTheme="majorHAnsi" w:cs="ArialMT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3"/>
    <w:basedOn w:val="Normal"/>
    <w:link w:val="ListParagraphChar"/>
    <w:autoRedefine/>
    <w:uiPriority w:val="34"/>
    <w:qFormat/>
    <w:rsid w:val="00C87512"/>
    <w:pPr>
      <w:spacing w:after="0"/>
      <w:contextualSpacing/>
      <w:jc w:val="left"/>
    </w:pPr>
    <w:rPr>
      <w:rFonts w:eastAsiaTheme="minorHAnsi" w:cstheme="minorBidi"/>
      <w:szCs w:val="22"/>
    </w:rPr>
  </w:style>
  <w:style w:type="paragraph" w:customStyle="1" w:styleId="Explanation">
    <w:name w:val="Explanation"/>
    <w:basedOn w:val="Normal"/>
    <w:qFormat/>
    <w:rsid w:val="00B8129F"/>
    <w:pPr>
      <w:shd w:val="clear" w:color="auto" w:fill="FFFFE1"/>
      <w:ind w:left="113" w:right="113"/>
    </w:pPr>
    <w:rPr>
      <w:rFonts w:ascii="Calibri" w:eastAsia="Times New Roman" w:hAnsi="Calibri" w:cs="Times New Roman"/>
      <w:i/>
      <w:iCs/>
      <w:szCs w:val="24"/>
    </w:rPr>
  </w:style>
  <w:style w:type="paragraph" w:customStyle="1" w:styleId="Exaplanationbullets">
    <w:name w:val="Exaplanation bullets"/>
    <w:basedOn w:val="Explanation"/>
    <w:qFormat/>
    <w:rsid w:val="00B8129F"/>
    <w:pPr>
      <w:numPr>
        <w:numId w:val="1"/>
      </w:numPr>
    </w:pPr>
  </w:style>
  <w:style w:type="character" w:customStyle="1" w:styleId="ListParagraphChar">
    <w:name w:val="List Paragraph Char"/>
    <w:aliases w:val="Bullet 3 Char"/>
    <w:basedOn w:val="DefaultParagraphFont"/>
    <w:link w:val="ListParagraph"/>
    <w:uiPriority w:val="34"/>
    <w:rsid w:val="00C87512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996396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96396"/>
    <w:rPr>
      <w:rFonts w:ascii="Arial" w:eastAsiaTheme="minorEastAsia" w:hAnsi="Arial" w:cs="Arial"/>
      <w:sz w:val="16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396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96396"/>
    <w:rPr>
      <w:rFonts w:ascii="Arial" w:eastAsiaTheme="minorEastAsia" w:hAnsi="Arial" w:cs="Arial"/>
      <w:sz w:val="16"/>
      <w:szCs w:val="18"/>
    </w:rPr>
  </w:style>
  <w:style w:type="paragraph" w:customStyle="1" w:styleId="ecxmsonormal">
    <w:name w:val="ecxmsonormal"/>
    <w:basedOn w:val="Normal"/>
    <w:rsid w:val="007E349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963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A5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A5D"/>
    <w:rPr>
      <w:sz w:val="24"/>
      <w:szCs w:val="24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996396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996396"/>
    <w:rPr>
      <w:rFonts w:ascii="Arial" w:eastAsiaTheme="minorEastAsia" w:hAnsi="Arial" w:cs="Arial"/>
      <w:b/>
      <w:bCs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39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396"/>
    <w:rPr>
      <w:rFonts w:ascii="Lucida Grande" w:eastAsiaTheme="minorEastAsia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996396"/>
    <w:pPr>
      <w:spacing w:line="240" w:lineRule="auto"/>
      <w:jc w:val="left"/>
    </w:pPr>
    <w:rPr>
      <w:rFonts w:ascii="Arial" w:eastAsiaTheme="minorEastAsia" w:hAnsi="Arial" w:cs="Arial"/>
      <w:sz w:val="21"/>
      <w:szCs w:val="21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96396"/>
    <w:rPr>
      <w:rFonts w:ascii="Arial" w:eastAsiaTheme="minorEastAsia" w:hAnsi="Arial" w:cs="Arial"/>
      <w:b/>
      <w:sz w:val="40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996396"/>
    <w:rPr>
      <w:rFonts w:ascii="Arial" w:eastAsiaTheme="minorEastAsia" w:hAnsi="Arial" w:cs="Arial"/>
      <w:b/>
      <w:szCs w:val="24"/>
    </w:rPr>
  </w:style>
  <w:style w:type="paragraph" w:customStyle="1" w:styleId="Default">
    <w:name w:val="Default"/>
    <w:rsid w:val="0099639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unhideWhenUsed/>
    <w:rsid w:val="00996396"/>
    <w:rPr>
      <w:b/>
    </w:rPr>
  </w:style>
  <w:style w:type="character" w:styleId="Hyperlink">
    <w:name w:val="Hyperlink"/>
    <w:basedOn w:val="DefaultParagraphFont"/>
    <w:uiPriority w:val="99"/>
    <w:unhideWhenUsed/>
    <w:rsid w:val="0099639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6396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996396"/>
    <w:pPr>
      <w:spacing w:after="0"/>
    </w:pPr>
    <w:rPr>
      <w:sz w:val="16"/>
      <w:szCs w:val="18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6396"/>
    <w:rPr>
      <w:rFonts w:ascii="Arial" w:eastAsiaTheme="minorEastAsia" w:hAnsi="Arial" w:cs="Arial"/>
      <w:sz w:val="16"/>
      <w:szCs w:val="18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996396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996396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996396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ListParagraph"/>
    <w:autoRedefine/>
    <w:rsid w:val="00996396"/>
    <w:pPr>
      <w:numPr>
        <w:numId w:val="2"/>
      </w:numPr>
      <w:spacing w:after="60"/>
      <w:contextualSpacing w:val="0"/>
    </w:pPr>
    <w:rPr>
      <w:rFonts w:eastAsia="Times New Roman" w:cs="Arial"/>
      <w:color w:val="000000"/>
      <w:szCs w:val="21"/>
    </w:rPr>
  </w:style>
  <w:style w:type="paragraph" w:customStyle="1" w:styleId="RefItem1">
    <w:name w:val="Ref Item 1"/>
    <w:basedOn w:val="Normal"/>
    <w:rsid w:val="00996396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996396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996396"/>
    <w:rPr>
      <w:b/>
      <w:color w:val="CC0000"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996396"/>
    <w:rPr>
      <w:rFonts w:cs="Caecilia-Light"/>
      <w:color w:val="F0281E"/>
      <w:szCs w:val="16"/>
    </w:rPr>
  </w:style>
  <w:style w:type="character" w:customStyle="1" w:styleId="H1Char">
    <w:name w:val="H1 Char"/>
    <w:basedOn w:val="DefaultParagraphFont"/>
    <w:link w:val="H1"/>
    <w:rsid w:val="00996396"/>
    <w:rPr>
      <w:rFonts w:ascii="Arial" w:eastAsiaTheme="minorEastAsia" w:hAnsi="Arial" w:cs="Arial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996396"/>
    <w:pPr>
      <w:spacing w:line="240" w:lineRule="auto"/>
      <w:jc w:val="left"/>
    </w:pPr>
    <w:rPr>
      <w:rFonts w:eastAsiaTheme="minorEastAsia" w:cs="ArialMT"/>
      <w:sz w:val="20"/>
      <w:szCs w:val="20"/>
      <w:lang w:val="en-US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autoRedefine/>
    <w:rsid w:val="007B3979"/>
    <w:pPr>
      <w:numPr>
        <w:numId w:val="3"/>
      </w:numPr>
      <w:tabs>
        <w:tab w:val="left" w:pos="7230"/>
      </w:tabs>
    </w:pPr>
    <w:rPr>
      <w:rFonts w:cs="Arial"/>
    </w:rPr>
  </w:style>
  <w:style w:type="paragraph" w:customStyle="1" w:styleId="ListNumber1">
    <w:name w:val="List Number 1"/>
    <w:basedOn w:val="ListParagraph"/>
    <w:rsid w:val="00996396"/>
    <w:pPr>
      <w:numPr>
        <w:numId w:val="4"/>
      </w:numPr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ACD8E-DC6D-4225-B726-CFC2CEA86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245</TotalTime>
  <Pages>6</Pages>
  <Words>2530</Words>
  <Characters>13916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jfrize</dc:creator>
  <cp:lastModifiedBy>Ines DALMAU i GUTSENS</cp:lastModifiedBy>
  <cp:revision>8</cp:revision>
  <cp:lastPrinted>2015-09-08T20:07:00Z</cp:lastPrinted>
  <dcterms:created xsi:type="dcterms:W3CDTF">2016-01-25T16:20:00Z</dcterms:created>
  <dcterms:modified xsi:type="dcterms:W3CDTF">2016-02-10T12:28:00Z</dcterms:modified>
</cp:coreProperties>
</file>