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9795E" w14:textId="63589E6D" w:rsidR="0059695E" w:rsidRPr="00A225FF" w:rsidRDefault="00A225FF" w:rsidP="00A225FF">
      <w:pPr>
        <w:pStyle w:val="H1"/>
        <w:spacing w:after="360"/>
        <w:rPr>
          <w:lang w:val="fr-FR"/>
        </w:rPr>
      </w:pPr>
      <w:r w:rsidRPr="00A225FF">
        <w:rPr>
          <w:lang w:val="fr-FR"/>
        </w:rPr>
        <w:t xml:space="preserve">Liste de contrôle pour la planification des activités </w:t>
      </w:r>
      <w:r>
        <w:rPr>
          <w:lang w:val="fr-FR"/>
        </w:rPr>
        <w:t>« argent contre travail »</w:t>
      </w:r>
    </w:p>
    <w:p w14:paraId="7CE17396" w14:textId="18F69066" w:rsidR="00A91501" w:rsidRPr="00E12739" w:rsidRDefault="00E12739" w:rsidP="00E12739">
      <w:pPr>
        <w:pStyle w:val="Bullet1"/>
        <w:spacing w:before="120" w:after="240"/>
        <w:ind w:left="714" w:hanging="357"/>
        <w:rPr>
          <w:lang w:val="fr-FR"/>
        </w:rPr>
      </w:pPr>
      <w:r w:rsidRPr="00E12739">
        <w:rPr>
          <w:lang w:val="fr-FR"/>
        </w:rPr>
        <w:t>Réfléchir à la manière de renforcer ou de créer des comités communautaires</w:t>
      </w:r>
      <w:r w:rsidR="00A91501" w:rsidRPr="00E12739">
        <w:rPr>
          <w:lang w:val="fr-FR"/>
        </w:rPr>
        <w:t xml:space="preserve"> </w:t>
      </w:r>
      <w:r>
        <w:rPr>
          <w:lang w:val="fr-FR"/>
        </w:rPr>
        <w:t>pouvant faciliter la gestion des projets, organiser et superviser les équipes de travail.</w:t>
      </w:r>
    </w:p>
    <w:p w14:paraId="701C4DE8" w14:textId="11A935CA" w:rsidR="00171F2F" w:rsidRPr="00886AB1" w:rsidRDefault="00E12739" w:rsidP="00886AB1">
      <w:pPr>
        <w:pStyle w:val="Bullet1"/>
        <w:spacing w:before="120" w:after="240"/>
        <w:ind w:left="714" w:hanging="357"/>
        <w:rPr>
          <w:lang w:val="fr-FR"/>
        </w:rPr>
      </w:pPr>
      <w:r w:rsidRPr="00886AB1">
        <w:rPr>
          <w:lang w:val="fr-FR"/>
        </w:rPr>
        <w:t>Nouer le dialogue avec les autorités locales pour</w:t>
      </w:r>
      <w:r w:rsidR="00886AB1" w:rsidRPr="00886AB1">
        <w:rPr>
          <w:lang w:val="fr-FR"/>
        </w:rPr>
        <w:t xml:space="preserve"> faire en sorte qu’elles soutiennent le programme et y </w:t>
      </w:r>
      <w:r w:rsidR="00886AB1">
        <w:rPr>
          <w:lang w:val="fr-FR"/>
        </w:rPr>
        <w:t>participent activement</w:t>
      </w:r>
      <w:r w:rsidR="007248F1">
        <w:rPr>
          <w:lang w:val="fr-FR"/>
        </w:rPr>
        <w:t>,</w:t>
      </w:r>
      <w:r w:rsidR="00886AB1">
        <w:rPr>
          <w:lang w:val="fr-FR"/>
        </w:rPr>
        <w:t xml:space="preserve"> et s’assurer que les infrastructures remises en état ou créées seront entretenu</w:t>
      </w:r>
      <w:r w:rsidR="007A1D64">
        <w:rPr>
          <w:lang w:val="fr-FR"/>
        </w:rPr>
        <w:t>e</w:t>
      </w:r>
      <w:r w:rsidR="00886AB1">
        <w:rPr>
          <w:lang w:val="fr-FR"/>
        </w:rPr>
        <w:t>s sur le long terme</w:t>
      </w:r>
      <w:r w:rsidR="00171F2F" w:rsidRPr="00886AB1">
        <w:rPr>
          <w:lang w:val="fr-FR"/>
        </w:rPr>
        <w:t>.</w:t>
      </w:r>
    </w:p>
    <w:p w14:paraId="08E5A669" w14:textId="42A50422" w:rsidR="00610DB5" w:rsidRPr="00344645" w:rsidRDefault="00886AB1" w:rsidP="00E72418">
      <w:pPr>
        <w:pStyle w:val="Bullet1"/>
        <w:spacing w:before="120" w:after="240"/>
        <w:ind w:left="714" w:hanging="357"/>
        <w:rPr>
          <w:lang w:val="fr-FR"/>
        </w:rPr>
      </w:pPr>
      <w:r w:rsidRPr="00344645">
        <w:rPr>
          <w:lang w:val="fr-FR"/>
        </w:rPr>
        <w:t xml:space="preserve">Mettre </w:t>
      </w:r>
      <w:r w:rsidR="00344645" w:rsidRPr="00344645">
        <w:rPr>
          <w:lang w:val="fr-FR"/>
        </w:rPr>
        <w:t>en place un plan de travai</w:t>
      </w:r>
      <w:r w:rsidR="00344645">
        <w:rPr>
          <w:lang w:val="fr-FR"/>
        </w:rPr>
        <w:t>l culturellement adapté</w:t>
      </w:r>
      <w:r w:rsidR="00610DB5" w:rsidRPr="00344645">
        <w:rPr>
          <w:lang w:val="fr-FR"/>
        </w:rPr>
        <w:t xml:space="preserve"> (</w:t>
      </w:r>
      <w:r w:rsidR="00344645">
        <w:rPr>
          <w:lang w:val="fr-FR"/>
        </w:rPr>
        <w:t>p</w:t>
      </w:r>
      <w:r w:rsidR="00E72418">
        <w:rPr>
          <w:lang w:val="fr-FR"/>
        </w:rPr>
        <w:t>ar</w:t>
      </w:r>
      <w:r w:rsidR="00344645">
        <w:rPr>
          <w:lang w:val="fr-FR"/>
        </w:rPr>
        <w:t> ex. qui tienne compte des moments de prière, des jours fériés, etc.</w:t>
      </w:r>
      <w:r w:rsidR="00610DB5" w:rsidRPr="00344645">
        <w:rPr>
          <w:lang w:val="fr-FR"/>
        </w:rPr>
        <w:t>).</w:t>
      </w:r>
    </w:p>
    <w:p w14:paraId="6D2DB7A0" w14:textId="114A16FB" w:rsidR="00610DB5" w:rsidRPr="00E71E05" w:rsidRDefault="00C822A6" w:rsidP="00E71E05">
      <w:pPr>
        <w:pStyle w:val="Bullet1"/>
        <w:spacing w:before="120" w:after="240"/>
        <w:ind w:left="714" w:hanging="357"/>
        <w:rPr>
          <w:lang w:val="fr-FR"/>
        </w:rPr>
      </w:pPr>
      <w:r w:rsidRPr="00C822A6">
        <w:rPr>
          <w:lang w:val="fr-FR"/>
        </w:rPr>
        <w:t xml:space="preserve">Veiller à ce que les horaires de travail soient adaptés à l’état de santé des participants et tiennent compte </w:t>
      </w:r>
      <w:r>
        <w:rPr>
          <w:lang w:val="fr-FR"/>
        </w:rPr>
        <w:t>de leurs autres obligations</w:t>
      </w:r>
      <w:r w:rsidR="00E71E05">
        <w:rPr>
          <w:lang w:val="fr-FR"/>
        </w:rPr>
        <w:t xml:space="preserve"> (en termes d’organisation du temps de travail et du nombre total d’heures travaillées)</w:t>
      </w:r>
      <w:r w:rsidR="00610DB5" w:rsidRPr="00E71E05">
        <w:rPr>
          <w:lang w:val="fr-FR"/>
        </w:rPr>
        <w:t>.</w:t>
      </w:r>
    </w:p>
    <w:p w14:paraId="0DEA58C8" w14:textId="6E199C7F" w:rsidR="00A91501" w:rsidRPr="00E71E05" w:rsidRDefault="00E71E05" w:rsidP="00E71E05">
      <w:pPr>
        <w:pStyle w:val="Bullet1"/>
        <w:spacing w:before="120" w:after="240"/>
        <w:ind w:left="714" w:hanging="357"/>
        <w:rPr>
          <w:lang w:val="fr-FR"/>
        </w:rPr>
      </w:pPr>
      <w:r w:rsidRPr="00E71E05">
        <w:rPr>
          <w:lang w:val="fr-FR"/>
        </w:rPr>
        <w:t xml:space="preserve">S’assurer que la communauté comprend les objectifs du projet, ce </w:t>
      </w:r>
      <w:r>
        <w:rPr>
          <w:lang w:val="fr-FR"/>
        </w:rPr>
        <w:t>qui est attendu</w:t>
      </w:r>
      <w:r w:rsidRPr="00E71E05">
        <w:rPr>
          <w:lang w:val="fr-FR"/>
        </w:rPr>
        <w:t xml:space="preserve"> des participants</w:t>
      </w:r>
      <w:r>
        <w:rPr>
          <w:lang w:val="fr-FR"/>
        </w:rPr>
        <w:t xml:space="preserve">, les conditions de travail ainsi que les processus de fixation et de versement des salaires. </w:t>
      </w:r>
    </w:p>
    <w:p w14:paraId="725CBA9C" w14:textId="2127B388" w:rsidR="009305C4" w:rsidRPr="00E71E05" w:rsidRDefault="00E71E05" w:rsidP="00E71E05">
      <w:pPr>
        <w:pStyle w:val="Bullet1"/>
        <w:spacing w:before="120" w:after="240"/>
        <w:ind w:left="714" w:hanging="357"/>
        <w:rPr>
          <w:lang w:val="fr-FR"/>
        </w:rPr>
      </w:pPr>
      <w:r w:rsidRPr="00E71E05">
        <w:rPr>
          <w:lang w:val="fr-FR"/>
        </w:rPr>
        <w:t xml:space="preserve">Décider si les participants doivent ou non </w:t>
      </w:r>
      <w:r>
        <w:rPr>
          <w:lang w:val="fr-FR"/>
        </w:rPr>
        <w:t>être formés.</w:t>
      </w:r>
    </w:p>
    <w:p w14:paraId="6A6FD739" w14:textId="3721A7E4" w:rsidR="009305C4" w:rsidRPr="00813765" w:rsidRDefault="00813765" w:rsidP="00813765">
      <w:pPr>
        <w:pStyle w:val="Bullet1"/>
        <w:spacing w:before="120" w:after="240"/>
        <w:ind w:left="714" w:hanging="357"/>
        <w:rPr>
          <w:lang w:val="fr-FR"/>
        </w:rPr>
      </w:pPr>
      <w:r w:rsidRPr="00813765">
        <w:rPr>
          <w:lang w:val="fr-FR"/>
        </w:rPr>
        <w:t>Discuter avec les communautés de ce qu’il adviendra des outils et du matériel de travail une fois le projet achevé.</w:t>
      </w:r>
      <w:r w:rsidR="009305C4" w:rsidRPr="00813765">
        <w:rPr>
          <w:lang w:val="fr-FR"/>
        </w:rPr>
        <w:t xml:space="preserve"> </w:t>
      </w:r>
    </w:p>
    <w:p w14:paraId="5FA09CEB" w14:textId="29E99A5F" w:rsidR="009305C4" w:rsidRPr="001879CE" w:rsidRDefault="001879CE" w:rsidP="001879CE">
      <w:pPr>
        <w:pStyle w:val="Bullet1"/>
        <w:spacing w:before="120" w:after="240"/>
        <w:ind w:left="714" w:hanging="357"/>
        <w:rPr>
          <w:lang w:val="fr-FR"/>
        </w:rPr>
      </w:pPr>
      <w:r w:rsidRPr="001879CE">
        <w:rPr>
          <w:lang w:val="fr-FR"/>
        </w:rPr>
        <w:t>Organiser les travailleurs en group</w:t>
      </w:r>
      <w:r w:rsidR="007A1D64">
        <w:rPr>
          <w:lang w:val="fr-FR"/>
        </w:rPr>
        <w:t>e</w:t>
      </w:r>
      <w:r w:rsidRPr="001879CE">
        <w:rPr>
          <w:lang w:val="fr-FR"/>
        </w:rPr>
        <w:t>s suffisamment petits pour être supervisés (en général, environ 25 travailleurs par groupe)</w:t>
      </w:r>
      <w:r w:rsidR="002504D7" w:rsidRPr="001879CE">
        <w:rPr>
          <w:lang w:val="fr-FR"/>
        </w:rPr>
        <w:t>.</w:t>
      </w:r>
    </w:p>
    <w:p w14:paraId="2FB0BCD6" w14:textId="7C4E89FF" w:rsidR="009305C4" w:rsidRPr="00993C1F" w:rsidRDefault="002504D7" w:rsidP="00993C1F">
      <w:pPr>
        <w:pStyle w:val="Bullet1"/>
        <w:spacing w:before="120" w:after="240"/>
        <w:ind w:left="714" w:hanging="357"/>
        <w:rPr>
          <w:lang w:val="fr-FR"/>
        </w:rPr>
      </w:pPr>
      <w:r w:rsidRPr="00993C1F">
        <w:rPr>
          <w:lang w:val="fr-FR"/>
        </w:rPr>
        <w:t>Plan</w:t>
      </w:r>
      <w:r w:rsidR="00993C1F" w:rsidRPr="00993C1F">
        <w:rPr>
          <w:lang w:val="fr-FR"/>
        </w:rPr>
        <w:t>ifier des visites de suivi inopinées</w:t>
      </w:r>
      <w:r w:rsidRPr="00993C1F">
        <w:rPr>
          <w:lang w:val="fr-FR"/>
        </w:rPr>
        <w:t xml:space="preserve"> </w:t>
      </w:r>
      <w:r w:rsidR="00993C1F">
        <w:rPr>
          <w:lang w:val="fr-FR"/>
        </w:rPr>
        <w:t>afin de</w:t>
      </w:r>
      <w:r w:rsidR="00993C1F" w:rsidRPr="00993C1F">
        <w:rPr>
          <w:lang w:val="fr-FR"/>
        </w:rPr>
        <w:t xml:space="preserve"> </w:t>
      </w:r>
      <w:r w:rsidR="00993C1F">
        <w:rPr>
          <w:lang w:val="fr-FR"/>
        </w:rPr>
        <w:t>contrôler</w:t>
      </w:r>
      <w:r w:rsidR="00993C1F" w:rsidRPr="00993C1F">
        <w:rPr>
          <w:lang w:val="fr-FR"/>
        </w:rPr>
        <w:t xml:space="preserve"> les listes</w:t>
      </w:r>
      <w:r w:rsidR="00993C1F">
        <w:rPr>
          <w:lang w:val="fr-FR"/>
        </w:rPr>
        <w:t xml:space="preserve"> de participants et d’empêcher l’inscription de « travailleurs fantômes »</w:t>
      </w:r>
      <w:r w:rsidR="009305C4" w:rsidRPr="00993C1F">
        <w:rPr>
          <w:lang w:val="fr-FR"/>
        </w:rPr>
        <w:t>.</w:t>
      </w:r>
    </w:p>
    <w:p w14:paraId="2A4932F0" w14:textId="4F969EC2" w:rsidR="009305C4" w:rsidRPr="00F43D4E" w:rsidRDefault="00F43D4E" w:rsidP="00F43D4E">
      <w:pPr>
        <w:pStyle w:val="Bullet1"/>
        <w:spacing w:before="120" w:after="240"/>
        <w:ind w:left="714" w:hanging="357"/>
        <w:rPr>
          <w:lang w:val="fr-FR"/>
        </w:rPr>
      </w:pPr>
      <w:r w:rsidRPr="00F43D4E">
        <w:rPr>
          <w:lang w:val="fr-FR"/>
        </w:rPr>
        <w:t xml:space="preserve">Veiller au respect de la dignité des travailleurs afin d’éviter </w:t>
      </w:r>
      <w:r>
        <w:rPr>
          <w:lang w:val="fr-FR"/>
        </w:rPr>
        <w:t>toute situation engendrant ou renforçant la stigmatisation</w:t>
      </w:r>
      <w:r w:rsidR="009305C4" w:rsidRPr="00F43D4E">
        <w:rPr>
          <w:lang w:val="fr-FR"/>
        </w:rPr>
        <w:t>.</w:t>
      </w:r>
    </w:p>
    <w:p w14:paraId="5533E8D1" w14:textId="7D499606" w:rsidR="00C62B57" w:rsidRPr="007A1D64" w:rsidRDefault="00F43D4E" w:rsidP="003766C4">
      <w:pPr>
        <w:pStyle w:val="Bullet1"/>
        <w:spacing w:before="120" w:after="240"/>
        <w:ind w:left="714" w:hanging="357"/>
        <w:rPr>
          <w:lang w:val="fr-FR"/>
        </w:rPr>
      </w:pPr>
      <w:r w:rsidRPr="00F43D4E">
        <w:rPr>
          <w:lang w:val="fr-FR"/>
        </w:rPr>
        <w:t>Garantir la sécurité des travailleurs en analysant les risques potentiels et en mettant en place des mesure</w:t>
      </w:r>
      <w:r w:rsidR="003766C4">
        <w:rPr>
          <w:lang w:val="fr-FR"/>
        </w:rPr>
        <w:t>s</w:t>
      </w:r>
      <w:r w:rsidRPr="00F43D4E">
        <w:rPr>
          <w:lang w:val="fr-FR"/>
        </w:rPr>
        <w:t xml:space="preserve"> d’atténuation des risques.</w:t>
      </w:r>
      <w:r>
        <w:rPr>
          <w:lang w:val="fr-FR"/>
        </w:rPr>
        <w:t xml:space="preserve"> </w:t>
      </w:r>
      <w:r w:rsidR="00005846" w:rsidRPr="00A82D87">
        <w:rPr>
          <w:lang w:val="fr-FR"/>
        </w:rPr>
        <w:t xml:space="preserve">Veiller, par exemple, à ce que les machines ne soient utilisées que par des travailleurs expérimentés, </w:t>
      </w:r>
      <w:r w:rsidR="00A82D87" w:rsidRPr="00A82D87">
        <w:rPr>
          <w:lang w:val="fr-FR"/>
        </w:rPr>
        <w:t>mettre</w:t>
      </w:r>
      <w:r w:rsidR="00005846" w:rsidRPr="00A82D87">
        <w:rPr>
          <w:lang w:val="fr-FR"/>
        </w:rPr>
        <w:t xml:space="preserve"> une trousse de premiers secours </w:t>
      </w:r>
      <w:r w:rsidR="00A82D87" w:rsidRPr="00A82D87">
        <w:rPr>
          <w:lang w:val="fr-FR"/>
        </w:rPr>
        <w:t>à dis</w:t>
      </w:r>
      <w:r w:rsidR="003766C4">
        <w:rPr>
          <w:lang w:val="fr-FR"/>
        </w:rPr>
        <w:t xml:space="preserve">position sur le site de travail, </w:t>
      </w:r>
      <w:r w:rsidR="00A82D87" w:rsidRPr="00A82D87">
        <w:rPr>
          <w:lang w:val="fr-FR"/>
        </w:rPr>
        <w:t>déterminer à l’</w:t>
      </w:r>
      <w:r w:rsidR="00A82D87">
        <w:rPr>
          <w:lang w:val="fr-FR"/>
        </w:rPr>
        <w:t>avance comment les éventuelles blessures seront traitées</w:t>
      </w:r>
      <w:r w:rsidR="003766C4">
        <w:rPr>
          <w:lang w:val="fr-FR"/>
        </w:rPr>
        <w:t xml:space="preserve"> et</w:t>
      </w:r>
      <w:r w:rsidR="00A82D87">
        <w:rPr>
          <w:lang w:val="fr-FR"/>
        </w:rPr>
        <w:t xml:space="preserve"> assurer le transport vers un hôpital ou un</w:t>
      </w:r>
      <w:r w:rsidR="007248F1">
        <w:rPr>
          <w:lang w:val="fr-FR"/>
        </w:rPr>
        <w:t>e clinique local(e) en cas d’</w:t>
      </w:r>
      <w:r w:rsidR="00A82D87">
        <w:rPr>
          <w:lang w:val="fr-FR"/>
        </w:rPr>
        <w:t xml:space="preserve">incident grave. </w:t>
      </w:r>
    </w:p>
    <w:p w14:paraId="43778CA4" w14:textId="28595DF4" w:rsidR="000136AA" w:rsidRPr="007A1D64" w:rsidRDefault="007D65C2" w:rsidP="00E72418">
      <w:pPr>
        <w:pStyle w:val="Bullet1"/>
        <w:spacing w:before="120" w:after="240"/>
        <w:ind w:left="714" w:hanging="357"/>
        <w:rPr>
          <w:lang w:val="fr-FR"/>
        </w:rPr>
      </w:pPr>
      <w:r w:rsidRPr="007D65C2">
        <w:rPr>
          <w:lang w:val="fr-FR"/>
        </w:rPr>
        <w:t xml:space="preserve">Envisager d’assurer les travailleurs de manière à ce qu’ils bénéficient d’une couverture pour la durée de leur participation aux activités </w:t>
      </w:r>
      <w:r>
        <w:rPr>
          <w:lang w:val="fr-FR"/>
        </w:rPr>
        <w:t xml:space="preserve">« argent contre travail ». </w:t>
      </w:r>
      <w:r w:rsidR="009E71E2" w:rsidRPr="009E71E2">
        <w:rPr>
          <w:lang w:val="fr-FR"/>
        </w:rPr>
        <w:t>Cette décision doit tenir</w:t>
      </w:r>
      <w:r w:rsidRPr="009E71E2">
        <w:rPr>
          <w:lang w:val="fr-FR"/>
        </w:rPr>
        <w:t xml:space="preserve"> compte </w:t>
      </w:r>
      <w:r w:rsidR="009E71E2" w:rsidRPr="009E71E2">
        <w:rPr>
          <w:lang w:val="fr-FR"/>
        </w:rPr>
        <w:t>des politiques locales et de ce que font les autres organis</w:t>
      </w:r>
      <w:r w:rsidR="00E72418">
        <w:rPr>
          <w:lang w:val="fr-FR"/>
        </w:rPr>
        <w:t>ation</w:t>
      </w:r>
      <w:r w:rsidR="009E71E2" w:rsidRPr="009E71E2">
        <w:rPr>
          <w:lang w:val="fr-FR"/>
        </w:rPr>
        <w:t>s.</w:t>
      </w:r>
      <w:r w:rsidR="000136AA" w:rsidRPr="009E71E2">
        <w:rPr>
          <w:lang w:val="fr-FR"/>
        </w:rPr>
        <w:t xml:space="preserve"> </w:t>
      </w:r>
    </w:p>
    <w:p w14:paraId="5C5B4CF0" w14:textId="0F43F434" w:rsidR="00AB2E01" w:rsidRPr="009E71E2" w:rsidRDefault="009E71E2" w:rsidP="008441E5">
      <w:pPr>
        <w:pStyle w:val="Bullet1"/>
        <w:spacing w:before="120" w:after="240"/>
        <w:ind w:left="714" w:hanging="357"/>
        <w:rPr>
          <w:lang w:val="fr-FR"/>
        </w:rPr>
      </w:pPr>
      <w:r w:rsidRPr="009E71E2">
        <w:rPr>
          <w:lang w:val="fr-FR"/>
        </w:rPr>
        <w:t>Se coordonner avec le département de</w:t>
      </w:r>
      <w:r w:rsidR="0046138F">
        <w:rPr>
          <w:lang w:val="fr-FR"/>
        </w:rPr>
        <w:t xml:space="preserve"> la</w:t>
      </w:r>
      <w:r w:rsidRPr="009E71E2">
        <w:rPr>
          <w:lang w:val="fr-FR"/>
        </w:rPr>
        <w:t xml:space="preserve"> logistique en </w:t>
      </w:r>
      <w:r w:rsidR="008441E5">
        <w:rPr>
          <w:lang w:val="fr-FR"/>
        </w:rPr>
        <w:t>lui indiquant</w:t>
      </w:r>
      <w:r w:rsidRPr="009E71E2">
        <w:rPr>
          <w:lang w:val="fr-FR"/>
        </w:rPr>
        <w:t> :</w:t>
      </w:r>
      <w:r w:rsidR="00F60D77" w:rsidRPr="009E71E2">
        <w:rPr>
          <w:lang w:val="fr-FR"/>
        </w:rPr>
        <w:t xml:space="preserve"> </w:t>
      </w:r>
    </w:p>
    <w:p w14:paraId="35A37977" w14:textId="6352ED53" w:rsidR="0059695E" w:rsidRPr="009E71E2" w:rsidRDefault="008441E5" w:rsidP="008441E5">
      <w:pPr>
        <w:pStyle w:val="Bullet2"/>
        <w:spacing w:after="240"/>
        <w:ind w:left="1077" w:hanging="357"/>
        <w:rPr>
          <w:lang w:val="fr-FR"/>
        </w:rPr>
      </w:pPr>
      <w:r>
        <w:rPr>
          <w:lang w:val="fr-FR"/>
        </w:rPr>
        <w:t>quels</w:t>
      </w:r>
      <w:r w:rsidR="009E71E2" w:rsidRPr="009E71E2">
        <w:rPr>
          <w:lang w:val="fr-FR"/>
        </w:rPr>
        <w:t xml:space="preserve"> projets seront mis en </w:t>
      </w:r>
      <w:r w:rsidR="00322DE3" w:rsidRPr="009E71E2">
        <w:rPr>
          <w:lang w:val="fr-FR"/>
        </w:rPr>
        <w:t>œuvre</w:t>
      </w:r>
      <w:r w:rsidR="009E71E2" w:rsidRPr="009E71E2">
        <w:rPr>
          <w:lang w:val="fr-FR"/>
        </w:rPr>
        <w:t>,</w:t>
      </w:r>
      <w:r>
        <w:rPr>
          <w:lang w:val="fr-FR"/>
        </w:rPr>
        <w:t xml:space="preserve"> où et quand</w:t>
      </w:r>
      <w:r w:rsidR="00322DE3">
        <w:rPr>
          <w:lang w:val="fr-FR"/>
        </w:rPr>
        <w:t> ;</w:t>
      </w:r>
      <w:r w:rsidR="009E71E2" w:rsidRPr="009E71E2">
        <w:rPr>
          <w:lang w:val="fr-FR"/>
        </w:rPr>
        <w:t xml:space="preserve"> </w:t>
      </w:r>
    </w:p>
    <w:p w14:paraId="5B77A1BF" w14:textId="41B13DDE" w:rsidR="00AB2E01" w:rsidRPr="00322DE3" w:rsidRDefault="008441E5" w:rsidP="00322DE3">
      <w:pPr>
        <w:pStyle w:val="Bullet2"/>
        <w:spacing w:after="240"/>
        <w:ind w:left="1077" w:hanging="357"/>
        <w:rPr>
          <w:lang w:val="fr-FR"/>
        </w:rPr>
      </w:pPr>
      <w:r>
        <w:rPr>
          <w:lang w:val="fr-FR"/>
        </w:rPr>
        <w:t>le</w:t>
      </w:r>
      <w:r w:rsidR="00322DE3" w:rsidRPr="00322DE3">
        <w:rPr>
          <w:lang w:val="fr-FR"/>
        </w:rPr>
        <w:t xml:space="preserve"> nombre de participants qui travaillero</w:t>
      </w:r>
      <w:r w:rsidR="00322DE3">
        <w:rPr>
          <w:lang w:val="fr-FR"/>
        </w:rPr>
        <w:t xml:space="preserve">nt dans chacun des lieux, et durant combien de jour ; </w:t>
      </w:r>
    </w:p>
    <w:p w14:paraId="1784FC39" w14:textId="62A5B8E0" w:rsidR="00AB2E01" w:rsidRPr="008330B8" w:rsidRDefault="00BC276C" w:rsidP="008330B8">
      <w:pPr>
        <w:pStyle w:val="Bullet2"/>
        <w:spacing w:after="240"/>
        <w:ind w:left="1077" w:hanging="357"/>
        <w:rPr>
          <w:lang w:val="fr-FR"/>
        </w:rPr>
      </w:pPr>
      <w:r>
        <w:rPr>
          <w:lang w:val="fr-FR"/>
        </w:rPr>
        <w:t>comment les participants se rendront</w:t>
      </w:r>
      <w:r w:rsidR="008330B8" w:rsidRPr="008330B8">
        <w:rPr>
          <w:lang w:val="fr-FR"/>
        </w:rPr>
        <w:t xml:space="preserve"> sur les sites de travail, en particulier lorsque</w:t>
      </w:r>
      <w:r w:rsidR="008330B8">
        <w:rPr>
          <w:lang w:val="fr-FR"/>
        </w:rPr>
        <w:t xml:space="preserve"> des moyens de transport sont nécessaires ;</w:t>
      </w:r>
    </w:p>
    <w:p w14:paraId="63CCD665" w14:textId="324EA456" w:rsidR="00AB2E01" w:rsidRDefault="008441E5" w:rsidP="0046138F">
      <w:pPr>
        <w:pStyle w:val="Bullet2"/>
        <w:spacing w:after="240"/>
        <w:ind w:left="1077" w:hanging="357"/>
        <w:rPr>
          <w:lang w:val="fr-FR"/>
        </w:rPr>
      </w:pPr>
      <w:r>
        <w:rPr>
          <w:lang w:val="fr-FR"/>
        </w:rPr>
        <w:t>quel</w:t>
      </w:r>
      <w:r w:rsidR="00896E30" w:rsidRPr="00896E30">
        <w:rPr>
          <w:lang w:val="fr-FR"/>
        </w:rPr>
        <w:t xml:space="preserve"> matériel </w:t>
      </w:r>
      <w:r w:rsidR="00F60D77" w:rsidRPr="00896E30">
        <w:rPr>
          <w:lang w:val="fr-FR"/>
        </w:rPr>
        <w:t>(</w:t>
      </w:r>
      <w:r w:rsidR="00896E30" w:rsidRPr="00896E30">
        <w:rPr>
          <w:lang w:val="fr-FR"/>
        </w:rPr>
        <w:t xml:space="preserve">notamment </w:t>
      </w:r>
      <w:r w:rsidR="00896E30">
        <w:rPr>
          <w:lang w:val="fr-FR"/>
        </w:rPr>
        <w:t>l</w:t>
      </w:r>
      <w:r w:rsidR="00896E30" w:rsidRPr="00896E30">
        <w:rPr>
          <w:lang w:val="fr-FR"/>
        </w:rPr>
        <w:t xml:space="preserve">es pièces de rechange, les matériaux de construction, les machines, les vêtements et les masques </w:t>
      </w:r>
      <w:r w:rsidR="00896E30">
        <w:rPr>
          <w:lang w:val="fr-FR"/>
        </w:rPr>
        <w:t xml:space="preserve">de protection) </w:t>
      </w:r>
      <w:r w:rsidR="0046138F">
        <w:rPr>
          <w:lang w:val="fr-FR"/>
        </w:rPr>
        <w:t>sera</w:t>
      </w:r>
      <w:r>
        <w:rPr>
          <w:lang w:val="fr-FR"/>
        </w:rPr>
        <w:t xml:space="preserve"> nécessaire</w:t>
      </w:r>
      <w:r w:rsidR="00896E30">
        <w:rPr>
          <w:lang w:val="fr-FR"/>
        </w:rPr>
        <w:t xml:space="preserve"> pour réaliser les travaux, et </w:t>
      </w:r>
      <w:r>
        <w:rPr>
          <w:lang w:val="fr-FR"/>
        </w:rPr>
        <w:t>si</w:t>
      </w:r>
      <w:r w:rsidR="00896E30">
        <w:rPr>
          <w:lang w:val="fr-FR"/>
        </w:rPr>
        <w:t xml:space="preserve"> ce matériel </w:t>
      </w:r>
      <w:r>
        <w:rPr>
          <w:lang w:val="fr-FR"/>
        </w:rPr>
        <w:t xml:space="preserve">est disponible ou non </w:t>
      </w:r>
      <w:r w:rsidR="00896E30">
        <w:rPr>
          <w:lang w:val="fr-FR"/>
        </w:rPr>
        <w:t>sur les marchés locaux et/ou dans la communauté ;</w:t>
      </w:r>
    </w:p>
    <w:p w14:paraId="5DAFE6A4" w14:textId="77777777" w:rsidR="00FF30FC" w:rsidRDefault="00FF30FC" w:rsidP="00FF30FC">
      <w:pPr>
        <w:pStyle w:val="Bullet2"/>
        <w:numPr>
          <w:ilvl w:val="0"/>
          <w:numId w:val="0"/>
        </w:numPr>
        <w:spacing w:after="240"/>
        <w:ind w:left="720" w:hanging="360"/>
        <w:rPr>
          <w:lang w:val="fr-FR"/>
        </w:rPr>
      </w:pPr>
    </w:p>
    <w:p w14:paraId="40300396" w14:textId="77777777" w:rsidR="00FF30FC" w:rsidRPr="00896E30" w:rsidRDefault="00FF30FC" w:rsidP="00FF30FC">
      <w:pPr>
        <w:pStyle w:val="Bullet2"/>
        <w:numPr>
          <w:ilvl w:val="0"/>
          <w:numId w:val="0"/>
        </w:numPr>
        <w:spacing w:after="240"/>
        <w:ind w:left="720" w:hanging="360"/>
        <w:rPr>
          <w:lang w:val="fr-FR"/>
        </w:rPr>
      </w:pPr>
    </w:p>
    <w:p w14:paraId="4449C9AA" w14:textId="0AB25294" w:rsidR="00AB2E01" w:rsidRPr="008441E5" w:rsidRDefault="008441E5" w:rsidP="00585F30">
      <w:pPr>
        <w:pStyle w:val="Bullet2"/>
        <w:spacing w:after="240"/>
        <w:ind w:left="1077" w:hanging="357"/>
        <w:rPr>
          <w:lang w:val="fr-FR"/>
        </w:rPr>
      </w:pPr>
      <w:r w:rsidRPr="008441E5">
        <w:rPr>
          <w:lang w:val="fr-FR"/>
        </w:rPr>
        <w:t>quelles</w:t>
      </w:r>
      <w:r w:rsidR="0048717D" w:rsidRPr="008441E5">
        <w:rPr>
          <w:lang w:val="fr-FR"/>
        </w:rPr>
        <w:t xml:space="preserve"> ins</w:t>
      </w:r>
      <w:r w:rsidRPr="008441E5">
        <w:rPr>
          <w:lang w:val="fr-FR"/>
        </w:rPr>
        <w:t>tallations de stockage existent</w:t>
      </w:r>
      <w:r w:rsidR="0048717D" w:rsidRPr="008441E5">
        <w:rPr>
          <w:lang w:val="fr-FR"/>
        </w:rPr>
        <w:t>,</w:t>
      </w:r>
      <w:r w:rsidRPr="008441E5">
        <w:rPr>
          <w:lang w:val="fr-FR"/>
        </w:rPr>
        <w:t xml:space="preserve"> si les bénéficiaires </w:t>
      </w:r>
      <w:r w:rsidR="00585F30">
        <w:rPr>
          <w:lang w:val="fr-FR"/>
        </w:rPr>
        <w:t>doivent ou non</w:t>
      </w:r>
      <w:r w:rsidRPr="008441E5">
        <w:rPr>
          <w:lang w:val="fr-FR"/>
        </w:rPr>
        <w:t xml:space="preserve"> stocker le matériel et les équipement</w:t>
      </w:r>
      <w:r w:rsidR="00585F30">
        <w:rPr>
          <w:lang w:val="fr-FR"/>
        </w:rPr>
        <w:t>s</w:t>
      </w:r>
      <w:r w:rsidRPr="008441E5">
        <w:rPr>
          <w:lang w:val="fr-FR"/>
        </w:rPr>
        <w:t xml:space="preserve"> eux-mêmes et si </w:t>
      </w:r>
      <w:r>
        <w:rPr>
          <w:lang w:val="fr-FR"/>
        </w:rPr>
        <w:t>le transport et le stockage de ce matériel comporte</w:t>
      </w:r>
      <w:r w:rsidR="00BC276C">
        <w:rPr>
          <w:lang w:val="fr-FR"/>
        </w:rPr>
        <w:t>nt</w:t>
      </w:r>
      <w:r>
        <w:rPr>
          <w:lang w:val="fr-FR"/>
        </w:rPr>
        <w:t xml:space="preserve"> des risques en matière de sécurité.</w:t>
      </w:r>
    </w:p>
    <w:p w14:paraId="3975F792" w14:textId="0596BDF3" w:rsidR="009305C4" w:rsidRPr="00E72418" w:rsidRDefault="00E14D5C" w:rsidP="00E72418">
      <w:pPr>
        <w:widowControl w:val="0"/>
        <w:autoSpaceDE w:val="0"/>
        <w:autoSpaceDN w:val="0"/>
        <w:adjustRightInd w:val="0"/>
        <w:spacing w:before="240"/>
        <w:jc w:val="left"/>
        <w:rPr>
          <w:sz w:val="18"/>
          <w:szCs w:val="18"/>
          <w:lang w:val="en-GB"/>
        </w:rPr>
      </w:pPr>
      <w:r w:rsidRPr="00E72418">
        <w:rPr>
          <w:sz w:val="18"/>
          <w:szCs w:val="18"/>
          <w:lang w:val="en-GB"/>
        </w:rPr>
        <w:t xml:space="preserve">Adaptation de </w:t>
      </w:r>
      <w:r w:rsidR="009305C4" w:rsidRPr="00E72418">
        <w:rPr>
          <w:sz w:val="18"/>
          <w:szCs w:val="18"/>
          <w:lang w:val="en-GB"/>
        </w:rPr>
        <w:t xml:space="preserve">Harvey P, Bailey S., (2011) </w:t>
      </w:r>
      <w:r w:rsidR="00BC276C" w:rsidRPr="00E72418">
        <w:rPr>
          <w:rFonts w:cs="Arial"/>
          <w:i/>
          <w:iCs/>
          <w:sz w:val="18"/>
          <w:szCs w:val="18"/>
          <w:lang w:val="en-GB"/>
        </w:rPr>
        <w:t>Cash Transfer Programming in Emergencies</w:t>
      </w:r>
      <w:r w:rsidR="00BC276C" w:rsidRPr="00E72418">
        <w:rPr>
          <w:sz w:val="18"/>
          <w:szCs w:val="18"/>
          <w:lang w:val="en-GB"/>
        </w:rPr>
        <w:t xml:space="preserve">, </w:t>
      </w:r>
      <w:r w:rsidR="00D159BA" w:rsidRPr="00E72418">
        <w:rPr>
          <w:i/>
          <w:iCs/>
          <w:sz w:val="18"/>
          <w:szCs w:val="18"/>
          <w:lang w:val="en-GB"/>
        </w:rPr>
        <w:t>Good Practice Review</w:t>
      </w:r>
      <w:r w:rsidR="00E72418" w:rsidRPr="00E72418">
        <w:rPr>
          <w:sz w:val="18"/>
          <w:szCs w:val="18"/>
          <w:lang w:val="en-GB"/>
        </w:rPr>
        <w:t xml:space="preserve">, </w:t>
      </w:r>
      <w:r w:rsidR="00D159BA" w:rsidRPr="00E72418">
        <w:rPr>
          <w:sz w:val="18"/>
          <w:szCs w:val="18"/>
          <w:lang w:val="en-GB"/>
        </w:rPr>
        <w:t>Overseas Development Institute</w:t>
      </w:r>
      <w:bookmarkStart w:id="0" w:name="_GoBack"/>
      <w:bookmarkEnd w:id="0"/>
    </w:p>
    <w:sectPr w:rsidR="009305C4" w:rsidRPr="00E72418" w:rsidSect="00946F29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5EE67" w14:textId="77777777" w:rsidR="00735ABE" w:rsidRDefault="00735ABE" w:rsidP="001D7A03">
      <w:r>
        <w:separator/>
      </w:r>
    </w:p>
  </w:endnote>
  <w:endnote w:type="continuationSeparator" w:id="0">
    <w:p w14:paraId="3A0A6CC0" w14:textId="77777777" w:rsidR="00735ABE" w:rsidRDefault="00735ABE" w:rsidP="001D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BE209" w14:textId="77777777" w:rsidR="00946F29" w:rsidRPr="00B45C74" w:rsidRDefault="00946F2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72418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66B38A7" w14:textId="2E8F5833" w:rsidR="00946F29" w:rsidRPr="00AE56B6" w:rsidRDefault="00E14D5C" w:rsidP="00BD344C">
    <w:pPr>
      <w:pStyle w:val="Footer"/>
      <w:rPr>
        <w:lang w:val="fr-FR"/>
      </w:rPr>
    </w:pPr>
    <w:r w:rsidRPr="00E14D5C">
      <w:rPr>
        <w:lang w:val="fr-FR"/>
      </w:rPr>
      <w:t>Modalités</w:t>
    </w:r>
    <w:r w:rsidR="004B6D72" w:rsidRPr="00E14D5C">
      <w:rPr>
        <w:lang w:val="fr-FR"/>
      </w:rPr>
      <w:t xml:space="preserve"> </w:t>
    </w:r>
    <w:r w:rsidRPr="00E14D5C">
      <w:rPr>
        <w:lang w:val="fr-FR"/>
      </w:rPr>
      <w:t>–</w:t>
    </w:r>
    <w:r w:rsidR="004B6D72" w:rsidRPr="00E14D5C">
      <w:rPr>
        <w:lang w:val="fr-FR"/>
      </w:rPr>
      <w:t xml:space="preserve"> </w:t>
    </w:r>
    <w:r w:rsidRPr="00E14D5C">
      <w:rPr>
        <w:lang w:val="fr-FR"/>
      </w:rPr>
      <w:t>Argent contre travail</w:t>
    </w:r>
    <w:r w:rsidR="004B6D72" w:rsidRPr="00E14D5C">
      <w:rPr>
        <w:lang w:val="fr-FR"/>
      </w:rPr>
      <w:t xml:space="preserve"> </w:t>
    </w:r>
    <w:r w:rsidRPr="00E14D5C">
      <w:rPr>
        <w:lang w:val="fr-FR"/>
      </w:rPr>
      <w:t>–</w:t>
    </w:r>
    <w:r w:rsidR="004B6D72" w:rsidRPr="00E14D5C">
      <w:rPr>
        <w:lang w:val="fr-FR"/>
      </w:rPr>
      <w:t xml:space="preserve"> </w:t>
    </w:r>
    <w:r w:rsidRPr="00E14D5C">
      <w:rPr>
        <w:lang w:val="fr-FR"/>
      </w:rPr>
      <w:t>Étape</w:t>
    </w:r>
    <w:r w:rsidR="00946F29" w:rsidRPr="00E14D5C">
      <w:rPr>
        <w:lang w:val="fr-FR"/>
      </w:rPr>
      <w:t xml:space="preserve"> 2. </w:t>
    </w:r>
    <w:r w:rsidR="00BD344C">
      <w:rPr>
        <w:lang w:val="fr-FR"/>
      </w:rPr>
      <w:t>Étap</w:t>
    </w:r>
    <w:r>
      <w:rPr>
        <w:lang w:val="fr-FR"/>
      </w:rPr>
      <w:t>e</w:t>
    </w:r>
    <w:r w:rsidR="00BD344C">
      <w:rPr>
        <w:lang w:val="fr-FR"/>
      </w:rPr>
      <w:t xml:space="preserve"> subsidiaire</w:t>
    </w:r>
    <w:r>
      <w:rPr>
        <w:lang w:val="fr-FR"/>
      </w:rPr>
      <w:t xml:space="preserve"> </w:t>
    </w:r>
    <w:r w:rsidR="00946F29" w:rsidRPr="00E14D5C">
      <w:rPr>
        <w:lang w:val="fr-FR"/>
      </w:rPr>
      <w:t xml:space="preserve">5. </w:t>
    </w:r>
    <w:r w:rsidR="00AE56B6" w:rsidRPr="00AE56B6">
      <w:rPr>
        <w:lang w:val="fr-FR"/>
      </w:rPr>
      <w:t>Liste de contrôle pour la planification des activités «</w:t>
    </w:r>
    <w:r w:rsidR="00AE56B6">
      <w:rPr>
        <w:lang w:val="fr-FR"/>
      </w:rPr>
      <w:t> </w:t>
    </w:r>
    <w:r w:rsidR="00AE56B6" w:rsidRPr="00AE56B6">
      <w:rPr>
        <w:lang w:val="fr-FR"/>
      </w:rPr>
      <w:t>argent contre travail</w:t>
    </w:r>
    <w:r w:rsidR="00AE56B6">
      <w:rPr>
        <w:lang w:val="fr-FR"/>
      </w:rPr>
      <w:t> »</w:t>
    </w:r>
    <w:r w:rsidR="00AE56B6" w:rsidRPr="00AE56B6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F431B" w14:textId="77777777" w:rsidR="00735ABE" w:rsidRDefault="00735ABE" w:rsidP="001D7A03">
      <w:r>
        <w:separator/>
      </w:r>
    </w:p>
  </w:footnote>
  <w:footnote w:type="continuationSeparator" w:id="0">
    <w:p w14:paraId="62BCDE7A" w14:textId="77777777" w:rsidR="00735ABE" w:rsidRDefault="00735ABE" w:rsidP="001D7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E4799" w14:textId="0C5A258A" w:rsidR="00946F29" w:rsidRPr="00BD344C" w:rsidRDefault="00A225FF" w:rsidP="00A225FF">
    <w:pPr>
      <w:pStyle w:val="Header"/>
      <w:rPr>
        <w:sz w:val="14"/>
        <w:szCs w:val="14"/>
        <w:lang w:val="fr-FR"/>
      </w:rPr>
    </w:pPr>
    <w:r w:rsidRPr="00BD344C">
      <w:rPr>
        <w:rStyle w:val="Pantone485"/>
        <w:sz w:val="14"/>
        <w:szCs w:val="14"/>
        <w:lang w:val="fr-FR"/>
      </w:rPr>
      <w:t>Mouvement international de la Croix-Rouge et du Croissant-Rouge</w:t>
    </w:r>
    <w:r w:rsidR="00946F29" w:rsidRPr="00BD344C">
      <w:rPr>
        <w:rFonts w:cs="Caecilia-Light"/>
        <w:color w:val="FF0000"/>
        <w:sz w:val="14"/>
        <w:szCs w:val="14"/>
        <w:lang w:val="fr-FR"/>
      </w:rPr>
      <w:t xml:space="preserve"> </w:t>
    </w:r>
    <w:r w:rsidR="00946F29" w:rsidRPr="00BD344C">
      <w:rPr>
        <w:rStyle w:val="PageNumber"/>
        <w:bCs/>
        <w:sz w:val="14"/>
        <w:szCs w:val="14"/>
        <w:lang w:val="fr-FR"/>
      </w:rPr>
      <w:t>I</w:t>
    </w:r>
    <w:r w:rsidR="00946F29" w:rsidRPr="00BD344C">
      <w:rPr>
        <w:rStyle w:val="PageNumber"/>
        <w:color w:val="FF0000"/>
        <w:sz w:val="14"/>
        <w:szCs w:val="14"/>
        <w:lang w:val="fr-FR"/>
      </w:rPr>
      <w:t xml:space="preserve"> </w:t>
    </w:r>
    <w:r w:rsidRPr="00BD344C">
      <w:rPr>
        <w:b/>
        <w:sz w:val="14"/>
        <w:szCs w:val="14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56344"/>
    <w:multiLevelType w:val="hybridMultilevel"/>
    <w:tmpl w:val="E3EA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53679"/>
    <w:multiLevelType w:val="hybridMultilevel"/>
    <w:tmpl w:val="FDA2ECAA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A2C17"/>
    <w:multiLevelType w:val="hybridMultilevel"/>
    <w:tmpl w:val="182837EE"/>
    <w:lvl w:ilvl="0" w:tplc="5A4C774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A95677"/>
    <w:multiLevelType w:val="hybridMultilevel"/>
    <w:tmpl w:val="92E6219C"/>
    <w:lvl w:ilvl="0" w:tplc="43382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EB407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666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429D4"/>
    <w:multiLevelType w:val="hybridMultilevel"/>
    <w:tmpl w:val="A8F442EA"/>
    <w:lvl w:ilvl="0" w:tplc="43382D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5C4"/>
    <w:rsid w:val="00005846"/>
    <w:rsid w:val="000136AA"/>
    <w:rsid w:val="00094B3A"/>
    <w:rsid w:val="00171F2F"/>
    <w:rsid w:val="001879CE"/>
    <w:rsid w:val="001D7A03"/>
    <w:rsid w:val="002504D7"/>
    <w:rsid w:val="00275EEC"/>
    <w:rsid w:val="002C7231"/>
    <w:rsid w:val="002E632F"/>
    <w:rsid w:val="002F6B34"/>
    <w:rsid w:val="00322DE3"/>
    <w:rsid w:val="00344645"/>
    <w:rsid w:val="00351B2F"/>
    <w:rsid w:val="003766C4"/>
    <w:rsid w:val="00386B8E"/>
    <w:rsid w:val="003946DD"/>
    <w:rsid w:val="003B5560"/>
    <w:rsid w:val="0046138F"/>
    <w:rsid w:val="0048717D"/>
    <w:rsid w:val="004A7743"/>
    <w:rsid w:val="004B6D72"/>
    <w:rsid w:val="00585F30"/>
    <w:rsid w:val="0059695E"/>
    <w:rsid w:val="00610DB5"/>
    <w:rsid w:val="0066233D"/>
    <w:rsid w:val="006855D4"/>
    <w:rsid w:val="006874A7"/>
    <w:rsid w:val="007248F1"/>
    <w:rsid w:val="00735ABE"/>
    <w:rsid w:val="007A1D64"/>
    <w:rsid w:val="007B547D"/>
    <w:rsid w:val="007B5A01"/>
    <w:rsid w:val="007B5A59"/>
    <w:rsid w:val="007D65C2"/>
    <w:rsid w:val="00813765"/>
    <w:rsid w:val="008330B8"/>
    <w:rsid w:val="008441E5"/>
    <w:rsid w:val="00886AB1"/>
    <w:rsid w:val="00896E30"/>
    <w:rsid w:val="008A448C"/>
    <w:rsid w:val="00903E2A"/>
    <w:rsid w:val="009305C4"/>
    <w:rsid w:val="00946F29"/>
    <w:rsid w:val="00993C1F"/>
    <w:rsid w:val="009E71E2"/>
    <w:rsid w:val="00A225FF"/>
    <w:rsid w:val="00A82D87"/>
    <w:rsid w:val="00A91501"/>
    <w:rsid w:val="00AB2E01"/>
    <w:rsid w:val="00AE56B6"/>
    <w:rsid w:val="00BA17EE"/>
    <w:rsid w:val="00BC276C"/>
    <w:rsid w:val="00BD344C"/>
    <w:rsid w:val="00C443A0"/>
    <w:rsid w:val="00C62B57"/>
    <w:rsid w:val="00C822A6"/>
    <w:rsid w:val="00C86E10"/>
    <w:rsid w:val="00D159BA"/>
    <w:rsid w:val="00D24E9F"/>
    <w:rsid w:val="00D44341"/>
    <w:rsid w:val="00DB4F88"/>
    <w:rsid w:val="00E12739"/>
    <w:rsid w:val="00E14D5C"/>
    <w:rsid w:val="00E71E05"/>
    <w:rsid w:val="00E72418"/>
    <w:rsid w:val="00EE5B30"/>
    <w:rsid w:val="00F31CB7"/>
    <w:rsid w:val="00F43D4E"/>
    <w:rsid w:val="00F60D77"/>
    <w:rsid w:val="00F833D2"/>
    <w:rsid w:val="00FF30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7C8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7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B6D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D7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D7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B6D7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4B6D7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B6D7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B6D7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B6D72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6D7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B6D7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D72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6D72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4B6D7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D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6D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F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F29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B6D7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B6D7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7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B6D72"/>
    <w:rPr>
      <w:b/>
    </w:rPr>
  </w:style>
  <w:style w:type="character" w:styleId="Hyperlink">
    <w:name w:val="Hyperlink"/>
    <w:basedOn w:val="DefaultParagraphFont"/>
    <w:uiPriority w:val="99"/>
    <w:unhideWhenUsed/>
    <w:rsid w:val="004B6D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D7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B6D7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6D7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B6D72"/>
    <w:rPr>
      <w:vertAlign w:val="superscript"/>
    </w:rPr>
  </w:style>
  <w:style w:type="paragraph" w:styleId="Revision">
    <w:name w:val="Revision"/>
    <w:hidden/>
    <w:uiPriority w:val="99"/>
    <w:semiHidden/>
    <w:rsid w:val="004B6D7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B6D7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B6D7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B6D72"/>
    <w:pPr>
      <w:numPr>
        <w:numId w:val="8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B6D7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B6D7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B6D7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B6D7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B6D7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B6D7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B6D72"/>
    <w:pPr>
      <w:numPr>
        <w:numId w:val="9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B6D72"/>
    <w:pPr>
      <w:numPr>
        <w:ilvl w:val="1"/>
        <w:numId w:val="6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B6D72"/>
    <w:pPr>
      <w:numPr>
        <w:numId w:val="7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B6D72"/>
    <w:pPr>
      <w:numPr>
        <w:numId w:val="10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B6D7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B6D7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B6D72"/>
    <w:pPr>
      <w:keepNext/>
      <w:keepLines/>
      <w:framePr w:hSpace="141" w:wrap="around" w:vAnchor="text" w:hAnchor="margin" w:y="402"/>
      <w:numPr>
        <w:numId w:val="11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C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226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48</cp:revision>
  <cp:lastPrinted>2015-10-16T18:39:00Z</cp:lastPrinted>
  <dcterms:created xsi:type="dcterms:W3CDTF">2014-11-28T15:40:00Z</dcterms:created>
  <dcterms:modified xsi:type="dcterms:W3CDTF">2016-04-29T14:11:00Z</dcterms:modified>
</cp:coreProperties>
</file>