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C8" w:rsidRPr="00837E2B" w:rsidRDefault="00DD7937" w:rsidP="00425487">
      <w:pPr>
        <w:pStyle w:val="H1"/>
        <w:rPr>
          <w:lang w:val="es-ES_tradnl"/>
        </w:rPr>
      </w:pPr>
      <w:r w:rsidRPr="00837E2B">
        <w:rPr>
          <w:lang w:val="es-ES_tradnl"/>
        </w:rPr>
        <w:t xml:space="preserve">Elementos clave del </w:t>
      </w:r>
      <w:r w:rsidR="00864D5E" w:rsidRPr="00837E2B">
        <w:rPr>
          <w:lang w:val="es-ES_tradnl"/>
        </w:rPr>
        <w:t>m</w:t>
      </w:r>
      <w:r w:rsidR="00CC3304" w:rsidRPr="00837E2B">
        <w:rPr>
          <w:lang w:val="es-ES_tradnl"/>
        </w:rPr>
        <w:t xml:space="preserve">ecanismo </w:t>
      </w:r>
      <w:r w:rsidR="00864D5E" w:rsidRPr="00837E2B">
        <w:rPr>
          <w:lang w:val="es-ES_tradnl"/>
        </w:rPr>
        <w:t xml:space="preserve">de </w:t>
      </w:r>
      <w:r w:rsidR="00CC3304" w:rsidRPr="00837E2B">
        <w:rPr>
          <w:lang w:val="es-ES_tradnl"/>
        </w:rPr>
        <w:t xml:space="preserve">retroalimentación </w:t>
      </w:r>
      <w:r w:rsidR="00082C6C" w:rsidRPr="00837E2B">
        <w:rPr>
          <w:lang w:val="es-ES_tradnl"/>
        </w:rPr>
        <w:t>y respuesta a quejas</w:t>
      </w:r>
    </w:p>
    <w:p w:rsidR="00F360B8" w:rsidRPr="00837E2B" w:rsidRDefault="00CC3304" w:rsidP="00425487">
      <w:pPr>
        <w:rPr>
          <w:color w:val="4F81BD" w:themeColor="accent1"/>
          <w:lang w:val="es-ES_tradnl"/>
        </w:rPr>
      </w:pPr>
      <w:r w:rsidRPr="00837E2B">
        <w:rPr>
          <w:lang w:val="es-ES_tradnl"/>
        </w:rPr>
        <w:t xml:space="preserve">Un mecanismo formal de retroalimentación </w:t>
      </w:r>
      <w:r w:rsidR="00864D5E" w:rsidRPr="00837E2B">
        <w:rPr>
          <w:lang w:val="es-ES_tradnl"/>
        </w:rPr>
        <w:t xml:space="preserve">y respuesta a quejas </w:t>
      </w:r>
      <w:r w:rsidR="00E118E1" w:rsidRPr="00837E2B">
        <w:rPr>
          <w:lang w:val="es-ES_tradnl"/>
        </w:rPr>
        <w:t xml:space="preserve">(MRRQ) </w:t>
      </w:r>
      <w:r w:rsidR="00864D5E" w:rsidRPr="00837E2B">
        <w:rPr>
          <w:lang w:val="es-ES_tradnl"/>
        </w:rPr>
        <w:t>ofrece canales seguros, accesibles y eficaces a los individuos y las comunidades para elevar quejas, hacer preguntas y dar opiniones</w:t>
      </w:r>
      <w:r w:rsidR="00E118E1" w:rsidRPr="00837E2B">
        <w:rPr>
          <w:lang w:val="es-ES_tradnl"/>
        </w:rPr>
        <w:t>,</w:t>
      </w:r>
      <w:r w:rsidR="00864D5E" w:rsidRPr="00837E2B">
        <w:rPr>
          <w:lang w:val="es-ES_tradnl"/>
        </w:rPr>
        <w:t xml:space="preserve"> y a las organizaciones involucradas para responder. Los </w:t>
      </w:r>
      <w:r w:rsidR="00C12028" w:rsidRPr="00837E2B">
        <w:rPr>
          <w:lang w:val="es-ES_tradnl"/>
        </w:rPr>
        <w:t xml:space="preserve">MRRQ </w:t>
      </w:r>
      <w:r w:rsidR="00864D5E" w:rsidRPr="00837E2B">
        <w:rPr>
          <w:lang w:val="es-ES_tradnl"/>
        </w:rPr>
        <w:t xml:space="preserve">son esenciales para la participación comunitaria, el monitoreo y la evaluación, y el aprendizaje. Esta herramienta repasa los elementos clave a tener en cuenta antes y durante el diseño y la puesta en marcha de un </w:t>
      </w:r>
      <w:r w:rsidR="00C12028" w:rsidRPr="00837E2B">
        <w:rPr>
          <w:lang w:val="es-ES_tradnl"/>
        </w:rPr>
        <w:t>MRRQ</w:t>
      </w:r>
      <w:r w:rsidR="00864D5E" w:rsidRPr="00837E2B">
        <w:rPr>
          <w:lang w:val="es-ES_tradnl"/>
        </w:rPr>
        <w:t xml:space="preserve">, y presenta las </w:t>
      </w:r>
      <w:r w:rsidR="00E118E1" w:rsidRPr="00837E2B">
        <w:rPr>
          <w:lang w:val="es-ES_tradnl"/>
        </w:rPr>
        <w:t xml:space="preserve">herramientas </w:t>
      </w:r>
      <w:r w:rsidR="00864D5E" w:rsidRPr="00837E2B">
        <w:rPr>
          <w:lang w:val="es-ES_tradnl"/>
        </w:rPr>
        <w:t xml:space="preserve">disponibles en la caja de herramientas. </w:t>
      </w:r>
      <w:r w:rsidRPr="00837E2B">
        <w:rPr>
          <w:lang w:val="es-ES_tradnl"/>
        </w:rPr>
        <w:t xml:space="preserve"> </w:t>
      </w:r>
      <w:r w:rsidR="00E118E1" w:rsidRPr="00837E2B">
        <w:rPr>
          <w:color w:val="4F81BD" w:themeColor="accent1"/>
          <w:lang w:val="es-ES_tradnl"/>
        </w:rPr>
        <w:t xml:space="preserve"> </w:t>
      </w:r>
    </w:p>
    <w:p w:rsidR="00901EC8" w:rsidRPr="00837E2B" w:rsidRDefault="00E118E1" w:rsidP="00425487">
      <w:pPr>
        <w:pStyle w:val="Heading3"/>
        <w:rPr>
          <w:lang w:val="es-ES_tradnl"/>
        </w:rPr>
      </w:pPr>
      <w:r w:rsidRPr="00837E2B">
        <w:rPr>
          <w:lang w:val="es-ES_tradnl"/>
        </w:rPr>
        <w:t xml:space="preserve">Antes de diseñar un </w:t>
      </w:r>
      <w:r w:rsidR="00C12028" w:rsidRPr="00837E2B">
        <w:rPr>
          <w:lang w:val="es-ES_tradnl"/>
        </w:rPr>
        <w:t xml:space="preserve">MRRQ </w:t>
      </w:r>
      <w:r w:rsidRPr="00837E2B">
        <w:rPr>
          <w:lang w:val="es-ES_tradnl"/>
        </w:rPr>
        <w:t xml:space="preserve">hay que asegurarse de que: </w:t>
      </w:r>
    </w:p>
    <w:p w:rsidR="00F360B8" w:rsidRPr="00837E2B" w:rsidRDefault="00E118E1" w:rsidP="00425487">
      <w:pPr>
        <w:pStyle w:val="Bullet2"/>
        <w:spacing w:before="40" w:after="40"/>
        <w:ind w:left="714" w:hanging="357"/>
        <w:rPr>
          <w:lang w:val="es-ES_tradnl"/>
        </w:rPr>
      </w:pPr>
      <w:r w:rsidRPr="00837E2B">
        <w:rPr>
          <w:lang w:val="es-ES_tradnl"/>
        </w:rPr>
        <w:t xml:space="preserve">El equipo directivo y el personal en el terreno apoyan la iniciativa de un </w:t>
      </w:r>
      <w:r w:rsidR="00C12028" w:rsidRPr="00837E2B">
        <w:rPr>
          <w:lang w:val="es-ES_tradnl"/>
        </w:rPr>
        <w:t xml:space="preserve">MRRQ </w:t>
      </w:r>
      <w:r w:rsidR="005C2818" w:rsidRPr="00837E2B">
        <w:rPr>
          <w:color w:val="4F81BD" w:themeColor="accent1"/>
          <w:lang w:val="es-ES_tradnl"/>
        </w:rPr>
        <w:t xml:space="preserve"> </w:t>
      </w:r>
    </w:p>
    <w:p w:rsidR="00F360B8" w:rsidRPr="00837E2B" w:rsidRDefault="00E118E1" w:rsidP="00425487">
      <w:pPr>
        <w:pStyle w:val="Bullet2"/>
        <w:spacing w:before="40" w:after="40"/>
        <w:ind w:left="714" w:hanging="357"/>
        <w:rPr>
          <w:color w:val="4F81BD" w:themeColor="accent1"/>
          <w:lang w:val="es-ES_tradnl"/>
        </w:rPr>
      </w:pPr>
      <w:r w:rsidRPr="00837E2B">
        <w:rPr>
          <w:lang w:val="es-ES_tradnl"/>
        </w:rPr>
        <w:t xml:space="preserve">Hay personal asignado al </w:t>
      </w:r>
      <w:r w:rsidR="00C12028" w:rsidRPr="00837E2B">
        <w:rPr>
          <w:lang w:val="es-ES_tradnl"/>
        </w:rPr>
        <w:t xml:space="preserve">MRRQ </w:t>
      </w:r>
      <w:r w:rsidR="00C12028" w:rsidRPr="00837E2B">
        <w:rPr>
          <w:color w:val="4F81BD" w:themeColor="accent1"/>
          <w:lang w:val="es-ES_tradnl"/>
        </w:rPr>
        <w:t xml:space="preserve"> </w:t>
      </w:r>
    </w:p>
    <w:p w:rsidR="00F360B8" w:rsidRPr="00837E2B" w:rsidRDefault="00C12028" w:rsidP="00425487">
      <w:pPr>
        <w:pStyle w:val="Bullet2"/>
        <w:spacing w:before="40" w:after="40"/>
        <w:ind w:left="714" w:hanging="357"/>
        <w:rPr>
          <w:lang w:val="es-ES_tradnl"/>
        </w:rPr>
      </w:pPr>
      <w:r w:rsidRPr="00837E2B">
        <w:rPr>
          <w:lang w:val="es-ES_tradnl"/>
        </w:rPr>
        <w:t xml:space="preserve">El personal asignado al MRRQ tiene experiencia y/o recibe capacitación </w:t>
      </w:r>
      <w:r w:rsidRPr="00837E2B">
        <w:rPr>
          <w:color w:val="4F81BD" w:themeColor="accent1"/>
          <w:lang w:val="es-ES_tradnl"/>
        </w:rPr>
        <w:t xml:space="preserve">  </w:t>
      </w:r>
    </w:p>
    <w:p w:rsidR="00F360B8" w:rsidRPr="00837E2B" w:rsidRDefault="00C12028" w:rsidP="00425487">
      <w:pPr>
        <w:pStyle w:val="Bullet2"/>
        <w:spacing w:before="40" w:after="40"/>
        <w:ind w:left="714" w:hanging="357"/>
        <w:rPr>
          <w:lang w:val="es-ES_tradnl"/>
        </w:rPr>
      </w:pPr>
      <w:r w:rsidRPr="00837E2B">
        <w:rPr>
          <w:lang w:val="es-ES_tradnl"/>
        </w:rPr>
        <w:t xml:space="preserve">Hay recursos financieros disponibles </w:t>
      </w:r>
      <w:r w:rsidRPr="00837E2B">
        <w:rPr>
          <w:color w:val="4F81BD" w:themeColor="accent1"/>
          <w:lang w:val="es-ES_tradnl"/>
        </w:rPr>
        <w:t xml:space="preserve"> </w:t>
      </w:r>
    </w:p>
    <w:p w:rsidR="00901EC8" w:rsidRPr="00837E2B" w:rsidRDefault="00C12028" w:rsidP="00C12028">
      <w:pPr>
        <w:pStyle w:val="Bullet2"/>
        <w:rPr>
          <w:color w:val="4F81BD" w:themeColor="accent1"/>
          <w:lang w:val="es-ES_tradnl"/>
        </w:rPr>
      </w:pPr>
      <w:r w:rsidRPr="00837E2B">
        <w:rPr>
          <w:lang w:val="es-ES_tradnl"/>
        </w:rPr>
        <w:t xml:space="preserve">Se consulta a la comunidad sobre los canales de quejas tradicionales y preferidos por ésta </w:t>
      </w:r>
      <w:r w:rsidR="005C2818" w:rsidRPr="00837E2B">
        <w:rPr>
          <w:color w:val="4F81BD" w:themeColor="accent1"/>
          <w:lang w:val="es-ES_tradnl"/>
        </w:rPr>
        <w:t xml:space="preserve"> </w:t>
      </w:r>
    </w:p>
    <w:p w:rsidR="00901EC8" w:rsidRPr="00837E2B" w:rsidRDefault="00C12028" w:rsidP="00425487">
      <w:pPr>
        <w:pStyle w:val="Heading3"/>
        <w:rPr>
          <w:lang w:val="es-ES_tradnl"/>
        </w:rPr>
      </w:pPr>
      <w:r w:rsidRPr="00837E2B">
        <w:rPr>
          <w:lang w:val="es-ES_tradnl"/>
        </w:rPr>
        <w:t xml:space="preserve">Durante el diseño del MRRQ hay que asegurarse de que: </w:t>
      </w:r>
      <w:r w:rsidRPr="00837E2B">
        <w:rPr>
          <w:color w:val="4F81BD" w:themeColor="accent1"/>
          <w:lang w:val="es-ES_tradnl"/>
        </w:rPr>
        <w:t xml:space="preserve">  </w:t>
      </w:r>
    </w:p>
    <w:p w:rsidR="00901EC8" w:rsidRPr="00837E2B" w:rsidRDefault="00C12028" w:rsidP="00C12028">
      <w:pPr>
        <w:pStyle w:val="Bullet2"/>
        <w:rPr>
          <w:color w:val="4F81BD" w:themeColor="accent1"/>
          <w:lang w:val="es-ES_tradnl"/>
        </w:rPr>
      </w:pPr>
      <w:r w:rsidRPr="00837E2B">
        <w:rPr>
          <w:lang w:val="es-ES_tradnl"/>
        </w:rPr>
        <w:t xml:space="preserve">El personal y comunidad participan en el desarrollo de las directrices del MRRQ </w:t>
      </w:r>
      <w:r w:rsidRPr="00837E2B">
        <w:rPr>
          <w:color w:val="4F81BD" w:themeColor="accent1"/>
          <w:lang w:val="es-ES_tradnl"/>
        </w:rPr>
        <w:t xml:space="preserve"> </w:t>
      </w:r>
    </w:p>
    <w:p w:rsidR="00901EC8" w:rsidRPr="00837E2B" w:rsidRDefault="00C12028" w:rsidP="00C12028">
      <w:pPr>
        <w:pStyle w:val="Bullet2"/>
        <w:rPr>
          <w:color w:val="4F81BD" w:themeColor="accent1"/>
          <w:lang w:val="es-ES_tradnl"/>
        </w:rPr>
      </w:pPr>
      <w:r w:rsidRPr="00837E2B">
        <w:rPr>
          <w:lang w:val="es-ES_tradnl"/>
        </w:rPr>
        <w:t xml:space="preserve">Se incluyen principios de confidencialidad y de no represalias </w:t>
      </w:r>
      <w:r w:rsidR="005C2818" w:rsidRPr="00837E2B">
        <w:rPr>
          <w:color w:val="4F81BD" w:themeColor="accent1"/>
          <w:lang w:val="es-ES_tradnl"/>
        </w:rPr>
        <w:t xml:space="preserve"> </w:t>
      </w:r>
    </w:p>
    <w:p w:rsidR="00901EC8" w:rsidRPr="00837E2B" w:rsidRDefault="00C12028" w:rsidP="00C12028">
      <w:pPr>
        <w:pStyle w:val="Bullet2"/>
        <w:rPr>
          <w:color w:val="4F81BD" w:themeColor="accent1"/>
          <w:lang w:val="es-ES_tradnl"/>
        </w:rPr>
      </w:pPr>
      <w:r w:rsidRPr="00837E2B">
        <w:rPr>
          <w:lang w:val="es-ES_tradnl"/>
        </w:rPr>
        <w:t xml:space="preserve">Los roles y responsabilidades son claros para todos los implicados </w:t>
      </w:r>
      <w:r w:rsidR="0042679A" w:rsidRPr="00837E2B">
        <w:rPr>
          <w:color w:val="4F81BD" w:themeColor="accent1"/>
          <w:lang w:val="es-ES_tradnl"/>
        </w:rPr>
        <w:t xml:space="preserve"> </w:t>
      </w:r>
    </w:p>
    <w:p w:rsidR="00901EC8" w:rsidRPr="00837E2B" w:rsidRDefault="0042679A" w:rsidP="0042679A">
      <w:pPr>
        <w:pStyle w:val="Bullet2"/>
        <w:rPr>
          <w:lang w:val="es-ES_tradnl"/>
        </w:rPr>
      </w:pPr>
      <w:r w:rsidRPr="00837E2B">
        <w:rPr>
          <w:lang w:val="es-ES_tradnl"/>
        </w:rPr>
        <w:t xml:space="preserve">El proceso de quejas es accesible, fácil y seguro: </w:t>
      </w:r>
      <w:r w:rsidRPr="00837E2B">
        <w:rPr>
          <w:color w:val="4F81BD" w:themeColor="accent1"/>
          <w:lang w:val="es-ES_tradnl"/>
        </w:rPr>
        <w:t xml:space="preserve"> </w:t>
      </w:r>
    </w:p>
    <w:p w:rsidR="00901EC8" w:rsidRPr="00837E2B" w:rsidRDefault="0042679A" w:rsidP="0042679A">
      <w:pPr>
        <w:pStyle w:val="Bullet2"/>
        <w:numPr>
          <w:ilvl w:val="0"/>
          <w:numId w:val="27"/>
        </w:numPr>
        <w:contextualSpacing/>
        <w:rPr>
          <w:color w:val="4F81BD" w:themeColor="accent1"/>
          <w:lang w:val="es-ES_tradnl"/>
        </w:rPr>
      </w:pPr>
      <w:r w:rsidRPr="00837E2B">
        <w:rPr>
          <w:lang w:val="es-ES_tradnl"/>
        </w:rPr>
        <w:t xml:space="preserve">los niños y sus cuidadores en lugares remotos tienen capacidad de quejarse  </w:t>
      </w:r>
      <w:r w:rsidR="005C2818" w:rsidRPr="00837E2B">
        <w:rPr>
          <w:color w:val="4F81BD" w:themeColor="accent1"/>
          <w:lang w:val="es-ES_tradnl"/>
        </w:rPr>
        <w:t xml:space="preserve"> </w:t>
      </w:r>
    </w:p>
    <w:p w:rsidR="00901EC8" w:rsidRPr="00837E2B" w:rsidRDefault="0042679A" w:rsidP="0042679A">
      <w:pPr>
        <w:pStyle w:val="Bullet2"/>
        <w:numPr>
          <w:ilvl w:val="0"/>
          <w:numId w:val="27"/>
        </w:numPr>
        <w:contextualSpacing/>
        <w:rPr>
          <w:color w:val="4F81BD" w:themeColor="accent1"/>
          <w:lang w:val="es-ES_tradnl"/>
        </w:rPr>
      </w:pPr>
      <w:r w:rsidRPr="00837E2B">
        <w:rPr>
          <w:lang w:val="es-ES_tradnl"/>
        </w:rPr>
        <w:t xml:space="preserve">las quejas pueden recibirse tanto por escrito como verbalmente </w:t>
      </w:r>
      <w:r w:rsidRPr="00837E2B">
        <w:rPr>
          <w:color w:val="4F81BD" w:themeColor="accent1"/>
          <w:lang w:val="es-ES_tradnl"/>
        </w:rPr>
        <w:t xml:space="preserve"> </w:t>
      </w:r>
    </w:p>
    <w:p w:rsidR="00901EC8" w:rsidRPr="00837E2B" w:rsidRDefault="0042679A" w:rsidP="0042679A">
      <w:pPr>
        <w:pStyle w:val="Bullet2"/>
        <w:numPr>
          <w:ilvl w:val="0"/>
          <w:numId w:val="27"/>
        </w:numPr>
        <w:contextualSpacing/>
        <w:rPr>
          <w:color w:val="4F81BD" w:themeColor="accent1"/>
          <w:lang w:val="es-ES_tradnl"/>
        </w:rPr>
      </w:pPr>
      <w:r w:rsidRPr="00837E2B">
        <w:rPr>
          <w:lang w:val="es-ES_tradnl"/>
        </w:rPr>
        <w:t xml:space="preserve">una queja puede hacerse en nombre de otra persona (a causa del analfabetismo, temor por la seguridad personal, incapacidad para viajar, etc.) </w:t>
      </w:r>
      <w:r w:rsidRPr="00837E2B">
        <w:rPr>
          <w:color w:val="4F81BD" w:themeColor="accent1"/>
          <w:lang w:val="es-ES_tradnl"/>
        </w:rPr>
        <w:t xml:space="preserve"> </w:t>
      </w:r>
    </w:p>
    <w:p w:rsidR="00901EC8" w:rsidRPr="00837E2B" w:rsidRDefault="0042679A" w:rsidP="0042679A">
      <w:pPr>
        <w:pStyle w:val="Bullet2"/>
        <w:rPr>
          <w:color w:val="4F81BD" w:themeColor="accent1"/>
          <w:lang w:val="es-ES_tradnl"/>
        </w:rPr>
      </w:pPr>
      <w:r w:rsidRPr="00837E2B">
        <w:rPr>
          <w:lang w:val="es-ES_tradnl"/>
        </w:rPr>
        <w:t xml:space="preserve">Los casos fuera del mandato de la organización (por ejemplo, acusaciones de abuso) pueden ser </w:t>
      </w:r>
      <w:r w:rsidR="0033316E" w:rsidRPr="00837E2B">
        <w:rPr>
          <w:lang w:val="es-ES_tradnl"/>
        </w:rPr>
        <w:t xml:space="preserve">atendidos </w:t>
      </w:r>
      <w:r w:rsidRPr="00837E2B">
        <w:rPr>
          <w:lang w:val="es-ES_tradnl"/>
        </w:rPr>
        <w:t xml:space="preserve">y/o derivados </w:t>
      </w:r>
      <w:r w:rsidR="005C2818" w:rsidRPr="00837E2B">
        <w:rPr>
          <w:color w:val="4F81BD" w:themeColor="accent1"/>
          <w:lang w:val="es-ES_tradnl"/>
        </w:rPr>
        <w:t xml:space="preserve"> </w:t>
      </w:r>
    </w:p>
    <w:p w:rsidR="00901EC8" w:rsidRPr="00837E2B" w:rsidRDefault="0042679A" w:rsidP="0042679A">
      <w:pPr>
        <w:pStyle w:val="Bullet2"/>
        <w:rPr>
          <w:color w:val="4F81BD" w:themeColor="accent1"/>
          <w:lang w:val="es-ES_tradnl"/>
        </w:rPr>
      </w:pPr>
      <w:r w:rsidRPr="00837E2B">
        <w:rPr>
          <w:lang w:val="es-ES_tradnl"/>
        </w:rPr>
        <w:t>El/la reclamante puede apelar si no está satisfecho</w:t>
      </w:r>
      <w:r w:rsidR="00C746DF" w:rsidRPr="00837E2B">
        <w:rPr>
          <w:lang w:val="es-ES_tradnl"/>
        </w:rPr>
        <w:t>/a</w:t>
      </w:r>
      <w:r w:rsidRPr="00837E2B">
        <w:rPr>
          <w:lang w:val="es-ES_tradnl"/>
        </w:rPr>
        <w:t xml:space="preserve"> con el resultado </w:t>
      </w:r>
      <w:r w:rsidR="00C746DF" w:rsidRPr="00837E2B">
        <w:rPr>
          <w:color w:val="4F81BD" w:themeColor="accent1"/>
          <w:lang w:val="es-ES_tradnl"/>
        </w:rPr>
        <w:t xml:space="preserve"> </w:t>
      </w:r>
    </w:p>
    <w:p w:rsidR="00715519" w:rsidRPr="00837E2B" w:rsidRDefault="00C746DF" w:rsidP="00425487">
      <w:pPr>
        <w:pStyle w:val="Heading3"/>
        <w:rPr>
          <w:lang w:val="es-ES_tradnl"/>
        </w:rPr>
      </w:pPr>
      <w:r w:rsidRPr="00837E2B">
        <w:rPr>
          <w:lang w:val="es-ES_tradnl"/>
        </w:rPr>
        <w:t xml:space="preserve">Antes de poner en marcha un MRRQ hay que asegurarse de que:   </w:t>
      </w:r>
    </w:p>
    <w:p w:rsidR="00715519" w:rsidRPr="00837E2B" w:rsidRDefault="00C746DF" w:rsidP="00C746DF">
      <w:pPr>
        <w:pStyle w:val="Bullet2"/>
        <w:rPr>
          <w:lang w:val="es-ES_tradnl"/>
        </w:rPr>
      </w:pPr>
      <w:r w:rsidRPr="00837E2B">
        <w:rPr>
          <w:lang w:val="es-ES_tradnl"/>
        </w:rPr>
        <w:t xml:space="preserve">Todos los miembros del personal (no sólo los que están directamente involucrados) están informados y capacitados en el MRRQ  </w:t>
      </w:r>
    </w:p>
    <w:p w:rsidR="00901EC8" w:rsidRPr="00837E2B" w:rsidRDefault="00C746DF" w:rsidP="00C746DF">
      <w:pPr>
        <w:pStyle w:val="Bullet2"/>
        <w:rPr>
          <w:lang w:val="es-ES_tradnl"/>
        </w:rPr>
      </w:pPr>
      <w:r w:rsidRPr="00837E2B">
        <w:rPr>
          <w:lang w:val="es-ES_tradnl"/>
        </w:rPr>
        <w:t xml:space="preserve">La comunidad está informada y sabe de lo que puede quejarse y cómo hacerlo </w:t>
      </w:r>
      <w:r w:rsidRPr="00837E2B">
        <w:rPr>
          <w:color w:val="4F81BD" w:themeColor="accent1"/>
          <w:lang w:val="es-ES_tradnl"/>
        </w:rPr>
        <w:t xml:space="preserve"> </w:t>
      </w:r>
    </w:p>
    <w:p w:rsidR="00901EC8" w:rsidRPr="00837E2B" w:rsidRDefault="00C746DF" w:rsidP="00425487">
      <w:pPr>
        <w:pStyle w:val="Heading3"/>
        <w:rPr>
          <w:lang w:val="es-ES_tradnl"/>
        </w:rPr>
      </w:pPr>
      <w:r w:rsidRPr="00837E2B">
        <w:rPr>
          <w:lang w:val="es-ES_tradnl"/>
        </w:rPr>
        <w:t xml:space="preserve">Durante la puesta en marcha del MRRQ hay que asegurarse de que:  </w:t>
      </w:r>
    </w:p>
    <w:p w:rsidR="00901EC8" w:rsidRPr="00837E2B" w:rsidRDefault="00C746DF" w:rsidP="00C746DF">
      <w:pPr>
        <w:pStyle w:val="Bullet2"/>
        <w:rPr>
          <w:color w:val="4F81BD" w:themeColor="accent1"/>
          <w:lang w:val="es-ES_tradnl"/>
        </w:rPr>
      </w:pPr>
      <w:r w:rsidRPr="00837E2B">
        <w:rPr>
          <w:b/>
          <w:lang w:val="es-ES_tradnl"/>
        </w:rPr>
        <w:t xml:space="preserve">Todas las quejas se registran </w:t>
      </w:r>
      <w:r w:rsidRPr="00837E2B">
        <w:rPr>
          <w:lang w:val="es-ES_tradnl"/>
        </w:rPr>
        <w:t>en un formulario de quejas y se guardan en una base de datos. Es una buena práctica clasificarlos por tipo.</w:t>
      </w:r>
      <w:r w:rsidRPr="00837E2B">
        <w:rPr>
          <w:b/>
          <w:lang w:val="es-ES_tradnl"/>
        </w:rPr>
        <w:t xml:space="preserve"> </w:t>
      </w:r>
      <w:r w:rsidRPr="00837E2B">
        <w:rPr>
          <w:b/>
          <w:color w:val="4F81BD" w:themeColor="accent1"/>
          <w:lang w:val="es-ES_tradnl"/>
        </w:rPr>
        <w:t xml:space="preserve"> </w:t>
      </w:r>
    </w:p>
    <w:p w:rsidR="00901EC8" w:rsidRPr="00837E2B" w:rsidRDefault="00C746DF" w:rsidP="00C746DF">
      <w:pPr>
        <w:pStyle w:val="Bullet2"/>
        <w:rPr>
          <w:lang w:val="es-ES_tradnl"/>
        </w:rPr>
      </w:pPr>
      <w:r w:rsidRPr="00837E2B">
        <w:rPr>
          <w:b/>
          <w:lang w:val="es-ES_tradnl"/>
        </w:rPr>
        <w:t xml:space="preserve">Los expedientes de queja se mantienen confidenciales. </w:t>
      </w:r>
      <w:r w:rsidRPr="00837E2B">
        <w:rPr>
          <w:lang w:val="es-ES_tradnl"/>
        </w:rPr>
        <w:t>Sólo los responsables de la tramitación de las reclamaciones deberían tener acceso a los archivos. Es de vital importancia que los reclamantes tengan plena confianza en el proceso y que su derecho a la confidencialidad sea respetado en todo momento.</w:t>
      </w:r>
      <w:r w:rsidRPr="00837E2B">
        <w:rPr>
          <w:b/>
          <w:lang w:val="es-ES_tradnl"/>
        </w:rPr>
        <w:t xml:space="preserve"> </w:t>
      </w:r>
      <w:r w:rsidRPr="00837E2B">
        <w:rPr>
          <w:b/>
          <w:color w:val="4F81BD" w:themeColor="accent1"/>
          <w:lang w:val="es-ES_tradnl"/>
        </w:rPr>
        <w:t xml:space="preserve"> </w:t>
      </w:r>
    </w:p>
    <w:p w:rsidR="00901EC8" w:rsidRPr="00837E2B" w:rsidRDefault="00C746DF" w:rsidP="00C746DF">
      <w:pPr>
        <w:pStyle w:val="Bullet2"/>
        <w:rPr>
          <w:lang w:val="es-ES_tradnl"/>
        </w:rPr>
      </w:pPr>
      <w:r w:rsidRPr="00837E2B">
        <w:rPr>
          <w:b/>
          <w:lang w:val="es-ES_tradnl"/>
        </w:rPr>
        <w:t>Todas las quejas son reconocidas</w:t>
      </w:r>
      <w:r w:rsidRPr="00837E2B">
        <w:rPr>
          <w:lang w:val="es-ES_tradnl"/>
        </w:rPr>
        <w:t xml:space="preserve">, verbalmente o por escrito. Las quejas pueden ser recibidas a través de la línea telefónica, correo electrónico, </w:t>
      </w:r>
      <w:r w:rsidR="00AE6B4F" w:rsidRPr="00837E2B">
        <w:rPr>
          <w:lang w:val="es-ES_tradnl"/>
        </w:rPr>
        <w:t xml:space="preserve">buzón </w:t>
      </w:r>
      <w:r w:rsidRPr="00837E2B">
        <w:rPr>
          <w:lang w:val="es-ES_tradnl"/>
        </w:rPr>
        <w:t>de quejas, etc</w:t>
      </w:r>
      <w:r w:rsidR="00AE6B4F" w:rsidRPr="00837E2B">
        <w:rPr>
          <w:lang w:val="es-ES_tradnl"/>
        </w:rPr>
        <w:t xml:space="preserve">.  Se deben desarrollar </w:t>
      </w:r>
      <w:r w:rsidRPr="00837E2B">
        <w:rPr>
          <w:lang w:val="es-ES_tradnl"/>
        </w:rPr>
        <w:t>procedimientos</w:t>
      </w:r>
      <w:r w:rsidR="00AE6B4F" w:rsidRPr="00837E2B">
        <w:rPr>
          <w:lang w:val="es-ES_tradnl"/>
        </w:rPr>
        <w:t xml:space="preserve"> específicos</w:t>
      </w:r>
      <w:r w:rsidRPr="00837E2B">
        <w:rPr>
          <w:lang w:val="es-ES_tradnl"/>
        </w:rPr>
        <w:t xml:space="preserve">, teniendo en cuenta las especificidades de los canales de queja seleccionados. </w:t>
      </w:r>
      <w:r w:rsidR="00AE6B4F" w:rsidRPr="00837E2B">
        <w:rPr>
          <w:lang w:val="es-ES_tradnl"/>
        </w:rPr>
        <w:t>Se debe incluir</w:t>
      </w:r>
      <w:r w:rsidRPr="00837E2B">
        <w:rPr>
          <w:lang w:val="es-ES_tradnl"/>
        </w:rPr>
        <w:t xml:space="preserve">: la fecha en que se presenta la queja, la persona </w:t>
      </w:r>
      <w:r w:rsidR="00AE6B4F" w:rsidRPr="00837E2B">
        <w:rPr>
          <w:lang w:val="es-ES_tradnl"/>
        </w:rPr>
        <w:t xml:space="preserve">ante </w:t>
      </w:r>
      <w:r w:rsidRPr="00837E2B">
        <w:rPr>
          <w:lang w:val="es-ES_tradnl"/>
        </w:rPr>
        <w:t xml:space="preserve">la que se presenta la queja, una breve descripción de la naturaleza de la queja, la fecha en que la persona debe esperar una respuesta, y cómo </w:t>
      </w:r>
      <w:r w:rsidR="00AE6B4F" w:rsidRPr="00837E2B">
        <w:rPr>
          <w:lang w:val="es-ES_tradnl"/>
        </w:rPr>
        <w:t>reclamar</w:t>
      </w:r>
      <w:r w:rsidRPr="00837E2B">
        <w:rPr>
          <w:lang w:val="es-ES_tradnl"/>
        </w:rPr>
        <w:t xml:space="preserve"> contra el resultado de la queja. </w:t>
      </w:r>
      <w:r w:rsidR="00AE6B4F" w:rsidRPr="00837E2B">
        <w:rPr>
          <w:b/>
          <w:color w:val="4F81BD" w:themeColor="accent1"/>
          <w:lang w:val="es-ES_tradnl"/>
        </w:rPr>
        <w:t xml:space="preserve"> </w:t>
      </w:r>
    </w:p>
    <w:p w:rsidR="00901EC8" w:rsidRPr="00837E2B" w:rsidRDefault="00AE6B4F" w:rsidP="00AE6B4F">
      <w:pPr>
        <w:pStyle w:val="Bullet2"/>
        <w:rPr>
          <w:color w:val="4F81BD" w:themeColor="accent1"/>
          <w:lang w:val="es-ES_tradnl"/>
        </w:rPr>
      </w:pPr>
      <w:r w:rsidRPr="00837E2B">
        <w:rPr>
          <w:b/>
          <w:lang w:val="es-ES_tradnl"/>
        </w:rPr>
        <w:t xml:space="preserve">Todas las quejas se resuelven. </w:t>
      </w:r>
      <w:r w:rsidRPr="00837E2B">
        <w:rPr>
          <w:lang w:val="es-ES_tradnl"/>
        </w:rPr>
        <w:t xml:space="preserve">Hay que recordar que algunas quejas, especialmente las relacionadas con una conducta inapropiada del personal, requieren una investigación formal. Es una </w:t>
      </w:r>
      <w:r w:rsidRPr="00837E2B">
        <w:rPr>
          <w:lang w:val="es-ES_tradnl"/>
        </w:rPr>
        <w:lastRenderedPageBreak/>
        <w:t xml:space="preserve">buena práctica involucrar a personal que no esté directamente relacionados con el proyecto (o asociados, o miembros de la comunidad). En algunos casos, la queja tiene que ser "elevada de nivel" de manera que la investigación involucre a personas de más alto nivel o expertos especializados. </w:t>
      </w:r>
      <w:r w:rsidRPr="00837E2B">
        <w:rPr>
          <w:b/>
          <w:color w:val="4F81BD" w:themeColor="accent1"/>
          <w:lang w:val="es-ES_tradnl"/>
        </w:rPr>
        <w:t xml:space="preserve"> </w:t>
      </w:r>
      <w:bookmarkStart w:id="0" w:name="_GoBack"/>
      <w:bookmarkEnd w:id="0"/>
    </w:p>
    <w:sectPr w:rsidR="00901EC8" w:rsidRPr="00837E2B" w:rsidSect="00F6488D">
      <w:headerReference w:type="default" r:id="rId7"/>
      <w:footerReference w:type="even" r:id="rId8"/>
      <w:footerReference w:type="default" r:id="rId9"/>
      <w:pgSz w:w="11900" w:h="16840" w:code="9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047" w:rsidRDefault="004B2047" w:rsidP="00A7216A">
      <w:r>
        <w:separator/>
      </w:r>
    </w:p>
  </w:endnote>
  <w:endnote w:type="continuationSeparator" w:id="0">
    <w:p w:rsidR="004B2047" w:rsidRDefault="004B2047" w:rsidP="00A7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2E" w:rsidRDefault="007A12EE" w:rsidP="004C29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292E" w:rsidRDefault="004B2047" w:rsidP="00A721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487" w:rsidRPr="00B45C74" w:rsidRDefault="00425487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837E2B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425487" w:rsidRPr="003A3500" w:rsidRDefault="000B2A47" w:rsidP="00ED1B2B">
    <w:pPr>
      <w:pStyle w:val="Footer"/>
    </w:pPr>
    <w:r>
      <w:rPr>
        <w:b/>
      </w:rPr>
      <w:t>Mó</w:t>
    </w:r>
    <w:r w:rsidR="00425487" w:rsidRPr="00107E15">
      <w:rPr>
        <w:b/>
      </w:rPr>
      <w:t xml:space="preserve">dule </w:t>
    </w:r>
    <w:r w:rsidR="00425487">
      <w:rPr>
        <w:b/>
      </w:rPr>
      <w:t>4</w:t>
    </w:r>
    <w:r w:rsidR="00425487" w:rsidRPr="00107E15">
      <w:rPr>
        <w:b/>
      </w:rPr>
      <w:t>.</w:t>
    </w:r>
    <w:r w:rsidR="00425487" w:rsidRPr="00107E15">
      <w:t xml:space="preserve"> </w:t>
    </w:r>
    <w:r>
      <w:t>Etapa</w:t>
    </w:r>
    <w:r w:rsidR="00425487" w:rsidRPr="00107E15">
      <w:t xml:space="preserve"> </w:t>
    </w:r>
    <w:r w:rsidR="00425487">
      <w:t>2</w:t>
    </w:r>
    <w:r w:rsidR="00425487" w:rsidRPr="00107E15">
      <w:t>.</w:t>
    </w:r>
    <w:r w:rsidR="00425487">
      <w:t xml:space="preserve"> Sub-</w:t>
    </w:r>
    <w:r>
      <w:t>etapa</w:t>
    </w:r>
    <w:r w:rsidR="00425487">
      <w:t xml:space="preserve"> 5. </w:t>
    </w:r>
    <w:r w:rsidR="00425487" w:rsidRPr="00107E15">
      <w:rPr>
        <w:i/>
      </w:rPr>
      <w:fldChar w:fldCharType="begin"/>
    </w:r>
    <w:r w:rsidR="00425487" w:rsidRPr="00107E15">
      <w:rPr>
        <w:i/>
      </w:rPr>
      <w:instrText xml:space="preserve"> STYLEREF  H1 \t  \* MERGEFORMAT </w:instrText>
    </w:r>
    <w:r w:rsidR="00425487" w:rsidRPr="00107E15">
      <w:rPr>
        <w:i/>
      </w:rPr>
      <w:fldChar w:fldCharType="separate"/>
    </w:r>
    <w:r w:rsidR="00837E2B" w:rsidRPr="00837E2B">
      <w:rPr>
        <w:bCs/>
        <w:noProof/>
      </w:rPr>
      <w:t>Elementos clave del mecanismo de</w:t>
    </w:r>
    <w:r w:rsidR="00837E2B">
      <w:rPr>
        <w:i/>
        <w:noProof/>
      </w:rPr>
      <w:t xml:space="preserve"> retroalimentación y respuesta a quejas</w:t>
    </w:r>
    <w:r w:rsidR="00425487"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047" w:rsidRDefault="004B2047" w:rsidP="00A7216A">
      <w:r>
        <w:separator/>
      </w:r>
    </w:p>
  </w:footnote>
  <w:footnote w:type="continuationSeparator" w:id="0">
    <w:p w:rsidR="004B2047" w:rsidRDefault="004B2047" w:rsidP="00A72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04" w:rsidRPr="00730879" w:rsidRDefault="00CC3304" w:rsidP="00CC3304">
    <w:pPr>
      <w:pStyle w:val="Header"/>
      <w:rPr>
        <w:szCs w:val="16"/>
        <w:lang w:val="es-ES"/>
      </w:rPr>
    </w:pPr>
    <w:r w:rsidRPr="00730879">
      <w:rPr>
        <w:rStyle w:val="Pantone485"/>
        <w:lang w:val="es-ES"/>
      </w:rPr>
      <w:t xml:space="preserve">Movimiento Internacional de la Cruz Roja y de la </w:t>
    </w:r>
    <w:r>
      <w:rPr>
        <w:rStyle w:val="Pantone485"/>
        <w:lang w:val="es-ES"/>
      </w:rPr>
      <w:t xml:space="preserve">Media Luna Roja </w:t>
    </w:r>
    <w:r w:rsidRPr="00730879">
      <w:rPr>
        <w:rStyle w:val="PageNumber"/>
        <w:szCs w:val="16"/>
        <w:lang w:val="es-ES"/>
      </w:rPr>
      <w:t>I</w:t>
    </w:r>
    <w:r w:rsidRPr="00730879">
      <w:rPr>
        <w:rStyle w:val="PageNumber"/>
        <w:color w:val="FF0000"/>
        <w:szCs w:val="16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  <w:p w:rsidR="00425487" w:rsidRPr="00CC3304" w:rsidRDefault="00425487" w:rsidP="00CC3304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C62C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8478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D85D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D4B4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000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8865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8A38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3808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DE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201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0C3D10"/>
    <w:multiLevelType w:val="hybridMultilevel"/>
    <w:tmpl w:val="E0049552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D221BF"/>
    <w:multiLevelType w:val="hybridMultilevel"/>
    <w:tmpl w:val="AA260FDA"/>
    <w:lvl w:ilvl="0" w:tplc="0C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C50B4"/>
    <w:multiLevelType w:val="hybridMultilevel"/>
    <w:tmpl w:val="94061E72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313CB"/>
    <w:multiLevelType w:val="hybridMultilevel"/>
    <w:tmpl w:val="EC02A2AC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63915"/>
    <w:multiLevelType w:val="hybridMultilevel"/>
    <w:tmpl w:val="15D4C41C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27C99"/>
    <w:multiLevelType w:val="hybridMultilevel"/>
    <w:tmpl w:val="BF7A3E56"/>
    <w:lvl w:ilvl="0" w:tplc="3000D490">
      <w:start w:val="1"/>
      <w:numFmt w:val="bullet"/>
      <w:lvlText w:val=""/>
      <w:lvlJc w:val="left"/>
      <w:pPr>
        <w:ind w:left="-24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13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-6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</w:abstractNum>
  <w:abstractNum w:abstractNumId="18" w15:restartNumberingAfterBreak="0">
    <w:nsid w:val="4C397C81"/>
    <w:multiLevelType w:val="hybridMultilevel"/>
    <w:tmpl w:val="5162811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3103E"/>
    <w:multiLevelType w:val="hybridMultilevel"/>
    <w:tmpl w:val="B26EC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93EED"/>
    <w:multiLevelType w:val="hybridMultilevel"/>
    <w:tmpl w:val="5FACA3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45AF5"/>
    <w:multiLevelType w:val="hybridMultilevel"/>
    <w:tmpl w:val="31F85640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E36B5"/>
    <w:multiLevelType w:val="hybridMultilevel"/>
    <w:tmpl w:val="DE587E86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4"/>
  </w:num>
  <w:num w:numId="4">
    <w:abstractNumId w:val="17"/>
  </w:num>
  <w:num w:numId="5">
    <w:abstractNumId w:val="26"/>
  </w:num>
  <w:num w:numId="6">
    <w:abstractNumId w:val="15"/>
  </w:num>
  <w:num w:numId="7">
    <w:abstractNumId w:val="16"/>
  </w:num>
  <w:num w:numId="8">
    <w:abstractNumId w:val="14"/>
  </w:num>
  <w:num w:numId="9">
    <w:abstractNumId w:val="10"/>
  </w:num>
  <w:num w:numId="10">
    <w:abstractNumId w:val="19"/>
  </w:num>
  <w:num w:numId="11">
    <w:abstractNumId w:val="13"/>
  </w:num>
  <w:num w:numId="12">
    <w:abstractNumId w:val="20"/>
  </w:num>
  <w:num w:numId="13">
    <w:abstractNumId w:val="22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3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58"/>
    <w:rsid w:val="00082C6C"/>
    <w:rsid w:val="000B2A47"/>
    <w:rsid w:val="000C22A8"/>
    <w:rsid w:val="001674F8"/>
    <w:rsid w:val="001C6845"/>
    <w:rsid w:val="002712E2"/>
    <w:rsid w:val="002B65F0"/>
    <w:rsid w:val="002C6160"/>
    <w:rsid w:val="0033316E"/>
    <w:rsid w:val="0040633B"/>
    <w:rsid w:val="00425487"/>
    <w:rsid w:val="0042679A"/>
    <w:rsid w:val="004B2047"/>
    <w:rsid w:val="004B2E93"/>
    <w:rsid w:val="005213A6"/>
    <w:rsid w:val="005372CB"/>
    <w:rsid w:val="005C2818"/>
    <w:rsid w:val="0061393D"/>
    <w:rsid w:val="0069388D"/>
    <w:rsid w:val="007A12EE"/>
    <w:rsid w:val="00837E2B"/>
    <w:rsid w:val="00864D5E"/>
    <w:rsid w:val="008D0817"/>
    <w:rsid w:val="00A01B96"/>
    <w:rsid w:val="00A2622B"/>
    <w:rsid w:val="00A87D8E"/>
    <w:rsid w:val="00AE6B4F"/>
    <w:rsid w:val="00B00C25"/>
    <w:rsid w:val="00B07D2D"/>
    <w:rsid w:val="00B61BD8"/>
    <w:rsid w:val="00B70B89"/>
    <w:rsid w:val="00BA2ACC"/>
    <w:rsid w:val="00C0147D"/>
    <w:rsid w:val="00C12028"/>
    <w:rsid w:val="00C746DF"/>
    <w:rsid w:val="00CC3304"/>
    <w:rsid w:val="00D85149"/>
    <w:rsid w:val="00DD7937"/>
    <w:rsid w:val="00E069E1"/>
    <w:rsid w:val="00E118E1"/>
    <w:rsid w:val="00E21039"/>
    <w:rsid w:val="00F06558"/>
    <w:rsid w:val="00F14122"/>
    <w:rsid w:val="00F15A82"/>
    <w:rsid w:val="00F6488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7E6C531-8F1B-4DFF-91C3-616B2BF6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/>
    <w:lsdException w:name="heading 2" w:uiPriority="9" w:qFormat="1"/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122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F1412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12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412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1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22"/>
    <w:rPr>
      <w:rFonts w:ascii="Lucida Grande" w:eastAsiaTheme="minorEastAs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14122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14122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F1412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14122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F1412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14122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F14122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F14122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14122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4122"/>
    <w:rPr>
      <w:rFonts w:ascii="Arial" w:eastAsiaTheme="minorEastAsia" w:hAnsi="Arial" w:cs="Times New Roman"/>
      <w:b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4122"/>
    <w:rPr>
      <w:rFonts w:ascii="Arial" w:hAnsi="Arial"/>
      <w:sz w:val="20"/>
      <w:szCs w:val="22"/>
    </w:rPr>
  </w:style>
  <w:style w:type="paragraph" w:customStyle="1" w:styleId="Default">
    <w:name w:val="Default"/>
    <w:rsid w:val="00F141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CommentReference">
    <w:name w:val="annotation reference"/>
    <w:basedOn w:val="DefaultParagraphFont"/>
    <w:uiPriority w:val="99"/>
    <w:unhideWhenUsed/>
    <w:rsid w:val="00F14122"/>
    <w:rPr>
      <w:sz w:val="18"/>
      <w:szCs w:val="18"/>
    </w:rPr>
  </w:style>
  <w:style w:type="paragraph" w:styleId="CommentText">
    <w:name w:val="annotation text"/>
    <w:basedOn w:val="Normal"/>
    <w:link w:val="CommentTextChar"/>
    <w:rsid w:val="00425487"/>
  </w:style>
  <w:style w:type="character" w:customStyle="1" w:styleId="CommentTextChar">
    <w:name w:val="Comment Text Char"/>
    <w:basedOn w:val="DefaultParagraphFont"/>
    <w:link w:val="CommentText"/>
    <w:rsid w:val="00425487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unhideWhenUsed/>
    <w:rsid w:val="00F1412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F14122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41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1412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1412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4122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14122"/>
    <w:rPr>
      <w:vertAlign w:val="superscript"/>
    </w:rPr>
  </w:style>
  <w:style w:type="paragraph" w:styleId="Revision">
    <w:name w:val="Revision"/>
    <w:hidden/>
    <w:uiPriority w:val="99"/>
    <w:rsid w:val="00F14122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F1412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F1412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F14122"/>
    <w:pPr>
      <w:numPr>
        <w:numId w:val="11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F1412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F1412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F1412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F1412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F14122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F14122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F14122"/>
    <w:pPr>
      <w:numPr>
        <w:numId w:val="12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F14122"/>
    <w:pPr>
      <w:numPr>
        <w:ilvl w:val="1"/>
        <w:numId w:val="9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F14122"/>
    <w:pPr>
      <w:numPr>
        <w:numId w:val="10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F14122"/>
    <w:pPr>
      <w:numPr>
        <w:numId w:val="13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F1412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F1412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14122"/>
    <w:pPr>
      <w:keepNext/>
      <w:keepLines/>
      <w:framePr w:hSpace="141" w:wrap="around" w:vAnchor="text" w:hAnchor="margin" w:y="402"/>
      <w:numPr>
        <w:numId w:val="14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0</TotalTime>
  <Pages>2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Creti Pantaleo</dc:creator>
  <cp:lastModifiedBy>Ines DALMAU i GUTSENS</cp:lastModifiedBy>
  <cp:revision>2</cp:revision>
  <cp:lastPrinted>2015-09-30T13:00:00Z</cp:lastPrinted>
  <dcterms:created xsi:type="dcterms:W3CDTF">2016-02-14T19:47:00Z</dcterms:created>
  <dcterms:modified xsi:type="dcterms:W3CDTF">2016-02-14T19:47:00Z</dcterms:modified>
</cp:coreProperties>
</file>