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3F" w:rsidRPr="000B5E99" w:rsidRDefault="000B5E99" w:rsidP="003B2053">
      <w:pPr>
        <w:pStyle w:val="H1"/>
        <w:rPr>
          <w:lang w:val="fr-FR"/>
        </w:rPr>
      </w:pPr>
      <w:r>
        <w:rPr>
          <w:lang w:val="fr-FR"/>
        </w:rPr>
        <w:t>Cadre de compétences en matière de PTM</w:t>
      </w:r>
    </w:p>
    <w:tbl>
      <w:tblPr>
        <w:tblStyle w:val="TableGrid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714"/>
        <w:gridCol w:w="3532"/>
        <w:gridCol w:w="3604"/>
      </w:tblGrid>
      <w:tr w:rsidR="00BA00FE" w:rsidRPr="000B5E99" w:rsidTr="00BF1EC6">
        <w:trPr>
          <w:cantSplit/>
          <w:trHeight w:val="402"/>
        </w:trPr>
        <w:tc>
          <w:tcPr>
            <w:tcW w:w="106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A00FE" w:rsidRPr="000B5E99" w:rsidRDefault="000B5E99" w:rsidP="006B29FF">
            <w:pPr>
              <w:tabs>
                <w:tab w:val="left" w:pos="2025"/>
              </w:tabs>
              <w:spacing w:before="12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FR"/>
              </w:rPr>
              <w:t>Domaines de compétence</w:t>
            </w:r>
          </w:p>
        </w:tc>
        <w:tc>
          <w:tcPr>
            <w:tcW w:w="1347" w:type="pct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A00FE" w:rsidRPr="000B5E99" w:rsidRDefault="000B5E99" w:rsidP="006B29FF">
            <w:pPr>
              <w:tabs>
                <w:tab w:val="left" w:pos="2025"/>
              </w:tabs>
              <w:spacing w:before="12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Niveau </w:t>
            </w:r>
            <w:r w:rsidR="00DD6F2C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1 – </w:t>
            </w:r>
            <w:r w:rsidR="00916A82">
              <w:rPr>
                <w:rFonts w:cs="Arial"/>
                <w:b/>
                <w:bCs/>
                <w:sz w:val="18"/>
                <w:szCs w:val="18"/>
                <w:lang w:val="fr-FR"/>
              </w:rPr>
              <w:t>Compétences d</w:t>
            </w:r>
            <w:r w:rsidR="00DD6F2C">
              <w:rPr>
                <w:rFonts w:cs="Arial"/>
                <w:b/>
                <w:bCs/>
                <w:sz w:val="18"/>
                <w:szCs w:val="18"/>
                <w:lang w:val="fr-FR"/>
              </w:rPr>
              <w:t>e base</w:t>
            </w:r>
          </w:p>
        </w:tc>
        <w:tc>
          <w:tcPr>
            <w:tcW w:w="1281" w:type="pct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A00FE" w:rsidRPr="000B5E99" w:rsidRDefault="000B5E99" w:rsidP="00DD6F2C">
            <w:pPr>
              <w:tabs>
                <w:tab w:val="left" w:pos="2025"/>
              </w:tabs>
              <w:spacing w:before="12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FR"/>
              </w:rPr>
              <w:t>Niveau</w:t>
            </w:r>
            <w:r w:rsidR="00BA00FE"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2 – </w:t>
            </w:r>
            <w:r w:rsidR="00916A82">
              <w:rPr>
                <w:rFonts w:cs="Arial"/>
                <w:b/>
                <w:bCs/>
                <w:sz w:val="18"/>
                <w:szCs w:val="18"/>
                <w:lang w:val="fr-FR"/>
              </w:rPr>
              <w:t>Compétences g</w:t>
            </w:r>
            <w:r w:rsidR="00DD6F2C">
              <w:rPr>
                <w:rFonts w:cs="Arial"/>
                <w:b/>
                <w:bCs/>
                <w:sz w:val="18"/>
                <w:szCs w:val="18"/>
                <w:lang w:val="fr-FR"/>
              </w:rPr>
              <w:t>énéral</w:t>
            </w:r>
            <w:r w:rsidR="00916A82">
              <w:rPr>
                <w:rFonts w:cs="Arial"/>
                <w:b/>
                <w:bCs/>
                <w:sz w:val="18"/>
                <w:szCs w:val="18"/>
                <w:lang w:val="fr-FR"/>
              </w:rPr>
              <w:t>es</w:t>
            </w:r>
          </w:p>
        </w:tc>
        <w:tc>
          <w:tcPr>
            <w:tcW w:w="1306" w:type="pct"/>
            <w:tcBorders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BA00FE" w:rsidRPr="000B5E99" w:rsidRDefault="000B5E99" w:rsidP="00916A82">
            <w:pPr>
              <w:tabs>
                <w:tab w:val="left" w:pos="2025"/>
              </w:tabs>
              <w:spacing w:before="12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FR"/>
              </w:rPr>
              <w:t>Niveau</w:t>
            </w:r>
            <w:r w:rsidR="00BA00FE"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3 – </w:t>
            </w:r>
            <w:r w:rsidR="00916A82">
              <w:rPr>
                <w:rFonts w:cs="Arial"/>
                <w:b/>
                <w:bCs/>
                <w:sz w:val="18"/>
                <w:szCs w:val="18"/>
                <w:lang w:val="fr-FR"/>
              </w:rPr>
              <w:t>Compétences spécialisées</w:t>
            </w:r>
          </w:p>
        </w:tc>
      </w:tr>
      <w:tr w:rsidR="00BA00FE" w:rsidRPr="00A21843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0B5E99" w:rsidRDefault="00BA00FE" w:rsidP="000B5E99">
            <w:pPr>
              <w:spacing w:before="120"/>
              <w:ind w:left="362" w:hanging="249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FR"/>
              </w:rPr>
            </w:pPr>
            <w:r w:rsidRPr="000B5E99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FR"/>
              </w:rPr>
              <w:t xml:space="preserve">1. </w:t>
            </w:r>
            <w:r w:rsidR="000B5E99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FR"/>
              </w:rPr>
              <w:t>Mouvement international de la Croix-Rouge et du Croissant-Rouge</w:t>
            </w:r>
          </w:p>
        </w:tc>
      </w:tr>
      <w:tr w:rsidR="00BA00FE" w:rsidRPr="00A21843" w:rsidTr="009D7A67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:rsidR="00BA00FE" w:rsidRPr="000B5E99" w:rsidRDefault="0004590B" w:rsidP="000E5F14">
            <w:pPr>
              <w:pStyle w:val="ListParagraph"/>
              <w:numPr>
                <w:ilvl w:val="1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FR"/>
              </w:rPr>
              <w:t>Contexte du Mouvement international de la Croix-Rouge et du Croissant-Rouge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DD6F2C" w:rsidRDefault="00437FBB" w:rsidP="006B29FF">
            <w:pPr>
              <w:pStyle w:val="ListParagraph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Connaître</w:t>
            </w:r>
            <w:r w:rsidR="00DD6F2C">
              <w:rPr>
                <w:rFonts w:cs="Arial"/>
                <w:sz w:val="18"/>
                <w:szCs w:val="18"/>
                <w:lang w:val="fr-FR"/>
              </w:rPr>
              <w:t xml:space="preserve"> la mission et les différentes composantes du Mouvement international de la Croix-Rouge et du Croissant-Rouge</w:t>
            </w:r>
          </w:p>
          <w:p w:rsidR="00BA00FE" w:rsidRPr="000B5E99" w:rsidRDefault="00DD6F2C" w:rsidP="006B29FF">
            <w:pPr>
              <w:pStyle w:val="ListParagraph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R</w:t>
            </w:r>
            <w:r w:rsidR="00B2750E">
              <w:rPr>
                <w:rFonts w:cs="Arial"/>
                <w:sz w:val="18"/>
                <w:szCs w:val="18"/>
                <w:lang w:val="fr-FR"/>
              </w:rPr>
              <w:t>especter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les sept Principes fondamentaux et le Code de conduite </w:t>
            </w:r>
          </w:p>
          <w:p w:rsidR="00BA00FE" w:rsidRPr="00DD6F2C" w:rsidRDefault="00DD6F2C" w:rsidP="00DD6F2C">
            <w:pPr>
              <w:pStyle w:val="ListParagraph"/>
              <w:numPr>
                <w:ilvl w:val="0"/>
                <w:numId w:val="2"/>
              </w:numPr>
              <w:spacing w:before="40" w:after="40" w:line="276" w:lineRule="auto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Connaître les règles de la Croix-Rouge et du Croissant-Rouge en matière de sécurité (s’applique à tous les niveaux)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2750E" w:rsidRDefault="00B2750E" w:rsidP="00437FBB">
            <w:pPr>
              <w:pStyle w:val="ListParagraph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Connaître les responsabilités de la Croix-Rouge et du Croissant-Rouge dans le</w:t>
            </w:r>
            <w:r w:rsidR="00437FBB">
              <w:rPr>
                <w:rFonts w:cs="Arial"/>
                <w:sz w:val="18"/>
                <w:szCs w:val="18"/>
                <w:lang w:val="fr-FR"/>
              </w:rPr>
              <w:t>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interventions d’urgence</w:t>
            </w:r>
          </w:p>
          <w:p w:rsidR="00BA00FE" w:rsidRPr="00B2750E" w:rsidRDefault="00B2750E" w:rsidP="00B2750E">
            <w:pPr>
              <w:pStyle w:val="ListParagraph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Être capable de travailler avec les différentes composantes du Mouvement (Sociétés nationales/Fédération internationale/CICR)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2750E" w:rsidRDefault="00B2750E" w:rsidP="006B29FF">
            <w:pPr>
              <w:pStyle w:val="ListParagraph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Représenter le Mouvement de la Croix-Rouge et du Croissant-Rouge </w:t>
            </w:r>
            <w:r w:rsidR="00576D16">
              <w:rPr>
                <w:rFonts w:cs="Arial"/>
                <w:sz w:val="18"/>
                <w:szCs w:val="18"/>
                <w:lang w:val="fr-FR"/>
              </w:rPr>
              <w:t>auprès des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576D16">
              <w:rPr>
                <w:rFonts w:cs="Arial"/>
                <w:sz w:val="18"/>
                <w:szCs w:val="18"/>
                <w:lang w:val="fr-FR"/>
              </w:rPr>
              <w:t>partenaires et d</w:t>
            </w:r>
            <w:r>
              <w:rPr>
                <w:rFonts w:cs="Arial"/>
                <w:sz w:val="18"/>
                <w:szCs w:val="18"/>
                <w:lang w:val="fr-FR"/>
              </w:rPr>
              <w:t>es parties prenantes clés</w:t>
            </w:r>
          </w:p>
          <w:p w:rsidR="00BA00FE" w:rsidRDefault="00B2750E" w:rsidP="00A21843">
            <w:pPr>
              <w:pStyle w:val="ListParagraph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Mettre en place et maintenir des partenariats productifs</w:t>
            </w:r>
            <w:r w:rsidR="00A21843">
              <w:rPr>
                <w:rFonts w:cs="Arial"/>
                <w:sz w:val="18"/>
                <w:szCs w:val="18"/>
                <w:lang w:val="fr-FR"/>
              </w:rPr>
              <w:t>,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A21843">
              <w:rPr>
                <w:rFonts w:cs="Arial"/>
                <w:sz w:val="18"/>
                <w:szCs w:val="18"/>
                <w:lang w:val="fr-FR"/>
              </w:rPr>
              <w:t>fondés sur la confiance et le respect</w:t>
            </w:r>
            <w:r w:rsidR="00A21843">
              <w:rPr>
                <w:rFonts w:cs="Arial"/>
                <w:sz w:val="18"/>
                <w:szCs w:val="18"/>
                <w:lang w:val="fr-FR"/>
              </w:rPr>
              <w:t xml:space="preserve">, </w:t>
            </w:r>
            <w:r>
              <w:rPr>
                <w:rFonts w:cs="Arial"/>
                <w:sz w:val="18"/>
                <w:szCs w:val="18"/>
                <w:lang w:val="fr-FR"/>
              </w:rPr>
              <w:t>avec les différentes composantes du Mouvement (Sociétés nationales/F</w:t>
            </w:r>
            <w:r w:rsidR="00A21843">
              <w:rPr>
                <w:rFonts w:cs="Arial"/>
                <w:sz w:val="18"/>
                <w:szCs w:val="18"/>
                <w:lang w:val="fr-FR"/>
              </w:rPr>
              <w:t>édération internationale/CICR)</w:t>
            </w:r>
          </w:p>
          <w:p w:rsidR="00FC50C8" w:rsidRPr="00B2750E" w:rsidRDefault="00FC50C8" w:rsidP="00FC50C8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BA00FE" w:rsidRPr="00A21843" w:rsidTr="009D7A67">
        <w:trPr>
          <w:cantSplit/>
        </w:trPr>
        <w:tc>
          <w:tcPr>
            <w:tcW w:w="1065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A00FE" w:rsidRPr="000B5E99" w:rsidRDefault="00BA00FE" w:rsidP="0004590B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>1.2</w:t>
            </w:r>
            <w:r w:rsidR="00A3159C"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ab/>
            </w:r>
            <w:r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04590B">
              <w:rPr>
                <w:rFonts w:cs="Arial"/>
                <w:b/>
                <w:bCs/>
                <w:sz w:val="18"/>
                <w:szCs w:val="18"/>
                <w:lang w:val="fr-FR"/>
              </w:rPr>
              <w:t>Sensibilité contextuelle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DD6F2C" w:rsidRDefault="00DD6F2C" w:rsidP="00A21843">
            <w:pPr>
              <w:pStyle w:val="ListParagraph"/>
              <w:numPr>
                <w:ilvl w:val="0"/>
                <w:numId w:val="1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Faire preuve de tact et de respect en</w:t>
            </w:r>
            <w:r w:rsidR="00A21843">
              <w:rPr>
                <w:rFonts w:cs="Arial"/>
                <w:sz w:val="18"/>
                <w:szCs w:val="18"/>
                <w:lang w:val="fr-FR"/>
              </w:rPr>
              <w:t>vers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la langue, la religion et les coutumes locales (s’applique à tous les niveaux)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0B5E99" w:rsidRDefault="00BA00FE" w:rsidP="006B29FF">
            <w:pPr>
              <w:spacing w:before="40" w:after="40"/>
              <w:ind w:hanging="249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Default="00696FE2" w:rsidP="00437FBB">
            <w:pPr>
              <w:pStyle w:val="ListParagraph"/>
              <w:numPr>
                <w:ilvl w:val="0"/>
                <w:numId w:val="1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Adopter des approches </w:t>
            </w:r>
            <w:r w:rsidR="00576D16">
              <w:rPr>
                <w:rFonts w:cs="Arial"/>
                <w:sz w:val="18"/>
                <w:szCs w:val="18"/>
                <w:lang w:val="fr-FR"/>
              </w:rPr>
              <w:t xml:space="preserve">programmatiques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adéquates sur le plan culturel, en prenant en compte </w:t>
            </w:r>
            <w:r w:rsidR="00576D16">
              <w:rPr>
                <w:rFonts w:cs="Arial"/>
                <w:sz w:val="18"/>
                <w:szCs w:val="18"/>
                <w:lang w:val="fr-FR"/>
              </w:rPr>
              <w:t xml:space="preserve">les questions </w:t>
            </w:r>
            <w:r w:rsidR="00437FBB">
              <w:rPr>
                <w:rFonts w:cs="Arial"/>
                <w:sz w:val="18"/>
                <w:szCs w:val="18"/>
                <w:lang w:val="fr-FR"/>
              </w:rPr>
              <w:t>de genre et les</w:t>
            </w:r>
            <w:r w:rsidR="00576D16">
              <w:rPr>
                <w:rFonts w:cs="Arial"/>
                <w:sz w:val="18"/>
                <w:szCs w:val="18"/>
                <w:lang w:val="fr-FR"/>
              </w:rPr>
              <w:t xml:space="preserve"> dynamique</w:t>
            </w:r>
            <w:r w:rsidR="00437FBB">
              <w:rPr>
                <w:rFonts w:cs="Arial"/>
                <w:sz w:val="18"/>
                <w:szCs w:val="18"/>
                <w:lang w:val="fr-FR"/>
              </w:rPr>
              <w:t>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socia</w:t>
            </w:r>
            <w:r w:rsidR="00576D16">
              <w:rPr>
                <w:rFonts w:cs="Arial"/>
                <w:sz w:val="18"/>
                <w:szCs w:val="18"/>
                <w:lang w:val="fr-FR"/>
              </w:rPr>
              <w:t>le</w:t>
            </w:r>
            <w:r w:rsidR="00FC50C8">
              <w:rPr>
                <w:rFonts w:cs="Arial"/>
                <w:sz w:val="18"/>
                <w:szCs w:val="18"/>
                <w:lang w:val="fr-FR"/>
              </w:rPr>
              <w:t>s</w:t>
            </w:r>
          </w:p>
          <w:p w:rsidR="00FC50C8" w:rsidRPr="00FC50C8" w:rsidRDefault="00FC50C8" w:rsidP="00FC50C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BA00FE" w:rsidRPr="00A21843" w:rsidTr="009D7A67">
        <w:trPr>
          <w:cantSplit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BA00FE" w:rsidRPr="000B5E99" w:rsidRDefault="00BA00FE" w:rsidP="0004590B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>1.3</w:t>
            </w:r>
            <w:r w:rsidR="00A3159C"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ab/>
            </w:r>
            <w:r w:rsidR="0004590B">
              <w:rPr>
                <w:rFonts w:cs="Arial"/>
                <w:b/>
                <w:bCs/>
                <w:sz w:val="18"/>
                <w:szCs w:val="18"/>
                <w:lang w:val="fr-FR"/>
              </w:rPr>
              <w:t>Participation de la communauté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DD6F2C" w:rsidRDefault="00437FBB" w:rsidP="00DD6F2C">
            <w:pPr>
              <w:pStyle w:val="ListParagraph"/>
              <w:numPr>
                <w:ilvl w:val="0"/>
                <w:numId w:val="11"/>
              </w:numPr>
              <w:spacing w:before="40" w:after="40"/>
              <w:ind w:left="250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Connaître</w:t>
            </w:r>
            <w:r w:rsidR="00DD6F2C">
              <w:rPr>
                <w:rFonts w:cs="Arial"/>
                <w:sz w:val="18"/>
                <w:szCs w:val="18"/>
                <w:lang w:val="fr-FR"/>
              </w:rPr>
              <w:t xml:space="preserve"> les principes de base de la participation de la communauté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DD6F2C" w:rsidRDefault="00DD6F2C" w:rsidP="00437FBB">
            <w:pPr>
              <w:pStyle w:val="ListParagraph"/>
              <w:numPr>
                <w:ilvl w:val="0"/>
                <w:numId w:val="11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Définir les approches adéquates en ce qui concerne la participation de la communauté (</w:t>
            </w:r>
            <w:r w:rsidR="00576D16">
              <w:rPr>
                <w:rFonts w:cs="Arial"/>
                <w:sz w:val="18"/>
                <w:szCs w:val="18"/>
                <w:lang w:val="fr-FR"/>
              </w:rPr>
              <w:t>c.-à-d.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437FBB">
              <w:rPr>
                <w:rFonts w:cs="Arial"/>
                <w:sz w:val="18"/>
                <w:szCs w:val="18"/>
                <w:lang w:val="fr-FR"/>
              </w:rPr>
              <w:t>le ciblage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communautaire)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Default="00A62B85" w:rsidP="00A62B85">
            <w:pPr>
              <w:pStyle w:val="ListParagraph"/>
              <w:numPr>
                <w:ilvl w:val="0"/>
                <w:numId w:val="11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Recueillir l’avis de la communauté pour orienter l’élaboration des programmes et garantir la redevabilité et le retou</w:t>
            </w:r>
            <w:r w:rsidR="00FC50C8">
              <w:rPr>
                <w:rFonts w:cs="Arial"/>
                <w:sz w:val="18"/>
                <w:szCs w:val="18"/>
                <w:lang w:val="fr-FR"/>
              </w:rPr>
              <w:t>r d’information de la communauté</w:t>
            </w:r>
          </w:p>
          <w:p w:rsidR="00FC50C8" w:rsidRPr="00FC50C8" w:rsidRDefault="00FC50C8" w:rsidP="00FC50C8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BA00FE" w:rsidRPr="00A21843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0B5E99" w:rsidRDefault="00437FBB" w:rsidP="00437FBB">
            <w:pPr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FR"/>
              </w:rPr>
              <w:t>2. Questions relatives aux transferts monétaires</w:t>
            </w:r>
          </w:p>
        </w:tc>
      </w:tr>
      <w:tr w:rsidR="00BA00FE" w:rsidRPr="00A21843" w:rsidTr="009D7A67">
        <w:trPr>
          <w:cantSplit/>
          <w:trHeight w:val="20"/>
        </w:trPr>
        <w:tc>
          <w:tcPr>
            <w:tcW w:w="1065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A00FE" w:rsidRPr="000B5E99" w:rsidRDefault="00BA00FE" w:rsidP="00295A15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2.1 </w:t>
            </w:r>
            <w:r w:rsidR="00A3159C"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ab/>
            </w:r>
            <w:r w:rsidR="0004590B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Sensibilisation </w:t>
            </w:r>
            <w:r w:rsidR="00295A15">
              <w:rPr>
                <w:rFonts w:cs="Arial"/>
                <w:b/>
                <w:bCs/>
                <w:sz w:val="18"/>
                <w:szCs w:val="18"/>
                <w:lang w:val="fr-FR"/>
              </w:rPr>
              <w:t>aux transferts monétaires</w:t>
            </w:r>
            <w:r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A62B85" w:rsidRDefault="00295A15" w:rsidP="00295A15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>
              <w:rPr>
                <w:rFonts w:cs="Arial"/>
                <w:bCs/>
                <w:sz w:val="18"/>
                <w:szCs w:val="18"/>
                <w:lang w:val="fr-FR"/>
              </w:rPr>
              <w:t>Énumérer</w:t>
            </w:r>
            <w:r w:rsidR="00A62B85">
              <w:rPr>
                <w:rFonts w:cs="Arial"/>
                <w:bCs/>
                <w:sz w:val="18"/>
                <w:szCs w:val="18"/>
                <w:lang w:val="fr-FR"/>
              </w:rPr>
              <w:t xml:space="preserve"> les principaux arguments souvent avancés</w:t>
            </w:r>
            <w:r w:rsidR="00980774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val="fr-FR"/>
              </w:rPr>
              <w:t>contre les</w:t>
            </w:r>
            <w:r w:rsidR="00A62B85">
              <w:rPr>
                <w:rFonts w:cs="Arial"/>
                <w:bCs/>
                <w:sz w:val="18"/>
                <w:szCs w:val="18"/>
                <w:lang w:val="fr-FR"/>
              </w:rPr>
              <w:t xml:space="preserve"> PTM</w:t>
            </w:r>
          </w:p>
          <w:p w:rsidR="00A62B85" w:rsidRDefault="00295A15" w:rsidP="006B29FF">
            <w:pPr>
              <w:pStyle w:val="ListParagraph"/>
              <w:numPr>
                <w:ilvl w:val="0"/>
                <w:numId w:val="13"/>
              </w:numPr>
              <w:spacing w:before="40" w:after="40"/>
              <w:ind w:left="250" w:hanging="249"/>
              <w:contextualSpacing w:val="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>
              <w:rPr>
                <w:rFonts w:cs="Arial"/>
                <w:bCs/>
                <w:sz w:val="18"/>
                <w:szCs w:val="18"/>
                <w:lang w:val="fr-FR"/>
              </w:rPr>
              <w:t>Énumérer</w:t>
            </w:r>
            <w:r w:rsidR="00A62B85">
              <w:rPr>
                <w:rFonts w:cs="Arial"/>
                <w:bCs/>
                <w:sz w:val="18"/>
                <w:szCs w:val="18"/>
                <w:lang w:val="fr-FR"/>
              </w:rPr>
              <w:t xml:space="preserve"> les principaux avantages et inconvénients des PTM</w:t>
            </w:r>
          </w:p>
          <w:p w:rsidR="00BA00FE" w:rsidRPr="00A62B85" w:rsidRDefault="00BA00FE" w:rsidP="00A62B85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A62B85" w:rsidRDefault="00295A15" w:rsidP="0098558A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Énumérer</w:t>
            </w:r>
            <w:r w:rsidR="00A62B85">
              <w:rPr>
                <w:rFonts w:cs="Arial"/>
                <w:sz w:val="18"/>
                <w:szCs w:val="18"/>
                <w:lang w:val="fr-FR"/>
              </w:rPr>
              <w:t xml:space="preserve"> les principaux arguments avancés par les différents groupes ou parties prenantes </w:t>
            </w:r>
            <w:r w:rsidR="00980774">
              <w:rPr>
                <w:rFonts w:cs="Arial"/>
                <w:sz w:val="18"/>
                <w:szCs w:val="18"/>
                <w:lang w:val="fr-FR"/>
              </w:rPr>
              <w:t xml:space="preserve">contre </w:t>
            </w:r>
            <w:r w:rsidR="0098558A">
              <w:rPr>
                <w:rFonts w:cs="Arial"/>
                <w:sz w:val="18"/>
                <w:szCs w:val="18"/>
                <w:lang w:val="fr-FR"/>
              </w:rPr>
              <w:t>l</w:t>
            </w:r>
            <w:r w:rsidR="00A62B85">
              <w:rPr>
                <w:rFonts w:cs="Arial"/>
                <w:sz w:val="18"/>
                <w:szCs w:val="18"/>
                <w:lang w:val="fr-FR"/>
              </w:rPr>
              <w:t>es PTM</w:t>
            </w:r>
          </w:p>
          <w:p w:rsidR="00295A15" w:rsidRPr="00FC50C8" w:rsidRDefault="00A62B85" w:rsidP="00FC50C8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Être prêt à défendre les PTM le cas échéant</w:t>
            </w:r>
          </w:p>
          <w:p w:rsidR="00295A15" w:rsidRDefault="00295A15" w:rsidP="00295A15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FC50C8" w:rsidRDefault="00FC50C8" w:rsidP="00295A15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FC50C8" w:rsidRPr="00295A15" w:rsidRDefault="00FC50C8" w:rsidP="00295A15">
            <w:pPr>
              <w:spacing w:before="40" w:after="4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437CC8" w:rsidRDefault="006B13B7" w:rsidP="00AC1DD1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Élaborer une proposition de PTM justifiée de manière détaillée et </w:t>
            </w:r>
            <w:r w:rsidR="00167E74">
              <w:rPr>
                <w:rFonts w:cs="Arial"/>
                <w:sz w:val="18"/>
                <w:szCs w:val="18"/>
                <w:lang w:val="fr-FR"/>
              </w:rPr>
              <w:t xml:space="preserve">proposant des solutions aux préoccupations </w:t>
            </w:r>
            <w:r w:rsidR="00AC1DD1">
              <w:rPr>
                <w:rFonts w:cs="Arial"/>
                <w:sz w:val="18"/>
                <w:szCs w:val="18"/>
                <w:lang w:val="fr-FR"/>
              </w:rPr>
              <w:t>soulev</w:t>
            </w:r>
            <w:r w:rsidR="00295A15">
              <w:rPr>
                <w:rFonts w:cs="Arial"/>
                <w:sz w:val="18"/>
                <w:szCs w:val="18"/>
                <w:lang w:val="fr-FR"/>
              </w:rPr>
              <w:t>ées</w:t>
            </w:r>
          </w:p>
        </w:tc>
      </w:tr>
      <w:tr w:rsidR="00BA00FE" w:rsidRPr="000B5E99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0B5E99" w:rsidRDefault="00BA00FE" w:rsidP="0004590B">
            <w:pPr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  <w:lang w:val="fr-FR"/>
              </w:rPr>
            </w:pPr>
            <w:r w:rsidRPr="000B5E99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FR"/>
              </w:rPr>
              <w:lastRenderedPageBreak/>
              <w:t xml:space="preserve">3. </w:t>
            </w:r>
            <w:r w:rsidR="0004590B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FR"/>
              </w:rPr>
              <w:t>Évaluation</w:t>
            </w:r>
          </w:p>
        </w:tc>
      </w:tr>
      <w:tr w:rsidR="00BA00FE" w:rsidRPr="00A21843" w:rsidTr="009D7A67">
        <w:trPr>
          <w:cantSplit/>
        </w:trPr>
        <w:tc>
          <w:tcPr>
            <w:tcW w:w="1065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A00FE" w:rsidRPr="000B5E99" w:rsidRDefault="00BA00FE" w:rsidP="0004590B">
            <w:pPr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</w:pPr>
            <w:r w:rsidRPr="000B5E99"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  <w:t xml:space="preserve">3.1 </w:t>
            </w:r>
            <w:r w:rsidR="00A3159C" w:rsidRPr="000B5E99"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  <w:tab/>
            </w:r>
            <w:r w:rsidR="0004590B"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  <w:t>Évaluation des besoins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437CC8" w:rsidRPr="002D4E3E" w:rsidRDefault="00437CC8" w:rsidP="002D4E3E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>
              <w:rPr>
                <w:rFonts w:cs="Arial"/>
                <w:bCs/>
                <w:sz w:val="18"/>
                <w:szCs w:val="18"/>
                <w:lang w:val="fr-FR"/>
              </w:rPr>
              <w:t xml:space="preserve">Identifier les conditions préalables et les critères clés permettant de déterminer si </w:t>
            </w:r>
            <w:r w:rsidR="002D4E3E">
              <w:rPr>
                <w:rFonts w:cs="Arial"/>
                <w:bCs/>
                <w:sz w:val="18"/>
                <w:szCs w:val="18"/>
                <w:lang w:val="fr-FR"/>
              </w:rPr>
              <w:t>les transferts monétaires sont</w:t>
            </w:r>
            <w:r w:rsidRPr="002D4E3E">
              <w:rPr>
                <w:rFonts w:cs="Arial"/>
                <w:bCs/>
                <w:sz w:val="18"/>
                <w:szCs w:val="18"/>
                <w:lang w:val="fr-FR"/>
              </w:rPr>
              <w:t xml:space="preserve"> une solution </w:t>
            </w:r>
            <w:r w:rsidR="002D4E3E">
              <w:rPr>
                <w:rFonts w:cs="Arial"/>
                <w:bCs/>
                <w:sz w:val="18"/>
                <w:szCs w:val="18"/>
                <w:lang w:val="fr-FR"/>
              </w:rPr>
              <w:t>appropriée</w:t>
            </w:r>
          </w:p>
          <w:p w:rsidR="00BA00FE" w:rsidRPr="00437CC8" w:rsidRDefault="00437CC8" w:rsidP="002D4E3E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>
              <w:rPr>
                <w:rFonts w:cs="Arial"/>
                <w:bCs/>
                <w:sz w:val="18"/>
                <w:szCs w:val="18"/>
                <w:lang w:val="fr-FR"/>
              </w:rPr>
              <w:t xml:space="preserve">Identifier les principaux </w:t>
            </w:r>
            <w:r w:rsidR="002D4E3E">
              <w:rPr>
                <w:rFonts w:cs="Arial"/>
                <w:bCs/>
                <w:sz w:val="18"/>
                <w:szCs w:val="18"/>
                <w:lang w:val="fr-FR"/>
              </w:rPr>
              <w:t>défis</w:t>
            </w:r>
            <w:r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680050">
              <w:rPr>
                <w:rFonts w:cs="Arial"/>
                <w:bCs/>
                <w:sz w:val="18"/>
                <w:szCs w:val="18"/>
                <w:lang w:val="fr-FR"/>
              </w:rPr>
              <w:t xml:space="preserve">liés aux </w:t>
            </w:r>
            <w:r>
              <w:rPr>
                <w:rFonts w:cs="Arial"/>
                <w:bCs/>
                <w:sz w:val="18"/>
                <w:szCs w:val="18"/>
                <w:lang w:val="fr-FR"/>
              </w:rPr>
              <w:t>évaluation</w:t>
            </w:r>
            <w:r w:rsidR="00680050">
              <w:rPr>
                <w:rFonts w:cs="Arial"/>
                <w:bCs/>
                <w:sz w:val="18"/>
                <w:szCs w:val="18"/>
                <w:lang w:val="fr-FR"/>
              </w:rPr>
              <w:t>s devant être menées</w:t>
            </w:r>
            <w:r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680050">
              <w:rPr>
                <w:rFonts w:cs="Arial"/>
                <w:bCs/>
                <w:sz w:val="18"/>
                <w:szCs w:val="18"/>
                <w:lang w:val="fr-FR"/>
              </w:rPr>
              <w:t xml:space="preserve">dans le cadre des </w:t>
            </w:r>
            <w:r>
              <w:rPr>
                <w:rFonts w:cs="Arial"/>
                <w:bCs/>
                <w:sz w:val="18"/>
                <w:szCs w:val="18"/>
                <w:lang w:val="fr-FR"/>
              </w:rPr>
              <w:t>PTM et connaître les concepts et les termes clés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437CC8" w:rsidRDefault="00437CC8" w:rsidP="002D4E3E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bCs/>
                <w:sz w:val="18"/>
                <w:szCs w:val="18"/>
                <w:lang w:val="fr-FR"/>
              </w:rPr>
            </w:pPr>
            <w:r>
              <w:rPr>
                <w:rFonts w:cs="Arial"/>
                <w:bCs/>
                <w:sz w:val="18"/>
                <w:szCs w:val="18"/>
                <w:lang w:val="fr-FR"/>
              </w:rPr>
              <w:t xml:space="preserve">Identifier les besoins des populations touchées </w:t>
            </w:r>
            <w:r w:rsidR="002D4E3E">
              <w:rPr>
                <w:rFonts w:cs="Arial"/>
                <w:bCs/>
                <w:sz w:val="18"/>
                <w:szCs w:val="18"/>
                <w:lang w:val="fr-FR"/>
              </w:rPr>
              <w:t>à l’aide</w:t>
            </w:r>
            <w:r>
              <w:rPr>
                <w:rFonts w:cs="Arial"/>
                <w:bCs/>
                <w:sz w:val="18"/>
                <w:szCs w:val="18"/>
                <w:lang w:val="fr-FR"/>
              </w:rPr>
              <w:t xml:space="preserve"> d’évaluations et d’analyses</w:t>
            </w:r>
          </w:p>
          <w:p w:rsidR="00437CC8" w:rsidRDefault="00437CC8" w:rsidP="006B29FF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Définir les solutions d’intervention permettant de répondre aux besoins des populations touchées</w:t>
            </w:r>
          </w:p>
          <w:p w:rsidR="00BA00FE" w:rsidRPr="00887055" w:rsidRDefault="00437CC8" w:rsidP="002D4E3E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bCs/>
                <w:sz w:val="18"/>
                <w:szCs w:val="18"/>
                <w:lang w:val="fr-FR"/>
              </w:rPr>
              <w:t>Identifier le</w:t>
            </w:r>
            <w:r w:rsidR="00991FF7">
              <w:rPr>
                <w:rFonts w:cs="Arial"/>
                <w:bCs/>
                <w:sz w:val="18"/>
                <w:szCs w:val="18"/>
                <w:lang w:val="fr-FR"/>
              </w:rPr>
              <w:t xml:space="preserve">s principaux </w:t>
            </w:r>
            <w:r w:rsidR="002D4E3E">
              <w:rPr>
                <w:rFonts w:cs="Arial"/>
                <w:bCs/>
                <w:sz w:val="18"/>
                <w:szCs w:val="18"/>
                <w:lang w:val="fr-FR"/>
              </w:rPr>
              <w:t>défis</w:t>
            </w:r>
            <w:r w:rsidR="00991FF7"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680050">
              <w:rPr>
                <w:rFonts w:cs="Arial"/>
                <w:bCs/>
                <w:sz w:val="18"/>
                <w:szCs w:val="18"/>
                <w:lang w:val="fr-FR"/>
              </w:rPr>
              <w:t xml:space="preserve">liés aux </w:t>
            </w:r>
            <w:r>
              <w:rPr>
                <w:rFonts w:cs="Arial"/>
                <w:bCs/>
                <w:sz w:val="18"/>
                <w:szCs w:val="18"/>
                <w:lang w:val="fr-FR"/>
              </w:rPr>
              <w:t>évaluation</w:t>
            </w:r>
            <w:r w:rsidR="00680050">
              <w:rPr>
                <w:rFonts w:cs="Arial"/>
                <w:bCs/>
                <w:sz w:val="18"/>
                <w:szCs w:val="18"/>
                <w:lang w:val="fr-FR"/>
              </w:rPr>
              <w:t>s devant être menées dans le cadre</w:t>
            </w:r>
            <w:r>
              <w:rPr>
                <w:rFonts w:cs="Arial"/>
                <w:bCs/>
                <w:sz w:val="18"/>
                <w:szCs w:val="18"/>
                <w:lang w:val="fr-FR"/>
              </w:rPr>
              <w:t xml:space="preserve"> </w:t>
            </w:r>
            <w:r w:rsidR="00991FF7">
              <w:rPr>
                <w:rFonts w:cs="Arial"/>
                <w:bCs/>
                <w:sz w:val="18"/>
                <w:szCs w:val="18"/>
                <w:lang w:val="fr-FR"/>
              </w:rPr>
              <w:t>des</w:t>
            </w:r>
            <w:r>
              <w:rPr>
                <w:rFonts w:cs="Arial"/>
                <w:bCs/>
                <w:sz w:val="18"/>
                <w:szCs w:val="18"/>
                <w:lang w:val="fr-FR"/>
              </w:rPr>
              <w:t xml:space="preserve"> PTM dans un contexte spécifique</w:t>
            </w:r>
            <w:r w:rsidR="00991FF7">
              <w:rPr>
                <w:rFonts w:cs="Arial"/>
                <w:bCs/>
                <w:sz w:val="18"/>
                <w:szCs w:val="18"/>
                <w:lang w:val="fr-FR"/>
              </w:rPr>
              <w:t xml:space="preserve"> et mettre en place un processus d’évaluation sur la base de ces éléments</w:t>
            </w:r>
          </w:p>
          <w:p w:rsidR="00887055" w:rsidRPr="00991FF7" w:rsidRDefault="00887055" w:rsidP="00887055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991FF7" w:rsidRDefault="00991FF7" w:rsidP="002D4E3E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Mener un processus d’</w:t>
            </w:r>
            <w:r w:rsidR="00680050">
              <w:rPr>
                <w:rFonts w:cs="Arial"/>
                <w:sz w:val="18"/>
                <w:szCs w:val="18"/>
                <w:lang w:val="fr-FR"/>
              </w:rPr>
              <w:t>évaluation</w:t>
            </w:r>
            <w:r w:rsidR="009731B4">
              <w:rPr>
                <w:rFonts w:cs="Arial"/>
                <w:sz w:val="18"/>
                <w:szCs w:val="18"/>
                <w:lang w:val="fr-FR"/>
              </w:rPr>
              <w:t xml:space="preserve">, en </w:t>
            </w:r>
            <w:r w:rsidR="002D4E3E">
              <w:rPr>
                <w:rFonts w:cs="Arial"/>
                <w:sz w:val="18"/>
                <w:szCs w:val="18"/>
                <w:lang w:val="fr-FR"/>
              </w:rPr>
              <w:t>veillant à</w:t>
            </w:r>
            <w:r w:rsidR="00680050">
              <w:rPr>
                <w:rFonts w:cs="Arial"/>
                <w:sz w:val="18"/>
                <w:szCs w:val="18"/>
                <w:lang w:val="fr-FR"/>
              </w:rPr>
              <w:t xml:space="preserve"> préparer et </w:t>
            </w:r>
            <w:r w:rsidR="002D4E3E">
              <w:rPr>
                <w:rFonts w:cs="Arial"/>
                <w:sz w:val="18"/>
                <w:szCs w:val="18"/>
                <w:lang w:val="fr-FR"/>
              </w:rPr>
              <w:t>à</w:t>
            </w:r>
            <w:r w:rsidR="00680050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>planifi</w:t>
            </w:r>
            <w:r w:rsidR="00680050">
              <w:rPr>
                <w:rFonts w:cs="Arial"/>
                <w:sz w:val="18"/>
                <w:szCs w:val="18"/>
                <w:lang w:val="fr-FR"/>
              </w:rPr>
              <w:t xml:space="preserve">er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une évaluation et </w:t>
            </w:r>
            <w:r w:rsidR="002D4E3E">
              <w:rPr>
                <w:rFonts w:cs="Arial"/>
                <w:sz w:val="18"/>
                <w:szCs w:val="18"/>
                <w:lang w:val="fr-FR"/>
              </w:rPr>
              <w:t xml:space="preserve">à </w:t>
            </w:r>
            <w:r>
              <w:rPr>
                <w:rFonts w:cs="Arial"/>
                <w:sz w:val="18"/>
                <w:szCs w:val="18"/>
                <w:lang w:val="fr-FR"/>
              </w:rPr>
              <w:t>élabor</w:t>
            </w:r>
            <w:r w:rsidR="009731B4">
              <w:rPr>
                <w:rFonts w:cs="Arial"/>
                <w:sz w:val="18"/>
                <w:szCs w:val="18"/>
                <w:lang w:val="fr-FR"/>
              </w:rPr>
              <w:t xml:space="preserve">er </w:t>
            </w:r>
            <w:r>
              <w:rPr>
                <w:rFonts w:cs="Arial"/>
                <w:sz w:val="18"/>
                <w:szCs w:val="18"/>
                <w:lang w:val="fr-FR"/>
              </w:rPr>
              <w:t>un questionnaire</w:t>
            </w:r>
          </w:p>
          <w:p w:rsidR="00BA00FE" w:rsidRPr="00991FF7" w:rsidRDefault="00991FF7" w:rsidP="009731B4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Fournir un rapport d’évaluation </w:t>
            </w:r>
            <w:r w:rsidR="009731B4">
              <w:rPr>
                <w:rFonts w:cs="Arial"/>
                <w:sz w:val="18"/>
                <w:szCs w:val="18"/>
                <w:lang w:val="fr-FR"/>
              </w:rPr>
              <w:t>afin d’</w:t>
            </w:r>
            <w:r>
              <w:rPr>
                <w:rFonts w:cs="Arial"/>
                <w:sz w:val="18"/>
                <w:szCs w:val="18"/>
                <w:lang w:val="fr-FR"/>
              </w:rPr>
              <w:t>orienter l’analyse des solutions d’intervention</w:t>
            </w:r>
          </w:p>
        </w:tc>
      </w:tr>
      <w:tr w:rsidR="00BA00FE" w:rsidRPr="00A21843" w:rsidTr="009D7A67">
        <w:trPr>
          <w:cantSplit/>
        </w:trPr>
        <w:tc>
          <w:tcPr>
            <w:tcW w:w="1065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A00FE" w:rsidRPr="000B5E99" w:rsidRDefault="00BA00FE" w:rsidP="0004590B">
            <w:pPr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</w:pPr>
            <w:r w:rsidRPr="000B5E99"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  <w:t xml:space="preserve">3.2 </w:t>
            </w:r>
            <w:r w:rsidR="00A3159C" w:rsidRPr="000B5E99"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  <w:tab/>
            </w:r>
            <w:r w:rsidR="0004590B"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  <w:t>Évaluation des marchés</w:t>
            </w:r>
            <w:r w:rsidRPr="000B5E99"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  <w:t xml:space="preserve">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FB2539" w:rsidRDefault="003C4F3C" w:rsidP="002D4E3E">
            <w:pPr>
              <w:pStyle w:val="ListParagraph"/>
              <w:numPr>
                <w:ilvl w:val="0"/>
                <w:numId w:val="4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Identifier </w:t>
            </w:r>
            <w:r w:rsidR="00FB2539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les </w:t>
            </w:r>
            <w:r w:rsidR="00C46D73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marchés locaux et les produits de base </w:t>
            </w:r>
            <w:r w:rsidR="002D4E3E">
              <w:rPr>
                <w:rFonts w:eastAsia="Times New Roman" w:cs="Arial"/>
                <w:sz w:val="18"/>
                <w:szCs w:val="18"/>
                <w:lang w:val="fr-FR" w:eastAsia="en-GB"/>
              </w:rPr>
              <w:t>qui peuvent être utilisés</w:t>
            </w:r>
            <w:r w:rsidR="00C46D73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</w:t>
            </w:r>
            <w:r w:rsidR="00AB357A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pour </w:t>
            </w:r>
            <w:r w:rsidR="00C46D73">
              <w:rPr>
                <w:rFonts w:eastAsia="Times New Roman" w:cs="Arial"/>
                <w:sz w:val="18"/>
                <w:szCs w:val="18"/>
                <w:lang w:val="fr-FR" w:eastAsia="en-GB"/>
              </w:rPr>
              <w:t>collecte</w:t>
            </w:r>
            <w:r w:rsidR="002D4E3E">
              <w:rPr>
                <w:rFonts w:eastAsia="Times New Roman" w:cs="Arial"/>
                <w:sz w:val="18"/>
                <w:szCs w:val="18"/>
                <w:lang w:val="fr-FR" w:eastAsia="en-GB"/>
              </w:rPr>
              <w:t>r</w:t>
            </w:r>
            <w:r w:rsidR="00C46D73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de</w:t>
            </w:r>
            <w:r w:rsidR="002D4E3E">
              <w:rPr>
                <w:rFonts w:eastAsia="Times New Roman" w:cs="Arial"/>
                <w:sz w:val="18"/>
                <w:szCs w:val="18"/>
                <w:lang w:val="fr-FR" w:eastAsia="en-GB"/>
              </w:rPr>
              <w:t>s</w:t>
            </w:r>
            <w:r w:rsidR="00C46D73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données sur la disponibilité et les prix</w:t>
            </w:r>
          </w:p>
          <w:p w:rsidR="00BA00FE" w:rsidRPr="000B5E99" w:rsidRDefault="00C46D73" w:rsidP="006B29FF">
            <w:pPr>
              <w:pStyle w:val="ListParagraph"/>
              <w:numPr>
                <w:ilvl w:val="0"/>
                <w:numId w:val="4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Élabore</w:t>
            </w:r>
            <w:r w:rsidR="009731B4">
              <w:rPr>
                <w:rFonts w:eastAsia="Times New Roman" w:cs="Arial"/>
                <w:sz w:val="18"/>
                <w:szCs w:val="18"/>
                <w:lang w:val="fr-FR" w:eastAsia="en-GB"/>
              </w:rPr>
              <w:t>r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un questionnaire simple p</w:t>
            </w:r>
            <w:r w:rsidR="009731B4">
              <w:rPr>
                <w:rFonts w:eastAsia="Times New Roman" w:cs="Arial"/>
                <w:sz w:val="18"/>
                <w:szCs w:val="18"/>
                <w:lang w:val="fr-FR" w:eastAsia="en-GB"/>
              </w:rPr>
              <w:t>ermettant de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collecter des données sur les prix</w:t>
            </w:r>
          </w:p>
          <w:p w:rsidR="00BA00FE" w:rsidRPr="00C46D73" w:rsidRDefault="00BA00FE" w:rsidP="00C46D73">
            <w:pPr>
              <w:spacing w:before="40" w:after="4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C46D73" w:rsidRDefault="002D4E3E" w:rsidP="002D4E3E">
            <w:pPr>
              <w:pStyle w:val="ListParagraph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Savoir quels sont</w:t>
            </w:r>
            <w:r w:rsidR="003C4F3C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</w:t>
            </w:r>
            <w:r w:rsidR="00C46D73">
              <w:rPr>
                <w:rFonts w:eastAsia="Times New Roman" w:cs="Arial"/>
                <w:sz w:val="18"/>
                <w:szCs w:val="18"/>
                <w:lang w:val="fr-FR" w:eastAsia="en-GB"/>
              </w:rPr>
              <w:t>les p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rincipaux systèmes de marché, les </w:t>
            </w:r>
            <w:r w:rsidR="00C46D73">
              <w:rPr>
                <w:rFonts w:eastAsia="Times New Roman" w:cs="Arial"/>
                <w:sz w:val="18"/>
                <w:szCs w:val="18"/>
                <w:lang w:val="fr-FR" w:eastAsia="en-GB"/>
              </w:rPr>
              <w:t>accès p</w:t>
            </w:r>
            <w:r w:rsidR="00EF6795">
              <w:rPr>
                <w:rFonts w:eastAsia="Times New Roman" w:cs="Arial"/>
                <w:sz w:val="18"/>
                <w:szCs w:val="18"/>
                <w:lang w:val="fr-FR" w:eastAsia="en-GB"/>
              </w:rPr>
              <w:t>hysique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s</w:t>
            </w:r>
            <w:r w:rsidR="00EF6795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aux marchés et les infor</w:t>
            </w:r>
            <w:r w:rsidR="00C46D73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mations 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à</w:t>
            </w:r>
            <w:r w:rsidR="00C46D73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collect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er pour connaître</w:t>
            </w:r>
            <w:r w:rsidR="00C46D73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l’utilisation 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que les ménages font des marchés</w:t>
            </w:r>
          </w:p>
          <w:p w:rsidR="00BA00FE" w:rsidRPr="000B5E99" w:rsidRDefault="00C46D73" w:rsidP="006B29FF">
            <w:pPr>
              <w:pStyle w:val="ListParagraph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Él</w:t>
            </w:r>
            <w:r w:rsidR="009731B4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aborer un questionnaire permettant de 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collecter des données sur les prix </w:t>
            </w:r>
            <w:r w:rsidR="009731B4">
              <w:rPr>
                <w:rFonts w:eastAsia="Times New Roman" w:cs="Arial"/>
                <w:sz w:val="18"/>
                <w:szCs w:val="18"/>
                <w:lang w:val="fr-FR" w:eastAsia="en-GB"/>
              </w:rPr>
              <w:t>ainsi que d’autres informations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</w:t>
            </w:r>
            <w:r w:rsidR="009731B4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relatives 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aux marchés</w:t>
            </w:r>
          </w:p>
          <w:p w:rsidR="00BA00FE" w:rsidRPr="000B5E99" w:rsidRDefault="002D4E3E" w:rsidP="006B29FF">
            <w:pPr>
              <w:pStyle w:val="ListParagraph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Consolid</w:t>
            </w:r>
            <w:r w:rsidR="00C46D73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er les </w:t>
            </w:r>
            <w:r w:rsidR="009731B4">
              <w:rPr>
                <w:rFonts w:eastAsia="Times New Roman" w:cs="Arial"/>
                <w:sz w:val="18"/>
                <w:szCs w:val="18"/>
                <w:lang w:val="fr-FR" w:eastAsia="en-GB"/>
              </w:rPr>
              <w:t>informations</w:t>
            </w:r>
            <w:r w:rsidR="00C46D73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issues des questionnaires</w:t>
            </w:r>
          </w:p>
          <w:p w:rsidR="00BA00FE" w:rsidRDefault="00EF6795" w:rsidP="009731B4">
            <w:pPr>
              <w:pStyle w:val="ListParagraph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Contribuer à l’établissement d’un rapport sur l’évaluation des marchés, </w:t>
            </w:r>
            <w:r w:rsidR="009731B4">
              <w:rPr>
                <w:rFonts w:eastAsia="Times New Roman" w:cs="Arial"/>
                <w:sz w:val="18"/>
                <w:szCs w:val="18"/>
                <w:lang w:val="fr-FR" w:eastAsia="en-GB"/>
              </w:rPr>
              <w:t>inclu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ant des conclusions claires et des recommandations pertinentes</w:t>
            </w:r>
          </w:p>
          <w:p w:rsidR="00887055" w:rsidRDefault="00887055" w:rsidP="00887055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</w:p>
          <w:p w:rsidR="00887055" w:rsidRDefault="00887055" w:rsidP="00887055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</w:p>
          <w:p w:rsidR="00887055" w:rsidRDefault="00887055" w:rsidP="00887055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</w:p>
          <w:p w:rsidR="00887055" w:rsidRDefault="00887055" w:rsidP="00887055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</w:p>
          <w:p w:rsidR="00887055" w:rsidRDefault="00887055" w:rsidP="00887055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</w:p>
          <w:p w:rsidR="00887055" w:rsidRDefault="00887055" w:rsidP="00887055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</w:p>
          <w:p w:rsidR="00887055" w:rsidRDefault="00887055" w:rsidP="00887055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</w:p>
          <w:p w:rsidR="00887055" w:rsidRDefault="00887055" w:rsidP="00887055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</w:p>
          <w:p w:rsidR="00887055" w:rsidRDefault="00887055" w:rsidP="00887055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</w:p>
          <w:p w:rsidR="00887055" w:rsidRDefault="00887055" w:rsidP="00887055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</w:p>
          <w:p w:rsidR="00887055" w:rsidRPr="00EF6795" w:rsidRDefault="00887055" w:rsidP="00887055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EF6795" w:rsidRDefault="00EF6795" w:rsidP="006B29FF">
            <w:pPr>
              <w:pStyle w:val="ListParagraph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Établir un rapport sur l’évaluation des marchés, </w:t>
            </w:r>
            <w:r w:rsidR="00A87FF3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incluant 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des conclusions claires et des recommandations pertinentes</w:t>
            </w:r>
            <w:r w:rsidRPr="000B5E99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</w:t>
            </w:r>
          </w:p>
          <w:p w:rsidR="00EF6795" w:rsidRDefault="002C3AC4" w:rsidP="002D4E3E">
            <w:pPr>
              <w:pStyle w:val="ListParagraph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Superviser</w:t>
            </w:r>
            <w:r w:rsidR="00A87FF3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</w:t>
            </w:r>
            <w:r w:rsidR="002D4E3E">
              <w:rPr>
                <w:rFonts w:eastAsia="Times New Roman" w:cs="Arial"/>
                <w:sz w:val="18"/>
                <w:szCs w:val="18"/>
                <w:lang w:val="fr-FR" w:eastAsia="en-GB"/>
              </w:rPr>
              <w:t>le processus d</w:t>
            </w:r>
            <w:r w:rsidR="00A87FF3">
              <w:rPr>
                <w:rFonts w:eastAsia="Times New Roman" w:cs="Arial"/>
                <w:sz w:val="18"/>
                <w:szCs w:val="18"/>
                <w:lang w:val="fr-FR" w:eastAsia="en-GB"/>
              </w:rPr>
              <w:t>’</w:t>
            </w:r>
            <w:r w:rsidR="00EF6795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évaluation </w:t>
            </w:r>
            <w:r w:rsidR="002D4E3E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et d’analyse </w:t>
            </w:r>
            <w:r w:rsidR="00EF6795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des </w:t>
            </w:r>
            <w:r w:rsidR="002D4E3E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marchés, ainsi que </w:t>
            </w:r>
            <w:r w:rsidR="006628B2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l’équipe en charge </w:t>
            </w:r>
            <w:r w:rsidR="002D4E3E">
              <w:rPr>
                <w:rFonts w:eastAsia="Times New Roman" w:cs="Arial"/>
                <w:sz w:val="18"/>
                <w:szCs w:val="18"/>
                <w:lang w:val="fr-FR" w:eastAsia="en-GB"/>
              </w:rPr>
              <w:t>de ce processus</w:t>
            </w:r>
          </w:p>
          <w:p w:rsidR="00BA00FE" w:rsidRPr="006628B2" w:rsidRDefault="006628B2" w:rsidP="002D4E3E">
            <w:pPr>
              <w:pStyle w:val="ListParagraph"/>
              <w:numPr>
                <w:ilvl w:val="0"/>
                <w:numId w:val="3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Analyser les données issues de l’évaluation des marchés afin de formuler des conclusions et des recommandations puis communiquer </w:t>
            </w:r>
            <w:r w:rsidR="002D4E3E">
              <w:rPr>
                <w:rFonts w:eastAsia="Times New Roman" w:cs="Arial"/>
                <w:sz w:val="18"/>
                <w:szCs w:val="18"/>
                <w:lang w:val="fr-FR" w:eastAsia="en-GB"/>
              </w:rPr>
              <w:t>les résultats</w:t>
            </w:r>
          </w:p>
        </w:tc>
      </w:tr>
      <w:tr w:rsidR="00BA00FE" w:rsidRPr="000B5E99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0B5E99" w:rsidRDefault="00BA00FE" w:rsidP="0004590B">
            <w:pPr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  <w:lang w:val="fr-FR"/>
              </w:rPr>
            </w:pPr>
            <w:r w:rsidRPr="000B5E99">
              <w:rPr>
                <w:rFonts w:cs="Arial"/>
                <w:b/>
                <w:color w:val="FFFFFF" w:themeColor="background1"/>
                <w:sz w:val="18"/>
                <w:szCs w:val="18"/>
                <w:lang w:val="fr-FR"/>
              </w:rPr>
              <w:t xml:space="preserve">4. </w:t>
            </w:r>
            <w:r w:rsidR="0004590B">
              <w:rPr>
                <w:rFonts w:cs="Arial"/>
                <w:b/>
                <w:color w:val="FFFFFF" w:themeColor="background1"/>
                <w:sz w:val="18"/>
                <w:szCs w:val="18"/>
                <w:lang w:val="fr-FR"/>
              </w:rPr>
              <w:t>Analyse des solutions d’intervention</w:t>
            </w:r>
          </w:p>
        </w:tc>
      </w:tr>
      <w:tr w:rsidR="00BA00FE" w:rsidRPr="00A21843" w:rsidTr="009D7A67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:rsidR="00BA00FE" w:rsidRPr="000B5E99" w:rsidRDefault="00BA00FE" w:rsidP="0004590B">
            <w:pPr>
              <w:spacing w:before="40" w:after="40"/>
              <w:ind w:left="357" w:hanging="357"/>
              <w:jc w:val="left"/>
              <w:rPr>
                <w:rFonts w:cs="Arial"/>
                <w:b/>
                <w:sz w:val="18"/>
                <w:szCs w:val="18"/>
                <w:lang w:val="fr-FR"/>
              </w:rPr>
            </w:pPr>
            <w:r w:rsidRPr="000B5E99">
              <w:rPr>
                <w:rFonts w:cs="Arial"/>
                <w:b/>
                <w:sz w:val="18"/>
                <w:szCs w:val="18"/>
                <w:lang w:val="fr-FR"/>
              </w:rPr>
              <w:t xml:space="preserve">4.1 </w:t>
            </w:r>
            <w:r w:rsidR="00A3159C" w:rsidRPr="000B5E99">
              <w:rPr>
                <w:rFonts w:cs="Arial"/>
                <w:b/>
                <w:sz w:val="18"/>
                <w:szCs w:val="18"/>
                <w:lang w:val="fr-FR"/>
              </w:rPr>
              <w:tab/>
            </w:r>
            <w:r w:rsidR="0004590B">
              <w:rPr>
                <w:rFonts w:cs="Arial"/>
                <w:b/>
                <w:sz w:val="18"/>
                <w:szCs w:val="18"/>
                <w:lang w:val="fr-FR"/>
              </w:rPr>
              <w:t>Sélection des modalités et des mécanismes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6628B2" w:rsidRDefault="0099616E" w:rsidP="0099616E">
            <w:pPr>
              <w:pStyle w:val="ListParagraph"/>
              <w:numPr>
                <w:ilvl w:val="0"/>
                <w:numId w:val="19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Connaître</w:t>
            </w:r>
            <w:r w:rsidR="006628B2">
              <w:rPr>
                <w:rFonts w:cs="Arial"/>
                <w:sz w:val="18"/>
                <w:szCs w:val="18"/>
                <w:lang w:val="fr-FR"/>
              </w:rPr>
              <w:t xml:space="preserve"> les modalités et les mécanismes de distribution possibles, ainsi que les étapes </w:t>
            </w:r>
            <w:r w:rsidR="003C4F3C">
              <w:rPr>
                <w:rFonts w:cs="Arial"/>
                <w:sz w:val="18"/>
                <w:szCs w:val="18"/>
                <w:lang w:val="fr-FR"/>
              </w:rPr>
              <w:t>nécessaires pour</w:t>
            </w:r>
            <w:r w:rsidR="006628B2">
              <w:rPr>
                <w:rFonts w:cs="Arial"/>
                <w:sz w:val="18"/>
                <w:szCs w:val="18"/>
                <w:lang w:val="fr-FR"/>
              </w:rPr>
              <w:t xml:space="preserve"> sélectionner les modalités et les mécanismes </w:t>
            </w:r>
            <w:r w:rsidR="00D7313E">
              <w:rPr>
                <w:rFonts w:cs="Arial"/>
                <w:sz w:val="18"/>
                <w:szCs w:val="18"/>
                <w:lang w:val="fr-FR"/>
              </w:rPr>
              <w:t>permettant d’</w:t>
            </w:r>
            <w:r w:rsidR="006628B2">
              <w:rPr>
                <w:rFonts w:cs="Arial"/>
                <w:sz w:val="18"/>
                <w:szCs w:val="18"/>
                <w:lang w:val="fr-FR"/>
              </w:rPr>
              <w:t>atteindre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au mieux</w:t>
            </w:r>
            <w:r w:rsidR="006628B2">
              <w:rPr>
                <w:rFonts w:cs="Arial"/>
                <w:sz w:val="18"/>
                <w:szCs w:val="18"/>
                <w:lang w:val="fr-FR"/>
              </w:rPr>
              <w:t xml:space="preserve"> les objectifs </w:t>
            </w:r>
            <w:r w:rsidR="00D7313E">
              <w:rPr>
                <w:rFonts w:cs="Arial"/>
                <w:sz w:val="18"/>
                <w:szCs w:val="18"/>
                <w:lang w:val="fr-FR"/>
              </w:rPr>
              <w:t>de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l’opération</w:t>
            </w:r>
            <w:r w:rsidR="006628B2">
              <w:rPr>
                <w:rFonts w:cs="Arial"/>
                <w:sz w:val="18"/>
                <w:szCs w:val="18"/>
                <w:lang w:val="fr-FR"/>
              </w:rPr>
              <w:t xml:space="preserve"> d’urgence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0B352E" w:rsidRDefault="006628B2" w:rsidP="0099616E">
            <w:pPr>
              <w:pStyle w:val="ListParagraph"/>
              <w:numPr>
                <w:ilvl w:val="0"/>
                <w:numId w:val="19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Participer à la sélection des modalités et de</w:t>
            </w:r>
            <w:r w:rsidR="000B352E">
              <w:rPr>
                <w:rFonts w:cs="Arial"/>
                <w:sz w:val="18"/>
                <w:szCs w:val="18"/>
                <w:lang w:val="fr-FR"/>
              </w:rPr>
              <w:t xml:space="preserve">s mécanismes de distribution, </w:t>
            </w:r>
            <w:r w:rsidR="0099616E">
              <w:rPr>
                <w:rFonts w:cs="Arial"/>
                <w:sz w:val="18"/>
                <w:szCs w:val="18"/>
                <w:lang w:val="fr-FR"/>
              </w:rPr>
              <w:t>qui</w:t>
            </w:r>
            <w:r w:rsidR="000B352E">
              <w:rPr>
                <w:rFonts w:cs="Arial"/>
                <w:sz w:val="18"/>
                <w:szCs w:val="18"/>
                <w:lang w:val="fr-FR"/>
              </w:rPr>
              <w:t xml:space="preserve"> consi</w:t>
            </w:r>
            <w:r w:rsidR="0099616E">
              <w:rPr>
                <w:rFonts w:cs="Arial"/>
                <w:sz w:val="18"/>
                <w:szCs w:val="18"/>
                <w:lang w:val="fr-FR"/>
              </w:rPr>
              <w:t>ste notamment à déterminer si</w:t>
            </w:r>
            <w:r w:rsidR="000B352E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99616E">
              <w:rPr>
                <w:rFonts w:cs="Arial"/>
                <w:sz w:val="18"/>
                <w:szCs w:val="18"/>
                <w:lang w:val="fr-FR"/>
              </w:rPr>
              <w:t>les transferts monétaires sont</w:t>
            </w:r>
            <w:r w:rsidR="000B352E">
              <w:rPr>
                <w:rFonts w:cs="Arial"/>
                <w:sz w:val="18"/>
                <w:szCs w:val="18"/>
                <w:lang w:val="fr-FR"/>
              </w:rPr>
              <w:t xml:space="preserve"> une solution </w:t>
            </w:r>
            <w:r w:rsidR="0099616E">
              <w:rPr>
                <w:rFonts w:cs="Arial"/>
                <w:sz w:val="18"/>
                <w:szCs w:val="18"/>
                <w:lang w:val="fr-FR"/>
              </w:rPr>
              <w:t>appropriée</w:t>
            </w:r>
            <w:r w:rsidR="000B352E">
              <w:rPr>
                <w:rFonts w:cs="Arial"/>
                <w:sz w:val="18"/>
                <w:szCs w:val="18"/>
                <w:lang w:val="fr-FR"/>
              </w:rPr>
              <w:t xml:space="preserve">, à </w:t>
            </w:r>
            <w:r w:rsidR="00F67E4E">
              <w:rPr>
                <w:rFonts w:cs="Arial"/>
                <w:sz w:val="18"/>
                <w:szCs w:val="18"/>
                <w:lang w:val="fr-FR"/>
              </w:rPr>
              <w:t>évaluer</w:t>
            </w:r>
            <w:r w:rsidR="000B352E">
              <w:rPr>
                <w:rFonts w:cs="Arial"/>
                <w:sz w:val="18"/>
                <w:szCs w:val="18"/>
                <w:lang w:val="fr-FR"/>
              </w:rPr>
              <w:t xml:space="preserve"> les avantages et les inconvénients des modalités et des mécanismes et à remplir l’outil </w:t>
            </w:r>
            <w:r w:rsidR="002C3AC4">
              <w:rPr>
                <w:rFonts w:cs="Arial"/>
                <w:sz w:val="18"/>
                <w:szCs w:val="18"/>
                <w:lang w:val="fr-FR"/>
              </w:rPr>
              <w:t>visant à faciliter</w:t>
            </w:r>
            <w:r w:rsidR="000B352E">
              <w:rPr>
                <w:rFonts w:cs="Arial"/>
                <w:sz w:val="18"/>
                <w:szCs w:val="18"/>
                <w:lang w:val="fr-FR"/>
              </w:rPr>
              <w:t xml:space="preserve"> la prise de décisions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0B352E" w:rsidRDefault="002C3AC4" w:rsidP="0099616E">
            <w:pPr>
              <w:pStyle w:val="ListParagraph"/>
              <w:numPr>
                <w:ilvl w:val="0"/>
                <w:numId w:val="19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Supervise</w:t>
            </w:r>
            <w:r w:rsidR="000B352E">
              <w:rPr>
                <w:rFonts w:cs="Arial"/>
                <w:sz w:val="18"/>
                <w:szCs w:val="18"/>
                <w:lang w:val="fr-FR"/>
              </w:rPr>
              <w:t xml:space="preserve">r l’analyse des solutions d’intervention et la sélection des modalités et des mécanismes de distribution, </w:t>
            </w:r>
            <w:r w:rsidR="0099616E">
              <w:rPr>
                <w:rFonts w:cs="Arial"/>
                <w:sz w:val="18"/>
                <w:szCs w:val="18"/>
                <w:lang w:val="fr-FR"/>
              </w:rPr>
              <w:t>qui</w:t>
            </w:r>
            <w:r w:rsidR="000B352E">
              <w:rPr>
                <w:rFonts w:cs="Arial"/>
                <w:sz w:val="18"/>
                <w:szCs w:val="18"/>
                <w:lang w:val="fr-FR"/>
              </w:rPr>
              <w:t xml:space="preserve"> consiste notamment à déterminer si </w:t>
            </w:r>
            <w:r w:rsidR="0099616E" w:rsidRPr="0099616E">
              <w:rPr>
                <w:rFonts w:cs="Arial"/>
                <w:sz w:val="18"/>
                <w:szCs w:val="18"/>
                <w:lang w:val="fr-FR"/>
              </w:rPr>
              <w:t xml:space="preserve">les transferts monétaires sont une solution appropriée </w:t>
            </w:r>
            <w:r w:rsidR="000B352E">
              <w:rPr>
                <w:rFonts w:cs="Arial"/>
                <w:sz w:val="18"/>
                <w:szCs w:val="18"/>
                <w:lang w:val="fr-FR"/>
              </w:rPr>
              <w:t xml:space="preserve">et à </w:t>
            </w:r>
            <w:r>
              <w:rPr>
                <w:rFonts w:cs="Arial"/>
                <w:sz w:val="18"/>
                <w:szCs w:val="18"/>
                <w:lang w:val="fr-FR"/>
              </w:rPr>
              <w:t>évaluer</w:t>
            </w:r>
            <w:r w:rsidR="000B352E">
              <w:rPr>
                <w:rFonts w:cs="Arial"/>
                <w:sz w:val="18"/>
                <w:szCs w:val="18"/>
                <w:lang w:val="fr-FR"/>
              </w:rPr>
              <w:t xml:space="preserve"> les avantages et les inconvénients des modalités et des mécanismes</w:t>
            </w:r>
          </w:p>
          <w:p w:rsidR="00BA00FE" w:rsidRPr="000B352E" w:rsidRDefault="000B352E" w:rsidP="0099616E">
            <w:pPr>
              <w:pStyle w:val="ListParagraph"/>
              <w:numPr>
                <w:ilvl w:val="0"/>
                <w:numId w:val="19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Documenter et justifier le processus et les décisions prises et communiquer/présenter </w:t>
            </w:r>
            <w:r w:rsidR="0099616E">
              <w:rPr>
                <w:rFonts w:cs="Arial"/>
                <w:sz w:val="18"/>
                <w:szCs w:val="18"/>
                <w:lang w:val="fr-FR"/>
              </w:rPr>
              <w:t>les résultats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aux parties prenantes clés</w:t>
            </w:r>
          </w:p>
        </w:tc>
      </w:tr>
      <w:tr w:rsidR="00BA00FE" w:rsidRPr="00A21843" w:rsidTr="009D7A67">
        <w:trPr>
          <w:cantSplit/>
        </w:trPr>
        <w:tc>
          <w:tcPr>
            <w:tcW w:w="1065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A00FE" w:rsidRPr="000B5E99" w:rsidRDefault="00BA00FE" w:rsidP="0004590B">
            <w:pPr>
              <w:spacing w:before="40" w:after="40"/>
              <w:ind w:left="357" w:hanging="357"/>
              <w:jc w:val="left"/>
              <w:rPr>
                <w:rFonts w:cs="Arial"/>
                <w:b/>
                <w:sz w:val="18"/>
                <w:szCs w:val="18"/>
                <w:lang w:val="fr-FR"/>
              </w:rPr>
            </w:pPr>
            <w:r w:rsidRPr="000B5E99">
              <w:rPr>
                <w:rFonts w:cs="Arial"/>
                <w:b/>
                <w:sz w:val="18"/>
                <w:szCs w:val="18"/>
                <w:lang w:val="fr-FR"/>
              </w:rPr>
              <w:t>4.2</w:t>
            </w:r>
            <w:r w:rsidR="003C4F3C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="0004590B">
              <w:rPr>
                <w:rFonts w:cs="Arial"/>
                <w:b/>
                <w:sz w:val="18"/>
                <w:szCs w:val="18"/>
                <w:lang w:val="fr-FR"/>
              </w:rPr>
              <w:t>Montant des transferts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6628B2" w:rsidRDefault="006628B2" w:rsidP="006628B2">
            <w:pPr>
              <w:pStyle w:val="ListParagraph"/>
              <w:numPr>
                <w:ilvl w:val="0"/>
                <w:numId w:val="2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Posséder des connaissances générales sur la façon de calculer le montant des transferts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6628B2" w:rsidRDefault="006628B2" w:rsidP="006628B2">
            <w:pPr>
              <w:pStyle w:val="ListParagraph"/>
              <w:numPr>
                <w:ilvl w:val="0"/>
                <w:numId w:val="2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Participer au processus de calcul du montant des transferts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0B352E" w:rsidRDefault="000B352E" w:rsidP="0099616E">
            <w:pPr>
              <w:pStyle w:val="ListParagraph"/>
              <w:numPr>
                <w:ilvl w:val="0"/>
                <w:numId w:val="2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Définir le montant des transferts sur la base de l’ensemble des critères </w:t>
            </w:r>
            <w:r w:rsidR="0099616E">
              <w:rPr>
                <w:rFonts w:cs="Arial"/>
                <w:sz w:val="18"/>
                <w:szCs w:val="18"/>
                <w:lang w:val="fr-FR"/>
              </w:rPr>
              <w:t>convenus</w:t>
            </w:r>
          </w:p>
          <w:p w:rsidR="00BA00FE" w:rsidRPr="000B352E" w:rsidRDefault="000B352E" w:rsidP="000B352E">
            <w:pPr>
              <w:pStyle w:val="ListParagraph"/>
              <w:numPr>
                <w:ilvl w:val="0"/>
                <w:numId w:val="2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Documenter, justifier, examiner et actualiser le montant des tr</w:t>
            </w:r>
            <w:r w:rsidR="00C605B0">
              <w:rPr>
                <w:rFonts w:cs="Arial"/>
                <w:sz w:val="18"/>
                <w:szCs w:val="18"/>
                <w:lang w:val="fr-FR"/>
              </w:rPr>
              <w:t xml:space="preserve">ansferts, en coordination avec les </w:t>
            </w:r>
            <w:r>
              <w:rPr>
                <w:rFonts w:cs="Arial"/>
                <w:sz w:val="18"/>
                <w:szCs w:val="18"/>
                <w:lang w:val="fr-FR"/>
              </w:rPr>
              <w:t>autres parties prenantes</w:t>
            </w:r>
          </w:p>
        </w:tc>
      </w:tr>
      <w:tr w:rsidR="00BA00FE" w:rsidRPr="00A21843" w:rsidTr="009D7A67">
        <w:trPr>
          <w:cantSplit/>
          <w:trHeight w:val="2411"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BA00FE" w:rsidRPr="000B5E99" w:rsidRDefault="00BA00FE" w:rsidP="0099616E">
            <w:pPr>
              <w:spacing w:before="40" w:after="40"/>
              <w:ind w:left="357" w:hanging="357"/>
              <w:jc w:val="left"/>
              <w:rPr>
                <w:rFonts w:cs="Arial"/>
                <w:b/>
                <w:sz w:val="18"/>
                <w:szCs w:val="18"/>
                <w:lang w:val="fr-FR"/>
              </w:rPr>
            </w:pPr>
            <w:r w:rsidRPr="000B5E99">
              <w:rPr>
                <w:rFonts w:cs="Arial"/>
                <w:b/>
                <w:sz w:val="18"/>
                <w:szCs w:val="18"/>
                <w:lang w:val="fr-FR"/>
              </w:rPr>
              <w:t xml:space="preserve">4.3 </w:t>
            </w:r>
            <w:r w:rsidR="00A3159C" w:rsidRPr="000B5E99">
              <w:rPr>
                <w:rFonts w:cs="Arial"/>
                <w:b/>
                <w:sz w:val="18"/>
                <w:szCs w:val="18"/>
                <w:lang w:val="fr-FR"/>
              </w:rPr>
              <w:tab/>
            </w:r>
            <w:r w:rsidR="0004590B">
              <w:rPr>
                <w:rFonts w:cs="Arial"/>
                <w:b/>
                <w:sz w:val="18"/>
                <w:szCs w:val="18"/>
                <w:lang w:val="fr-FR"/>
              </w:rPr>
              <w:t xml:space="preserve">Vulnérabilité et </w:t>
            </w:r>
            <w:r w:rsidR="0099616E">
              <w:rPr>
                <w:rFonts w:cs="Arial"/>
                <w:b/>
                <w:sz w:val="18"/>
                <w:szCs w:val="18"/>
                <w:lang w:val="fr-FR"/>
              </w:rPr>
              <w:t>ciblage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0B352E" w:rsidRDefault="00322C67" w:rsidP="00482AD8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Mettre en avant les différ</w:t>
            </w:r>
            <w:r w:rsidR="0099616E">
              <w:rPr>
                <w:rFonts w:cs="Arial"/>
                <w:sz w:val="18"/>
                <w:szCs w:val="18"/>
                <w:lang w:val="fr-FR"/>
              </w:rPr>
              <w:t xml:space="preserve">ents types de vulnérabilité et </w:t>
            </w:r>
            <w:r w:rsidR="00482AD8">
              <w:rPr>
                <w:rFonts w:cs="Arial"/>
                <w:sz w:val="18"/>
                <w:szCs w:val="18"/>
                <w:lang w:val="fr-FR"/>
              </w:rPr>
              <w:t>la manière dont</w:t>
            </w:r>
            <w:r w:rsidR="0099616E">
              <w:rPr>
                <w:rFonts w:cs="Arial"/>
                <w:sz w:val="18"/>
                <w:szCs w:val="18"/>
                <w:lang w:val="fr-FR"/>
              </w:rPr>
              <w:t xml:space="preserve"> les PTM peuvent contribuer à les atténuer</w:t>
            </w:r>
          </w:p>
          <w:p w:rsidR="00BA00FE" w:rsidRPr="00C605B0" w:rsidRDefault="0099616E" w:rsidP="0099616E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Connaître</w:t>
            </w:r>
            <w:r w:rsidR="00322C67">
              <w:rPr>
                <w:rFonts w:cs="Arial"/>
                <w:sz w:val="18"/>
                <w:szCs w:val="18"/>
                <w:lang w:val="fr-FR"/>
              </w:rPr>
              <w:t xml:space="preserve"> les </w:t>
            </w:r>
            <w:r>
              <w:rPr>
                <w:rFonts w:cs="Arial"/>
                <w:sz w:val="18"/>
                <w:szCs w:val="18"/>
                <w:lang w:val="fr-FR"/>
              </w:rPr>
              <w:t>défis</w:t>
            </w:r>
            <w:r w:rsidR="00322C67">
              <w:rPr>
                <w:rFonts w:cs="Arial"/>
                <w:sz w:val="18"/>
                <w:szCs w:val="18"/>
                <w:lang w:val="fr-FR"/>
              </w:rPr>
              <w:t xml:space="preserve"> liés </w:t>
            </w:r>
            <w:r>
              <w:rPr>
                <w:rFonts w:cs="Arial"/>
                <w:sz w:val="18"/>
                <w:szCs w:val="18"/>
                <w:lang w:val="fr-FR"/>
              </w:rPr>
              <w:t>au ciblage</w:t>
            </w:r>
            <w:r w:rsidR="00C605B0">
              <w:rPr>
                <w:rFonts w:cs="Arial"/>
                <w:sz w:val="18"/>
                <w:szCs w:val="18"/>
                <w:lang w:val="fr-FR"/>
              </w:rPr>
              <w:t xml:space="preserve"> des transferts monétaires </w:t>
            </w:r>
            <w:r>
              <w:rPr>
                <w:rFonts w:cs="Arial"/>
                <w:sz w:val="18"/>
                <w:szCs w:val="18"/>
                <w:lang w:val="fr-FR"/>
              </w:rPr>
              <w:t>(quels</w:t>
            </w:r>
            <w:r w:rsidR="00C605B0">
              <w:rPr>
                <w:rFonts w:cs="Arial"/>
                <w:sz w:val="18"/>
                <w:szCs w:val="18"/>
                <w:lang w:val="fr-FR"/>
              </w:rPr>
              <w:t xml:space="preserve"> individus,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quels</w:t>
            </w:r>
            <w:r w:rsidR="00C605B0">
              <w:rPr>
                <w:rFonts w:cs="Arial"/>
                <w:sz w:val="18"/>
                <w:szCs w:val="18"/>
                <w:lang w:val="fr-FR"/>
              </w:rPr>
              <w:t xml:space="preserve"> ménages, </w:t>
            </w:r>
            <w:r>
              <w:rPr>
                <w:rFonts w:cs="Arial"/>
                <w:sz w:val="18"/>
                <w:szCs w:val="18"/>
                <w:lang w:val="fr-FR"/>
              </w:rPr>
              <w:t>quels</w:t>
            </w:r>
            <w:r w:rsidR="00C605B0">
              <w:rPr>
                <w:rFonts w:cs="Arial"/>
                <w:sz w:val="18"/>
                <w:szCs w:val="18"/>
                <w:lang w:val="fr-FR"/>
              </w:rPr>
              <w:t xml:space="preserve"> groupes et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quelles </w:t>
            </w:r>
            <w:r w:rsidR="00C605B0">
              <w:rPr>
                <w:rFonts w:cs="Arial"/>
                <w:sz w:val="18"/>
                <w:szCs w:val="18"/>
                <w:lang w:val="fr-FR"/>
              </w:rPr>
              <w:t>communautés</w:t>
            </w:r>
            <w:r>
              <w:rPr>
                <w:rFonts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C605B0" w:rsidRDefault="00C605B0" w:rsidP="006B4C3D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Réunir les données issues des évaluations </w:t>
            </w:r>
            <w:r w:rsidR="003C4F3C">
              <w:rPr>
                <w:rFonts w:cs="Arial"/>
                <w:sz w:val="18"/>
                <w:szCs w:val="18"/>
                <w:lang w:val="fr-FR"/>
              </w:rPr>
              <w:t>afin d’identifier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les vulnérab</w:t>
            </w:r>
            <w:r w:rsidR="00B562DA">
              <w:rPr>
                <w:rFonts w:cs="Arial"/>
                <w:sz w:val="18"/>
                <w:szCs w:val="18"/>
                <w:lang w:val="fr-FR"/>
              </w:rPr>
              <w:t xml:space="preserve">ilités de la communauté et </w:t>
            </w:r>
            <w:r w:rsidR="003C4F3C">
              <w:rPr>
                <w:rFonts w:cs="Arial"/>
                <w:sz w:val="18"/>
                <w:szCs w:val="18"/>
                <w:lang w:val="fr-FR"/>
              </w:rPr>
              <w:t xml:space="preserve">de déterminer </w:t>
            </w:r>
            <w:r w:rsidR="006B4C3D">
              <w:rPr>
                <w:rFonts w:cs="Arial"/>
                <w:sz w:val="18"/>
                <w:szCs w:val="18"/>
                <w:lang w:val="fr-FR"/>
              </w:rPr>
              <w:t>comment elles influencent le ciblage des PTM</w:t>
            </w:r>
          </w:p>
          <w:p w:rsidR="00BA00FE" w:rsidRPr="00C605B0" w:rsidRDefault="00C605B0" w:rsidP="00C605B0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Définir des critères de vulnérabilité pour la sélection des bénéficiaires, en adoptant une approche axée sur la participation de la communauté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C605B0" w:rsidRDefault="00C605B0" w:rsidP="006B29FF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Analyser les différentes vulnérabilités potentielles et prendre en compte les conclusions de l’analyse lors de l’élaboration des programmes </w:t>
            </w:r>
          </w:p>
          <w:p w:rsidR="00BA00FE" w:rsidRPr="000B5E99" w:rsidRDefault="00C605B0" w:rsidP="006B29FF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Se fonder sur les données relatives aux sources d’alim</w:t>
            </w:r>
            <w:r w:rsidR="003C4F3C">
              <w:rPr>
                <w:rFonts w:cs="Arial"/>
                <w:sz w:val="18"/>
                <w:szCs w:val="18"/>
                <w:lang w:val="fr-FR"/>
              </w:rPr>
              <w:t>entation, aux sources de revenu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et aux dépenses pour quantifier les besoins </w:t>
            </w:r>
          </w:p>
          <w:p w:rsidR="00C605B0" w:rsidRDefault="00C605B0" w:rsidP="006B29FF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Adapter les critères de vulnér</w:t>
            </w:r>
            <w:r w:rsidR="00A667FD">
              <w:rPr>
                <w:rFonts w:cs="Arial"/>
                <w:sz w:val="18"/>
                <w:szCs w:val="18"/>
                <w:lang w:val="fr-FR"/>
              </w:rPr>
              <w:t xml:space="preserve">abilité sur la base des erreurs </w:t>
            </w:r>
            <w:r>
              <w:rPr>
                <w:rFonts w:cs="Arial"/>
                <w:sz w:val="18"/>
                <w:szCs w:val="18"/>
                <w:lang w:val="fr-FR"/>
              </w:rPr>
              <w:t>d’inclusion/</w:t>
            </w:r>
            <w:r w:rsidR="00A667FD">
              <w:rPr>
                <w:rFonts w:cs="Arial"/>
                <w:sz w:val="18"/>
                <w:szCs w:val="18"/>
                <w:lang w:val="fr-FR"/>
              </w:rPr>
              <w:t>d’</w:t>
            </w:r>
            <w:r>
              <w:rPr>
                <w:rFonts w:cs="Arial"/>
                <w:sz w:val="18"/>
                <w:szCs w:val="18"/>
                <w:lang w:val="fr-FR"/>
              </w:rPr>
              <w:t>exclusion</w:t>
            </w:r>
          </w:p>
          <w:p w:rsidR="00BA00FE" w:rsidRPr="00B43458" w:rsidRDefault="00C605B0" w:rsidP="006B4C3D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Définir, documenter, justifier et communiquer la stratégie </w:t>
            </w:r>
            <w:r w:rsidR="006B4C3D">
              <w:rPr>
                <w:rFonts w:cs="Arial"/>
                <w:sz w:val="18"/>
                <w:szCs w:val="18"/>
                <w:lang w:val="fr-FR"/>
              </w:rPr>
              <w:t>de ciblage</w:t>
            </w:r>
            <w:r>
              <w:rPr>
                <w:rFonts w:cs="Arial"/>
                <w:sz w:val="18"/>
                <w:szCs w:val="18"/>
                <w:lang w:val="fr-FR"/>
              </w:rPr>
              <w:t>, en coordination avec les autres parties prenantes</w:t>
            </w:r>
          </w:p>
        </w:tc>
      </w:tr>
      <w:tr w:rsidR="00BA00FE" w:rsidRPr="000B5E99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0B5E99" w:rsidRDefault="00BA00FE" w:rsidP="0004590B">
            <w:pPr>
              <w:keepNext/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  <w:lang w:val="fr-FR"/>
              </w:rPr>
            </w:pPr>
            <w:r w:rsidRPr="000B5E99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FR"/>
              </w:rPr>
              <w:t xml:space="preserve">5. </w:t>
            </w:r>
            <w:r w:rsidR="0004590B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FR"/>
              </w:rPr>
              <w:t xml:space="preserve">Mise en œuvre </w:t>
            </w:r>
          </w:p>
        </w:tc>
      </w:tr>
      <w:tr w:rsidR="00BA00FE" w:rsidRPr="00A21843" w:rsidTr="009D7A67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:rsidR="00BA00FE" w:rsidRPr="000B5E99" w:rsidRDefault="00BA00FE" w:rsidP="0004590B">
            <w:pPr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</w:pPr>
            <w:r w:rsidRPr="000B5E99"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  <w:t xml:space="preserve">5.1 </w:t>
            </w:r>
            <w:r w:rsidR="00A3159C" w:rsidRPr="000B5E99"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  <w:tab/>
            </w:r>
            <w:r w:rsidR="0004590B"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  <w:t>Communication avec les bénéficiaires et redevabilité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43458" w:rsidRPr="00B43458" w:rsidRDefault="00B6561D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Connaître</w:t>
            </w:r>
            <w:r w:rsidR="00B43458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les méthodes et les canaux appropriés pour la communication avec les bénéficiaires</w:t>
            </w:r>
          </w:p>
          <w:p w:rsidR="00BA00FE" w:rsidRPr="00B43458" w:rsidRDefault="00B43458" w:rsidP="00B43458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Connaître le</w:t>
            </w:r>
            <w:r w:rsidR="00B6561D">
              <w:rPr>
                <w:rFonts w:cs="Arial"/>
                <w:sz w:val="18"/>
                <w:szCs w:val="18"/>
                <w:lang w:val="fr-FR"/>
              </w:rPr>
              <w:t>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mécanisme</w:t>
            </w:r>
            <w:r w:rsidR="00B537B5">
              <w:rPr>
                <w:rFonts w:cs="Arial"/>
                <w:sz w:val="18"/>
                <w:szCs w:val="18"/>
                <w:lang w:val="fr-FR"/>
              </w:rPr>
              <w:t>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de retour d’information et d’intervention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43458" w:rsidRPr="00B43458" w:rsidRDefault="00B43458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 w:rsidRPr="00395FCB">
              <w:rPr>
                <w:rFonts w:eastAsia="Times New Roman" w:cs="Arial"/>
                <w:sz w:val="18"/>
                <w:szCs w:val="18"/>
                <w:lang w:val="fr-FR" w:eastAsia="en-GB"/>
              </w:rPr>
              <w:t>Coordonner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le développement des méthodes et des canaux appropriés pour la communication avec les bénéficiaires</w:t>
            </w:r>
          </w:p>
          <w:p w:rsidR="00BA00FE" w:rsidRPr="00B43458" w:rsidRDefault="00B43458" w:rsidP="00B43458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Utiliser le</w:t>
            </w:r>
            <w:r w:rsidR="00B537B5">
              <w:rPr>
                <w:rFonts w:cs="Arial"/>
                <w:sz w:val="18"/>
                <w:szCs w:val="18"/>
                <w:lang w:val="fr-FR"/>
              </w:rPr>
              <w:t>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mécanisme</w:t>
            </w:r>
            <w:r w:rsidR="00B537B5">
              <w:rPr>
                <w:rFonts w:cs="Arial"/>
                <w:sz w:val="18"/>
                <w:szCs w:val="18"/>
                <w:lang w:val="fr-FR"/>
              </w:rPr>
              <w:t>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de retour d’information et d’intervention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C51770" w:rsidRPr="00C51770" w:rsidRDefault="00C51770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 w:rsidRPr="00395FCB">
              <w:rPr>
                <w:rFonts w:eastAsia="Times New Roman" w:cs="Arial"/>
                <w:sz w:val="18"/>
                <w:szCs w:val="18"/>
                <w:lang w:val="fr-FR" w:eastAsia="en-GB"/>
              </w:rPr>
              <w:t>Élaborer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des outils pour la communication avec les bénéficiaires, tels que des brochures, une liste des questions les plus fréquemment posées, etc.</w:t>
            </w:r>
          </w:p>
          <w:p w:rsidR="00BA00FE" w:rsidRPr="000B5E99" w:rsidRDefault="00C51770" w:rsidP="00482AD8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Mettre en place </w:t>
            </w:r>
            <w:r w:rsidR="00B537B5">
              <w:rPr>
                <w:rFonts w:cs="Arial"/>
                <w:sz w:val="18"/>
                <w:szCs w:val="18"/>
                <w:lang w:val="fr-FR"/>
              </w:rPr>
              <w:t>des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mécanisme</w:t>
            </w:r>
            <w:r w:rsidR="00B537B5">
              <w:rPr>
                <w:rFonts w:cs="Arial"/>
                <w:sz w:val="18"/>
                <w:szCs w:val="18"/>
                <w:lang w:val="fr-FR"/>
              </w:rPr>
              <w:t>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de retour d’information et d’intervention, </w:t>
            </w:r>
            <w:r w:rsidR="00482AD8">
              <w:rPr>
                <w:rFonts w:cs="Arial"/>
                <w:sz w:val="18"/>
                <w:szCs w:val="18"/>
                <w:lang w:val="fr-FR"/>
              </w:rPr>
              <w:t>y compris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  <w:lang w:val="fr-FR"/>
              </w:rPr>
              <w:t xml:space="preserve"> des méthodes garantissant la séparation des tâches</w:t>
            </w:r>
          </w:p>
          <w:p w:rsidR="00BA00FE" w:rsidRPr="008B26D1" w:rsidRDefault="00C51770" w:rsidP="008B26D1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Gérer et résoudre les </w:t>
            </w:r>
            <w:r w:rsidR="008B26D1">
              <w:rPr>
                <w:rFonts w:cs="Arial"/>
                <w:sz w:val="18"/>
                <w:szCs w:val="18"/>
                <w:lang w:val="fr-FR"/>
              </w:rPr>
              <w:t>problèmes émergents</w:t>
            </w:r>
          </w:p>
        </w:tc>
      </w:tr>
      <w:tr w:rsidR="00BA00FE" w:rsidRPr="00A21843" w:rsidTr="009D7A67">
        <w:trPr>
          <w:cantSplit/>
        </w:trPr>
        <w:tc>
          <w:tcPr>
            <w:tcW w:w="1065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A00FE" w:rsidRPr="000B5E99" w:rsidRDefault="00BA00FE" w:rsidP="0004590B">
            <w:pPr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</w:pPr>
            <w:r w:rsidRPr="000B5E99"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  <w:t xml:space="preserve">5.2 </w:t>
            </w:r>
            <w:r w:rsidR="00A3159C" w:rsidRPr="000B5E99"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  <w:tab/>
            </w:r>
            <w:r w:rsidR="0004590B"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  <w:t>Prestataires de services financiers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B43458" w:rsidRDefault="00B43458" w:rsidP="00B43458">
            <w:pPr>
              <w:pStyle w:val="ListParagraph"/>
              <w:numPr>
                <w:ilvl w:val="0"/>
                <w:numId w:val="18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Dresser la liste des prestataires de services, en incluant les prestataires traditionnels et les prestataires utilisant les nouvelles technologies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FE0FEC" w:rsidRPr="00092602" w:rsidRDefault="00597ED1" w:rsidP="006D49F3">
            <w:pPr>
              <w:pStyle w:val="ListParagraph"/>
              <w:numPr>
                <w:ilvl w:val="0"/>
                <w:numId w:val="18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color w:val="00B050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Connaître</w:t>
            </w:r>
            <w:r w:rsidR="00FE0FEC">
              <w:rPr>
                <w:rFonts w:cs="Arial"/>
                <w:sz w:val="18"/>
                <w:szCs w:val="18"/>
                <w:lang w:val="fr-FR"/>
              </w:rPr>
              <w:t xml:space="preserve"> les possibilités et les </w:t>
            </w:r>
            <w:r>
              <w:rPr>
                <w:rFonts w:cs="Arial"/>
                <w:sz w:val="18"/>
                <w:szCs w:val="18"/>
                <w:lang w:val="fr-FR"/>
              </w:rPr>
              <w:t>c</w:t>
            </w:r>
            <w:r w:rsidR="006D49F3">
              <w:rPr>
                <w:rFonts w:cs="Arial"/>
                <w:sz w:val="18"/>
                <w:szCs w:val="18"/>
                <w:lang w:val="fr-FR"/>
              </w:rPr>
              <w:t>ontraintes propres aux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différents </w:t>
            </w:r>
            <w:r w:rsidR="00092602">
              <w:rPr>
                <w:rFonts w:cs="Arial"/>
                <w:sz w:val="18"/>
                <w:szCs w:val="18"/>
                <w:lang w:val="fr-FR"/>
              </w:rPr>
              <w:t>prestataire</w:t>
            </w:r>
            <w:r>
              <w:rPr>
                <w:rFonts w:cs="Arial"/>
                <w:sz w:val="18"/>
                <w:szCs w:val="18"/>
                <w:lang w:val="fr-FR"/>
              </w:rPr>
              <w:t>s</w:t>
            </w:r>
            <w:r w:rsidR="00092602">
              <w:rPr>
                <w:rFonts w:cs="Arial"/>
                <w:sz w:val="18"/>
                <w:szCs w:val="18"/>
                <w:lang w:val="fr-FR"/>
              </w:rPr>
              <w:t xml:space="preserve"> de services et évaluer le</w:t>
            </w:r>
            <w:r>
              <w:rPr>
                <w:rFonts w:cs="Arial"/>
                <w:sz w:val="18"/>
                <w:szCs w:val="18"/>
                <w:lang w:val="fr-FR"/>
              </w:rPr>
              <w:t>urs capacités</w:t>
            </w:r>
          </w:p>
          <w:p w:rsidR="00BA00FE" w:rsidRPr="00092602" w:rsidRDefault="00597ED1" w:rsidP="00597ED1">
            <w:pPr>
              <w:pStyle w:val="ListParagraph"/>
              <w:numPr>
                <w:ilvl w:val="0"/>
                <w:numId w:val="18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color w:val="00B050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Connaître</w:t>
            </w:r>
            <w:r w:rsidR="00092602">
              <w:rPr>
                <w:rFonts w:cs="Arial"/>
                <w:sz w:val="18"/>
                <w:szCs w:val="18"/>
                <w:lang w:val="fr-FR"/>
              </w:rPr>
              <w:t xml:space="preserve"> les avantages et les inconvénients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que présentent les différents prestataires de services </w:t>
            </w:r>
            <w:r w:rsidR="00092602">
              <w:rPr>
                <w:rFonts w:cs="Arial"/>
                <w:sz w:val="18"/>
                <w:szCs w:val="18"/>
                <w:lang w:val="fr-FR"/>
              </w:rPr>
              <w:t xml:space="preserve">et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répertorier </w:t>
            </w:r>
            <w:r w:rsidR="00092602">
              <w:rPr>
                <w:rFonts w:cs="Arial"/>
                <w:sz w:val="18"/>
                <w:szCs w:val="18"/>
                <w:lang w:val="fr-FR"/>
              </w:rPr>
              <w:t>les plus appropriés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8B26D1" w:rsidRDefault="006D49F3" w:rsidP="006D49F3">
            <w:pPr>
              <w:pStyle w:val="ListParagraph"/>
              <w:numPr>
                <w:ilvl w:val="0"/>
                <w:numId w:val="1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Justifier de manière détaillée le choix des prestataires de services de transferts monétaires et é</w:t>
            </w:r>
            <w:r w:rsidR="008B26D1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laborer un plan </w:t>
            </w:r>
            <w:r w:rsidR="00B562DA">
              <w:rPr>
                <w:rFonts w:eastAsia="Times New Roman" w:cs="Arial"/>
                <w:sz w:val="18"/>
                <w:szCs w:val="18"/>
                <w:lang w:val="fr-FR" w:eastAsia="en-GB"/>
              </w:rPr>
              <w:t>de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mise en œuvre</w:t>
            </w:r>
          </w:p>
          <w:p w:rsidR="00BA00FE" w:rsidRPr="00071956" w:rsidRDefault="006D49F3" w:rsidP="001E79DD">
            <w:pPr>
              <w:pStyle w:val="ListParagraph"/>
              <w:numPr>
                <w:ilvl w:val="0"/>
                <w:numId w:val="1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M</w:t>
            </w:r>
            <w:r w:rsidR="00071956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ettre en œuvre 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le</w:t>
            </w:r>
            <w:r w:rsidR="00071956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plan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, </w:t>
            </w:r>
            <w:r w:rsidR="001E79DD">
              <w:rPr>
                <w:rFonts w:eastAsia="Times New Roman" w:cs="Arial"/>
                <w:sz w:val="18"/>
                <w:szCs w:val="18"/>
                <w:lang w:val="fr-FR" w:eastAsia="en-GB"/>
              </w:rPr>
              <w:t>et notamment rédiger les contrats des</w:t>
            </w:r>
            <w:r w:rsidR="00071956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prest</w:t>
            </w:r>
            <w:r w:rsidR="001E79DD">
              <w:rPr>
                <w:rFonts w:eastAsia="Times New Roman" w:cs="Arial"/>
                <w:sz w:val="18"/>
                <w:szCs w:val="18"/>
                <w:lang w:val="fr-FR" w:eastAsia="en-GB"/>
              </w:rPr>
              <w:t>ataires de services financiers</w:t>
            </w:r>
          </w:p>
        </w:tc>
      </w:tr>
      <w:tr w:rsidR="00BA00FE" w:rsidRPr="00A21843" w:rsidTr="009D7A67">
        <w:trPr>
          <w:cantSplit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BA00FE" w:rsidRPr="000B5E99" w:rsidRDefault="00BA00FE" w:rsidP="0004590B">
            <w:pPr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</w:pPr>
            <w:r w:rsidRPr="000B5E99"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  <w:t xml:space="preserve">5.3 </w:t>
            </w:r>
            <w:r w:rsidR="00A3159C" w:rsidRPr="000B5E99"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  <w:tab/>
            </w:r>
            <w:r w:rsidR="0004590B">
              <w:rPr>
                <w:rFonts w:eastAsia="Times New Roman" w:cs="Arial"/>
                <w:b/>
                <w:sz w:val="18"/>
                <w:szCs w:val="18"/>
                <w:lang w:val="fr-FR" w:eastAsia="en-GB"/>
              </w:rPr>
              <w:t>Distribution et encaissement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FF0F22" w:rsidRDefault="00FF0F22" w:rsidP="00FF0F22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Connaître </w:t>
            </w:r>
            <w:r w:rsidR="00AD2B50">
              <w:rPr>
                <w:rFonts w:eastAsia="Times New Roman" w:cs="Arial"/>
                <w:sz w:val="18"/>
                <w:szCs w:val="18"/>
                <w:lang w:val="fr-FR" w:eastAsia="en-GB"/>
              </w:rPr>
              <w:t>le processus de distribution,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notamment les aspects relatifs à l’e</w:t>
            </w:r>
            <w:r w:rsidR="00AD2B50">
              <w:rPr>
                <w:rFonts w:eastAsia="Times New Roman" w:cs="Arial"/>
                <w:sz w:val="18"/>
                <w:szCs w:val="18"/>
                <w:lang w:val="fr-FR" w:eastAsia="en-GB"/>
              </w:rPr>
              <w:t>nregistrement des bénéficiaires</w:t>
            </w:r>
            <w:r w:rsidR="001E79DD">
              <w:rPr>
                <w:rFonts w:eastAsia="Times New Roman" w:cs="Arial"/>
                <w:sz w:val="18"/>
                <w:szCs w:val="18"/>
                <w:lang w:val="fr-FR" w:eastAsia="en-GB"/>
              </w:rPr>
              <w:t>,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ainsi qu’à la mise en place et à la gestion des points de distribution et du processus d’encaissement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FF0F22" w:rsidRDefault="00FF0F22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Participer à l’élaboration des processus de distribution et d’encaissement sous la supervision d’un responsable ayant une expérience des PTM</w:t>
            </w:r>
          </w:p>
          <w:p w:rsidR="00FF0F22" w:rsidRDefault="00FF0F22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Identifier les risques et définir les mesures de réduction des risques et les mesures d’urgence</w:t>
            </w:r>
          </w:p>
          <w:p w:rsidR="00BA00FE" w:rsidRPr="00FF0F22" w:rsidRDefault="00FF0F22" w:rsidP="001E79DD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Gérer les aspects liés </w:t>
            </w:r>
            <w:r w:rsidR="001E79DD">
              <w:rPr>
                <w:rFonts w:eastAsia="Times New Roman" w:cs="Arial"/>
                <w:sz w:val="18"/>
                <w:szCs w:val="18"/>
                <w:lang w:val="fr-FR" w:eastAsia="en-GB"/>
              </w:rPr>
              <w:t>au rapprochement financier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FF0F22" w:rsidRDefault="00FF0F22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Définir les activités, les ressources, le calendrier et la durée des PTM</w:t>
            </w:r>
          </w:p>
          <w:p w:rsidR="00FF0F22" w:rsidRDefault="00FF0F22" w:rsidP="001E79DD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Gérer les phases de distribution, en mettant en place un mécanisme adapté </w:t>
            </w:r>
            <w:r w:rsidR="001E79DD">
              <w:rPr>
                <w:rFonts w:eastAsia="Times New Roman" w:cs="Arial"/>
                <w:sz w:val="18"/>
                <w:szCs w:val="18"/>
                <w:lang w:val="fr-FR" w:eastAsia="en-GB"/>
              </w:rPr>
              <w:t>de ciblage et d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’enregistrement</w:t>
            </w:r>
            <w:r w:rsidR="001E79DD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des bénéficiaires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 ; élaborer un plan d’encaissement et </w:t>
            </w:r>
            <w:r w:rsidR="001E79DD">
              <w:rPr>
                <w:rFonts w:eastAsia="Times New Roman" w:cs="Arial"/>
                <w:sz w:val="18"/>
                <w:szCs w:val="18"/>
                <w:lang w:val="fr-FR" w:eastAsia="en-GB"/>
              </w:rPr>
              <w:t>en assurer le suivi</w:t>
            </w:r>
          </w:p>
          <w:p w:rsidR="00BA00FE" w:rsidRPr="00FF0F22" w:rsidRDefault="00FF0F22" w:rsidP="00FF0F22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Garantir la coordination avec les parties prenantes</w:t>
            </w:r>
          </w:p>
        </w:tc>
      </w:tr>
      <w:tr w:rsidR="00BA00FE" w:rsidRPr="000B5E99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0B5E99" w:rsidRDefault="00BA00FE" w:rsidP="0004590B">
            <w:pPr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  <w:lang w:val="fr-FR"/>
              </w:rPr>
            </w:pPr>
            <w:r w:rsidRPr="000B5E99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FR"/>
              </w:rPr>
              <w:t xml:space="preserve">6. </w:t>
            </w:r>
            <w:r w:rsidR="0004590B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FR"/>
              </w:rPr>
              <w:t>Suivi et é</w:t>
            </w:r>
            <w:r w:rsidRPr="000B5E99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FR"/>
              </w:rPr>
              <w:t>valuation</w:t>
            </w:r>
          </w:p>
        </w:tc>
      </w:tr>
      <w:tr w:rsidR="00BA00FE" w:rsidRPr="00A21843" w:rsidTr="009D7A67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:rsidR="00BA00FE" w:rsidRPr="000B5E99" w:rsidRDefault="00BA00FE" w:rsidP="0004590B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6.1 </w:t>
            </w:r>
            <w:r w:rsidR="00A3159C"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ab/>
            </w:r>
            <w:r w:rsidR="0004590B">
              <w:rPr>
                <w:rFonts w:cs="Arial"/>
                <w:b/>
                <w:bCs/>
                <w:sz w:val="18"/>
                <w:szCs w:val="18"/>
                <w:lang w:val="fr-FR"/>
              </w:rPr>
              <w:t>Suivi des PTM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FF0F22" w:rsidRDefault="00FF0F22" w:rsidP="006B29FF">
            <w:pPr>
              <w:numPr>
                <w:ilvl w:val="0"/>
                <w:numId w:val="21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Être capable de lire et de comprendre le cadre logique </w:t>
            </w:r>
            <w:r w:rsidR="009351DA">
              <w:rPr>
                <w:rFonts w:cs="Arial"/>
                <w:sz w:val="18"/>
                <w:szCs w:val="18"/>
                <w:lang w:val="fr-FR"/>
              </w:rPr>
              <w:t>des PTM</w:t>
            </w:r>
          </w:p>
          <w:p w:rsidR="00BA00FE" w:rsidRPr="009351DA" w:rsidRDefault="009351DA" w:rsidP="00291851">
            <w:pPr>
              <w:numPr>
                <w:ilvl w:val="0"/>
                <w:numId w:val="21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Connaître les </w:t>
            </w:r>
            <w:r w:rsidR="00291851">
              <w:rPr>
                <w:rFonts w:cs="Arial"/>
                <w:sz w:val="18"/>
                <w:szCs w:val="18"/>
                <w:lang w:val="fr-FR"/>
              </w:rPr>
              <w:t>aspects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clés des PTM devant faire l’objet d’un suivi (processus et impact)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27748" w:rsidRDefault="00C27748" w:rsidP="00291851">
            <w:pPr>
              <w:numPr>
                <w:ilvl w:val="0"/>
                <w:numId w:val="21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Être capable d’élaborer ou d’adapter les outils relatifs à la distribution d’espèces, </w:t>
            </w:r>
            <w:r w:rsidR="00291851">
              <w:rPr>
                <w:rFonts w:cs="Arial"/>
                <w:sz w:val="18"/>
                <w:szCs w:val="18"/>
                <w:lang w:val="fr-FR"/>
              </w:rPr>
              <w:t>à la gestion des sites de distribution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et au suivi </w:t>
            </w:r>
            <w:r w:rsidR="00291851">
              <w:rPr>
                <w:rFonts w:cs="Arial"/>
                <w:sz w:val="18"/>
                <w:szCs w:val="18"/>
                <w:lang w:val="fr-FR"/>
              </w:rPr>
              <w:t>post-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distribution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595075" w:rsidRDefault="00595075" w:rsidP="006B29FF">
            <w:pPr>
              <w:numPr>
                <w:ilvl w:val="0"/>
                <w:numId w:val="21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Être capable d’élaborer un cadre logique pour les PTM, comprenant des indicateurs et des moyens de vérification</w:t>
            </w:r>
          </w:p>
          <w:p w:rsidR="00BA00FE" w:rsidRPr="00291851" w:rsidRDefault="00595075" w:rsidP="00291851">
            <w:pPr>
              <w:numPr>
                <w:ilvl w:val="0"/>
                <w:numId w:val="21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Mettre en place des activités de suivi et prendre en compte les résultats du suivi et de l’évaluation </w:t>
            </w:r>
            <w:r w:rsidR="008E1C37">
              <w:rPr>
                <w:rFonts w:cs="Arial"/>
                <w:sz w:val="18"/>
                <w:szCs w:val="18"/>
                <w:lang w:val="fr-FR"/>
              </w:rPr>
              <w:t xml:space="preserve">dans la </w:t>
            </w:r>
            <w:r w:rsidR="00291851">
              <w:rPr>
                <w:rFonts w:cs="Arial"/>
                <w:sz w:val="18"/>
                <w:szCs w:val="18"/>
                <w:lang w:val="fr-FR"/>
              </w:rPr>
              <w:t>poursuite du</w:t>
            </w:r>
            <w:r w:rsidR="00291851" w:rsidRPr="00291851">
              <w:rPr>
                <w:rFonts w:cs="Arial"/>
                <w:sz w:val="18"/>
                <w:szCs w:val="18"/>
                <w:lang w:val="fr-FR"/>
              </w:rPr>
              <w:t xml:space="preserve"> programme</w:t>
            </w:r>
          </w:p>
        </w:tc>
      </w:tr>
      <w:tr w:rsidR="00BA00FE" w:rsidRPr="00A21843" w:rsidTr="009D7A67">
        <w:trPr>
          <w:cantSplit/>
        </w:trPr>
        <w:tc>
          <w:tcPr>
            <w:tcW w:w="1065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A00FE" w:rsidRPr="000B5E99" w:rsidRDefault="00BA00FE" w:rsidP="0004590B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6.2 </w:t>
            </w:r>
            <w:r w:rsidR="00A3159C"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ab/>
            </w:r>
            <w:r w:rsidR="0004590B">
              <w:rPr>
                <w:rFonts w:cs="Arial"/>
                <w:b/>
                <w:bCs/>
                <w:sz w:val="18"/>
                <w:szCs w:val="18"/>
                <w:lang w:val="fr-FR"/>
              </w:rPr>
              <w:t>Suivi des marchés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27748" w:rsidRDefault="009351DA" w:rsidP="00C27748">
            <w:pPr>
              <w:numPr>
                <w:ilvl w:val="0"/>
                <w:numId w:val="22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Être capable de </w:t>
            </w:r>
            <w:r w:rsidR="00C27748">
              <w:rPr>
                <w:rFonts w:cs="Arial"/>
                <w:sz w:val="18"/>
                <w:szCs w:val="18"/>
                <w:lang w:val="fr-FR"/>
              </w:rPr>
              <w:t>collecter de manière régulière des données sur les prix des marchés, en lien avec les données de référence existantes, tout au long du cycle de projets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291923" w:rsidRDefault="00C27748" w:rsidP="00291923">
            <w:pPr>
              <w:numPr>
                <w:ilvl w:val="0"/>
                <w:numId w:val="22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Être capable de </w:t>
            </w:r>
            <w:r w:rsidR="00EB3040">
              <w:rPr>
                <w:rFonts w:cs="Arial"/>
                <w:sz w:val="18"/>
                <w:szCs w:val="18"/>
                <w:lang w:val="fr-FR"/>
              </w:rPr>
              <w:t>mettre en place un suivi des prix des marchés et d’analyser les tendances/changements en la matière sur la base d’indicateurs</w:t>
            </w:r>
            <w:r w:rsidR="00291923">
              <w:rPr>
                <w:rFonts w:cs="Arial"/>
                <w:sz w:val="18"/>
                <w:szCs w:val="18"/>
                <w:lang w:val="fr-FR"/>
              </w:rPr>
              <w:t xml:space="preserve"> du marché</w:t>
            </w:r>
            <w:r w:rsidR="00AD2B50">
              <w:rPr>
                <w:rFonts w:cs="Arial"/>
                <w:sz w:val="18"/>
                <w:szCs w:val="18"/>
                <w:lang w:val="fr-FR"/>
              </w:rPr>
              <w:t xml:space="preserve"> spécifiques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595075" w:rsidRDefault="00595075" w:rsidP="006B29FF">
            <w:pPr>
              <w:numPr>
                <w:ilvl w:val="0"/>
                <w:numId w:val="22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Mettre en place un suivi des marchés</w:t>
            </w:r>
          </w:p>
          <w:p w:rsidR="00BA00FE" w:rsidRPr="000B5E99" w:rsidRDefault="00595075" w:rsidP="006B29FF">
            <w:pPr>
              <w:numPr>
                <w:ilvl w:val="0"/>
                <w:numId w:val="22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Analyser les données issues de l’évaluation des marchés puis prendre des décisions et formuler des recommandations</w:t>
            </w:r>
          </w:p>
          <w:p w:rsidR="00BA00FE" w:rsidRPr="00595075" w:rsidRDefault="00595075" w:rsidP="008E1C37">
            <w:pPr>
              <w:numPr>
                <w:ilvl w:val="0"/>
                <w:numId w:val="22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Prendre en compte le suivi des marchés dans l</w:t>
            </w:r>
            <w:r w:rsidR="008E1C37">
              <w:rPr>
                <w:rFonts w:cs="Arial"/>
                <w:sz w:val="18"/>
                <w:szCs w:val="18"/>
                <w:lang w:val="fr-FR"/>
              </w:rPr>
              <w:t xml:space="preserve">a </w:t>
            </w:r>
            <w:r w:rsidR="00C530D7">
              <w:rPr>
                <w:rFonts w:cs="Arial"/>
                <w:sz w:val="18"/>
                <w:szCs w:val="18"/>
                <w:lang w:val="fr-FR"/>
              </w:rPr>
              <w:t>poursuite du programme</w:t>
            </w:r>
          </w:p>
        </w:tc>
      </w:tr>
      <w:tr w:rsidR="00BA00FE" w:rsidRPr="00A21843" w:rsidTr="009D7A67">
        <w:trPr>
          <w:cantSplit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BA00FE" w:rsidRPr="000B5E99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6.3 </w:t>
            </w:r>
            <w:r w:rsidR="00A3159C"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ab/>
            </w:r>
            <w:r w:rsidR="0004590B">
              <w:rPr>
                <w:rFonts w:cs="Arial"/>
                <w:b/>
                <w:bCs/>
                <w:sz w:val="18"/>
                <w:szCs w:val="18"/>
                <w:lang w:val="fr-FR"/>
              </w:rPr>
              <w:t>É</w:t>
            </w:r>
            <w:r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valuation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27748" w:rsidRDefault="0074118D" w:rsidP="0074118D">
            <w:pPr>
              <w:numPr>
                <w:ilvl w:val="0"/>
                <w:numId w:val="23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Connaître</w:t>
            </w:r>
            <w:r w:rsidR="00C27748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>les différent</w:t>
            </w:r>
            <w:r w:rsidR="00C27748">
              <w:rPr>
                <w:rFonts w:cs="Arial"/>
                <w:sz w:val="18"/>
                <w:szCs w:val="18"/>
                <w:lang w:val="fr-FR"/>
              </w:rPr>
              <w:t>s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types d’évaluation</w:t>
            </w:r>
            <w:r w:rsidR="00C27748">
              <w:rPr>
                <w:rFonts w:cs="Arial"/>
                <w:sz w:val="18"/>
                <w:szCs w:val="18"/>
                <w:lang w:val="fr-FR"/>
              </w:rPr>
              <w:t xml:space="preserve"> et </w:t>
            </w:r>
            <w:r w:rsidR="00AD2B50">
              <w:rPr>
                <w:rFonts w:cs="Arial"/>
                <w:sz w:val="18"/>
                <w:szCs w:val="18"/>
                <w:lang w:val="fr-FR"/>
              </w:rPr>
              <w:t>l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’étape </w:t>
            </w:r>
            <w:r w:rsidR="00AD2B50">
              <w:rPr>
                <w:rFonts w:cs="Arial"/>
                <w:sz w:val="18"/>
                <w:szCs w:val="18"/>
                <w:lang w:val="fr-FR"/>
              </w:rPr>
              <w:t xml:space="preserve">du cycle de projets au cours de laquelle </w:t>
            </w:r>
            <w:r>
              <w:rPr>
                <w:rFonts w:cs="Arial"/>
                <w:sz w:val="18"/>
                <w:szCs w:val="18"/>
                <w:lang w:val="fr-FR"/>
              </w:rPr>
              <w:t>ils interviennent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291923" w:rsidRDefault="00291923" w:rsidP="006B29FF">
            <w:pPr>
              <w:numPr>
                <w:ilvl w:val="0"/>
                <w:numId w:val="23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Soutenir la</w:t>
            </w:r>
            <w:r w:rsidR="00AD2B50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3C4F3C">
              <w:rPr>
                <w:rFonts w:cs="Arial"/>
                <w:sz w:val="18"/>
                <w:szCs w:val="18"/>
                <w:lang w:val="fr-FR"/>
              </w:rPr>
              <w:t>réalisation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d’une évaluation</w:t>
            </w:r>
          </w:p>
          <w:p w:rsidR="00BA00FE" w:rsidRPr="00595075" w:rsidRDefault="00595075" w:rsidP="008E1C37">
            <w:pPr>
              <w:numPr>
                <w:ilvl w:val="0"/>
                <w:numId w:val="23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Gérer les informations et préparer les données en vue </w:t>
            </w:r>
            <w:r w:rsidR="008E1C37">
              <w:rPr>
                <w:rFonts w:cs="Arial"/>
                <w:sz w:val="18"/>
                <w:szCs w:val="18"/>
                <w:lang w:val="fr-FR"/>
              </w:rPr>
              <w:t>d’</w:t>
            </w:r>
            <w:r>
              <w:rPr>
                <w:rFonts w:cs="Arial"/>
                <w:sz w:val="18"/>
                <w:szCs w:val="18"/>
                <w:lang w:val="fr-FR"/>
              </w:rPr>
              <w:t>une évaluation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595075" w:rsidRDefault="008E1C37" w:rsidP="006B29FF">
            <w:pPr>
              <w:numPr>
                <w:ilvl w:val="0"/>
                <w:numId w:val="23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Élaborer le mandat relatif à chaque évaluation</w:t>
            </w:r>
            <w:r w:rsidR="00595075">
              <w:rPr>
                <w:rFonts w:cs="Arial"/>
                <w:sz w:val="18"/>
                <w:szCs w:val="18"/>
                <w:lang w:val="fr-FR"/>
              </w:rPr>
              <w:t>, en définissant de manière claire les questions devant être posées</w:t>
            </w:r>
          </w:p>
          <w:p w:rsidR="00BA00FE" w:rsidRPr="00595075" w:rsidRDefault="00595075" w:rsidP="008E1C37">
            <w:pPr>
              <w:numPr>
                <w:ilvl w:val="0"/>
                <w:numId w:val="23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Élaborer et mener une évaluation </w:t>
            </w:r>
            <w:r w:rsidR="008E1C37">
              <w:rPr>
                <w:rFonts w:cs="Arial"/>
                <w:sz w:val="18"/>
                <w:szCs w:val="18"/>
                <w:lang w:val="fr-FR"/>
              </w:rPr>
              <w:t xml:space="preserve">puis </w:t>
            </w:r>
            <w:r>
              <w:rPr>
                <w:rFonts w:cs="Arial"/>
                <w:sz w:val="18"/>
                <w:szCs w:val="18"/>
                <w:lang w:val="fr-FR"/>
              </w:rPr>
              <w:t>établi</w:t>
            </w:r>
            <w:r w:rsidR="008E1C37">
              <w:rPr>
                <w:rFonts w:cs="Arial"/>
                <w:sz w:val="18"/>
                <w:szCs w:val="18"/>
                <w:lang w:val="fr-FR"/>
              </w:rPr>
              <w:t xml:space="preserve">r </w:t>
            </w:r>
            <w:r>
              <w:rPr>
                <w:rFonts w:cs="Arial"/>
                <w:sz w:val="18"/>
                <w:szCs w:val="18"/>
                <w:lang w:val="fr-FR"/>
              </w:rPr>
              <w:t>un rapport d’évaluation incluant des recommandations claires</w:t>
            </w:r>
          </w:p>
        </w:tc>
      </w:tr>
      <w:tr w:rsidR="00BA00FE" w:rsidRPr="000B5E99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0B5E99" w:rsidRDefault="00BA00FE" w:rsidP="0004590B">
            <w:pPr>
              <w:keepNext/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  <w:lang w:val="fr-FR"/>
              </w:rPr>
            </w:pPr>
            <w:r w:rsidRPr="000B5E99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FR"/>
              </w:rPr>
              <w:t xml:space="preserve">7. </w:t>
            </w:r>
            <w:r w:rsidR="0004590B">
              <w:rPr>
                <w:rFonts w:cs="Arial"/>
                <w:b/>
                <w:color w:val="FFFFFF" w:themeColor="background1"/>
                <w:sz w:val="18"/>
                <w:szCs w:val="18"/>
                <w:lang w:val="fr-FR"/>
              </w:rPr>
              <w:t>Gestion des informations</w:t>
            </w:r>
          </w:p>
        </w:tc>
      </w:tr>
      <w:tr w:rsidR="00BA00FE" w:rsidRPr="00A21843" w:rsidTr="009D7A67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:rsidR="00BA00FE" w:rsidRPr="000B5E99" w:rsidRDefault="00BA00FE" w:rsidP="0004590B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7.1 </w:t>
            </w:r>
            <w:r w:rsidR="00A3159C"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ab/>
            </w:r>
            <w:r w:rsidR="0004590B">
              <w:rPr>
                <w:rFonts w:cs="Arial"/>
                <w:b/>
                <w:bCs/>
                <w:sz w:val="18"/>
                <w:szCs w:val="18"/>
                <w:lang w:val="fr-FR"/>
              </w:rPr>
              <w:t>Collecte et analyse des données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595075" w:rsidRDefault="008E1C37" w:rsidP="00792425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Élaborer</w:t>
            </w:r>
            <w:r w:rsidR="00B65525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un outil simple de collecte des données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ou adapter </w:t>
            </w:r>
            <w:r w:rsidR="00792425">
              <w:rPr>
                <w:rFonts w:eastAsia="Times New Roman" w:cs="Arial"/>
                <w:sz w:val="18"/>
                <w:szCs w:val="18"/>
                <w:lang w:val="fr-FR" w:eastAsia="en-GB"/>
              </w:rPr>
              <w:t>un outil existant</w:t>
            </w:r>
          </w:p>
          <w:p w:rsidR="00B65525" w:rsidRDefault="00B65525" w:rsidP="006B29FF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Effectuer des c</w:t>
            </w:r>
            <w:r w:rsidR="00792425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alculs simples (par </w:t>
            </w:r>
            <w:r w:rsidR="008E1C37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ex. en utilisant 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Excel)</w:t>
            </w:r>
          </w:p>
          <w:p w:rsidR="00BA00FE" w:rsidRPr="00B65525" w:rsidRDefault="00B65525" w:rsidP="00B65525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Décrire des résultats quantitatifs simples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65525" w:rsidRDefault="00E0389C" w:rsidP="006B29FF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Élaborer des questionnaires d’évaluation et mener des discussions de groupe</w:t>
            </w:r>
          </w:p>
          <w:p w:rsidR="00BA00FE" w:rsidRPr="000B5E99" w:rsidRDefault="00E0389C" w:rsidP="00792425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Identifier et </w:t>
            </w:r>
            <w:r w:rsidR="00792425">
              <w:rPr>
                <w:rFonts w:eastAsia="Times New Roman" w:cs="Arial"/>
                <w:sz w:val="18"/>
                <w:szCs w:val="18"/>
                <w:lang w:val="fr-FR" w:eastAsia="en-GB"/>
              </w:rPr>
              <w:t>répertorier</w:t>
            </w:r>
            <w:r w:rsidR="00163BDE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l</w:t>
            </w:r>
            <w:r w:rsidR="000918AF">
              <w:rPr>
                <w:rFonts w:eastAsia="Times New Roman" w:cs="Arial"/>
                <w:sz w:val="18"/>
                <w:szCs w:val="18"/>
                <w:lang w:val="fr-FR" w:eastAsia="en-GB"/>
              </w:rPr>
              <w:t>es sources de données secondaires appropriées</w:t>
            </w:r>
          </w:p>
          <w:p w:rsidR="00BA00FE" w:rsidRPr="000918AF" w:rsidRDefault="000918AF" w:rsidP="000918AF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Interpréter les résultats quantitatifs et qualitatifs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0918AF" w:rsidRDefault="00E3071A" w:rsidP="00792425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/>
              </w:rPr>
            </w:pPr>
            <w:r>
              <w:rPr>
                <w:rFonts w:eastAsia="Times New Roman" w:cs="Arial"/>
                <w:sz w:val="18"/>
                <w:szCs w:val="18"/>
                <w:lang w:val="fr-FR"/>
              </w:rPr>
              <w:t xml:space="preserve">Élaborer des systèmes de gestion des informations et </w:t>
            </w:r>
            <w:r w:rsidR="00792425">
              <w:rPr>
                <w:rFonts w:eastAsia="Times New Roman" w:cs="Arial"/>
                <w:sz w:val="18"/>
                <w:szCs w:val="18"/>
                <w:lang w:val="fr-FR"/>
              </w:rPr>
              <w:t>prendre en compte</w:t>
            </w:r>
            <w:r>
              <w:rPr>
                <w:rFonts w:eastAsia="Times New Roman" w:cs="Arial"/>
                <w:sz w:val="18"/>
                <w:szCs w:val="18"/>
                <w:lang w:val="fr-FR"/>
              </w:rPr>
              <w:t xml:space="preserve"> l’analyse des données </w:t>
            </w:r>
            <w:r w:rsidR="00792425">
              <w:rPr>
                <w:rFonts w:eastAsia="Times New Roman" w:cs="Arial"/>
                <w:sz w:val="18"/>
                <w:szCs w:val="18"/>
                <w:lang w:val="fr-FR"/>
              </w:rPr>
              <w:t>dans</w:t>
            </w:r>
            <w:r>
              <w:rPr>
                <w:rFonts w:eastAsia="Times New Roman" w:cs="Arial"/>
                <w:sz w:val="18"/>
                <w:szCs w:val="18"/>
                <w:lang w:val="fr-FR"/>
              </w:rPr>
              <w:t xml:space="preserve"> l’analyse des solutions d’intervention, l’</w:t>
            </w:r>
            <w:r w:rsidR="00792425">
              <w:rPr>
                <w:rFonts w:eastAsia="Times New Roman" w:cs="Arial"/>
                <w:sz w:val="18"/>
                <w:szCs w:val="18"/>
                <w:lang w:val="fr-FR"/>
              </w:rPr>
              <w:t>élaboration des projets et</w:t>
            </w:r>
            <w:r w:rsidR="003C4F3C">
              <w:rPr>
                <w:rFonts w:eastAsia="Times New Roman" w:cs="Arial"/>
                <w:sz w:val="18"/>
                <w:szCs w:val="18"/>
                <w:lang w:val="fr-FR"/>
              </w:rPr>
              <w:t xml:space="preserve"> </w:t>
            </w:r>
            <w:r w:rsidR="00792425">
              <w:rPr>
                <w:rFonts w:eastAsia="Times New Roman" w:cs="Arial"/>
                <w:sz w:val="18"/>
                <w:szCs w:val="18"/>
                <w:lang w:val="fr-FR"/>
              </w:rPr>
              <w:t xml:space="preserve">les </w:t>
            </w:r>
            <w:r>
              <w:rPr>
                <w:rFonts w:eastAsia="Times New Roman" w:cs="Arial"/>
                <w:sz w:val="18"/>
                <w:szCs w:val="18"/>
                <w:lang w:val="fr-FR"/>
              </w:rPr>
              <w:t>examen</w:t>
            </w:r>
            <w:r w:rsidR="003C4F3C">
              <w:rPr>
                <w:rFonts w:eastAsia="Times New Roman" w:cs="Arial"/>
                <w:sz w:val="18"/>
                <w:szCs w:val="18"/>
                <w:lang w:val="fr-FR"/>
              </w:rPr>
              <w:t>s</w:t>
            </w:r>
            <w:r>
              <w:rPr>
                <w:rFonts w:eastAsia="Times New Roman" w:cs="Arial"/>
                <w:sz w:val="18"/>
                <w:szCs w:val="18"/>
                <w:lang w:val="fr-FR"/>
              </w:rPr>
              <w:t xml:space="preserve"> ou</w:t>
            </w:r>
            <w:r w:rsidR="003C4F3C">
              <w:rPr>
                <w:rFonts w:eastAsia="Times New Roman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fr-FR"/>
              </w:rPr>
              <w:t>évaluation</w:t>
            </w:r>
            <w:r w:rsidR="003C4F3C">
              <w:rPr>
                <w:rFonts w:eastAsia="Times New Roman" w:cs="Arial"/>
                <w:sz w:val="18"/>
                <w:szCs w:val="18"/>
                <w:lang w:val="fr-FR"/>
              </w:rPr>
              <w:t>s</w:t>
            </w:r>
          </w:p>
          <w:p w:rsidR="00BA00FE" w:rsidRPr="00E3071A" w:rsidRDefault="00E3071A" w:rsidP="00792425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/>
              </w:rPr>
            </w:pPr>
            <w:r>
              <w:rPr>
                <w:rFonts w:eastAsia="Times New Roman" w:cs="Arial"/>
                <w:sz w:val="18"/>
                <w:szCs w:val="18"/>
                <w:lang w:val="fr-FR"/>
              </w:rPr>
              <w:t xml:space="preserve">Adapter les </w:t>
            </w:r>
            <w:r w:rsidR="00792425">
              <w:rPr>
                <w:rFonts w:eastAsia="Times New Roman" w:cs="Arial"/>
                <w:sz w:val="18"/>
                <w:szCs w:val="18"/>
                <w:lang w:val="fr-FR"/>
              </w:rPr>
              <w:t>modèles de compte rendu</w:t>
            </w:r>
            <w:r>
              <w:rPr>
                <w:rFonts w:eastAsia="Times New Roman" w:cs="Arial"/>
                <w:sz w:val="18"/>
                <w:szCs w:val="18"/>
                <w:lang w:val="fr-FR"/>
              </w:rPr>
              <w:t xml:space="preserve"> au contexte local</w:t>
            </w:r>
          </w:p>
        </w:tc>
      </w:tr>
      <w:tr w:rsidR="00BA00FE" w:rsidRPr="00A21843" w:rsidTr="009D7A67">
        <w:trPr>
          <w:cantSplit/>
          <w:trHeight w:val="1307"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BA00FE" w:rsidRPr="000B5E99" w:rsidRDefault="00BA00FE" w:rsidP="00792425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  <w:r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 xml:space="preserve">7.2 </w:t>
            </w:r>
            <w:r w:rsidR="00A3159C" w:rsidRPr="000B5E99">
              <w:rPr>
                <w:rFonts w:cs="Arial"/>
                <w:b/>
                <w:bCs/>
                <w:sz w:val="18"/>
                <w:szCs w:val="18"/>
                <w:lang w:val="fr-FR"/>
              </w:rPr>
              <w:tab/>
            </w:r>
            <w:r w:rsidR="00792425">
              <w:rPr>
                <w:rFonts w:cs="Arial"/>
                <w:b/>
                <w:bCs/>
                <w:sz w:val="18"/>
                <w:szCs w:val="18"/>
                <w:lang w:val="fr-FR"/>
              </w:rPr>
              <w:t>Comptes rendus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65525" w:rsidRDefault="00B65525" w:rsidP="00792425">
            <w:pPr>
              <w:pStyle w:val="ListParagraph"/>
              <w:numPr>
                <w:ilvl w:val="0"/>
                <w:numId w:val="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Remplir les </w:t>
            </w:r>
            <w:r w:rsidR="00792425">
              <w:rPr>
                <w:rFonts w:eastAsia="Times New Roman" w:cs="Arial"/>
                <w:sz w:val="18"/>
                <w:szCs w:val="18"/>
                <w:lang w:val="fr-FR" w:eastAsia="en-GB"/>
              </w:rPr>
              <w:t>modèles de compte rendu</w:t>
            </w:r>
          </w:p>
          <w:p w:rsidR="00BA00FE" w:rsidRPr="00B65525" w:rsidRDefault="00B65525" w:rsidP="00B65525">
            <w:pPr>
              <w:pStyle w:val="ListParagraph"/>
              <w:numPr>
                <w:ilvl w:val="0"/>
                <w:numId w:val="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Soutenir </w:t>
            </w:r>
            <w:r w:rsidR="003C4F3C">
              <w:rPr>
                <w:rFonts w:eastAsia="Times New Roman" w:cs="Arial"/>
                <w:sz w:val="18"/>
                <w:szCs w:val="18"/>
                <w:lang w:val="fr-FR" w:eastAsia="en-GB"/>
              </w:rPr>
              <w:t>la collecte de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données visant à documenter les enseignements tirés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0918AF" w:rsidRDefault="00163BDE" w:rsidP="00792425">
            <w:pPr>
              <w:pStyle w:val="ListParagraph"/>
              <w:numPr>
                <w:ilvl w:val="0"/>
                <w:numId w:val="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>Remplir</w:t>
            </w:r>
            <w:r w:rsidR="000918AF"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et examiner les </w:t>
            </w:r>
            <w:r w:rsidR="00792425">
              <w:rPr>
                <w:rFonts w:eastAsia="Times New Roman" w:cs="Arial"/>
                <w:sz w:val="18"/>
                <w:szCs w:val="18"/>
                <w:lang w:val="fr-FR" w:eastAsia="en-GB"/>
              </w:rPr>
              <w:t>modèles de compte rendu</w:t>
            </w:r>
            <w:r w:rsidR="003C4F3C">
              <w:rPr>
                <w:rFonts w:eastAsia="Times New Roman" w:cs="Arial"/>
                <w:sz w:val="18"/>
                <w:szCs w:val="18"/>
                <w:lang w:val="fr-FR"/>
              </w:rPr>
              <w:t xml:space="preserve"> </w:t>
            </w:r>
          </w:p>
          <w:p w:rsidR="00BA00FE" w:rsidRPr="000918AF" w:rsidRDefault="000918AF" w:rsidP="00163BDE">
            <w:pPr>
              <w:pStyle w:val="ListParagraph"/>
              <w:numPr>
                <w:ilvl w:val="0"/>
                <w:numId w:val="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Participer au processus </w:t>
            </w:r>
            <w:r w:rsidR="00163BDE">
              <w:rPr>
                <w:rFonts w:eastAsia="Times New Roman" w:cs="Arial"/>
                <w:sz w:val="18"/>
                <w:szCs w:val="18"/>
                <w:lang w:val="fr-FR" w:eastAsia="en-GB"/>
              </w:rPr>
              <w:t>visant à mettre en avant</w:t>
            </w:r>
            <w:r>
              <w:rPr>
                <w:rFonts w:eastAsia="Times New Roman" w:cs="Arial"/>
                <w:sz w:val="18"/>
                <w:szCs w:val="18"/>
                <w:lang w:val="fr-FR" w:eastAsia="en-GB"/>
              </w:rPr>
              <w:t xml:space="preserve"> les enseignements tirés en élaborant des fiches d’information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E3071A" w:rsidRDefault="00E3071A" w:rsidP="00792425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/>
              <w:ind w:left="249" w:hanging="249"/>
              <w:jc w:val="left"/>
              <w:rPr>
                <w:rFonts w:eastAsia="Times New Roman" w:cs="Arial"/>
                <w:sz w:val="18"/>
                <w:szCs w:val="18"/>
                <w:lang w:val="fr-FR"/>
              </w:rPr>
            </w:pPr>
            <w:r>
              <w:rPr>
                <w:rFonts w:eastAsia="Times New Roman" w:cs="Arial"/>
                <w:sz w:val="18"/>
                <w:szCs w:val="18"/>
                <w:lang w:val="fr-FR"/>
              </w:rPr>
              <w:t xml:space="preserve">Établir des </w:t>
            </w:r>
            <w:r w:rsidR="00792425">
              <w:rPr>
                <w:rFonts w:eastAsia="Times New Roman" w:cs="Arial"/>
                <w:sz w:val="18"/>
                <w:szCs w:val="18"/>
                <w:lang w:val="fr-FR"/>
              </w:rPr>
              <w:t>comptes rendus</w:t>
            </w:r>
            <w:r>
              <w:rPr>
                <w:rFonts w:eastAsia="Times New Roman" w:cs="Arial"/>
                <w:sz w:val="18"/>
                <w:szCs w:val="18"/>
                <w:lang w:val="fr-FR"/>
              </w:rPr>
              <w:t xml:space="preserve"> sur les PTM, formuler des recommandations et prendre en compte </w:t>
            </w:r>
            <w:r w:rsidR="00792425">
              <w:rPr>
                <w:rFonts w:eastAsia="Times New Roman" w:cs="Arial"/>
                <w:sz w:val="18"/>
                <w:szCs w:val="18"/>
                <w:lang w:val="fr-FR"/>
              </w:rPr>
              <w:t>les enseignements tirés</w:t>
            </w:r>
            <w:r>
              <w:rPr>
                <w:rFonts w:eastAsia="Times New Roman" w:cs="Arial"/>
                <w:sz w:val="18"/>
                <w:szCs w:val="18"/>
                <w:lang w:val="fr-FR"/>
              </w:rPr>
              <w:t xml:space="preserve"> dans les programmes</w:t>
            </w:r>
            <w:r w:rsidR="008E1C37">
              <w:rPr>
                <w:rFonts w:eastAsia="Times New Roman" w:cs="Arial"/>
                <w:sz w:val="18"/>
                <w:szCs w:val="18"/>
                <w:lang w:val="fr-FR"/>
              </w:rPr>
              <w:t xml:space="preserve"> futurs</w:t>
            </w:r>
          </w:p>
          <w:p w:rsidR="00BA00FE" w:rsidRPr="00E3071A" w:rsidRDefault="00E3071A" w:rsidP="00E3071A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/>
              <w:ind w:left="249" w:hanging="249"/>
              <w:jc w:val="left"/>
              <w:rPr>
                <w:rFonts w:eastAsia="Times New Roman" w:cs="Arial"/>
                <w:color w:val="212121"/>
                <w:sz w:val="18"/>
                <w:szCs w:val="18"/>
                <w:lang w:val="fr-FR"/>
              </w:rPr>
            </w:pPr>
            <w:r>
              <w:rPr>
                <w:rFonts w:eastAsia="Times New Roman" w:cs="Arial"/>
                <w:color w:val="212121"/>
                <w:sz w:val="18"/>
                <w:szCs w:val="18"/>
                <w:lang w:val="fr-FR"/>
              </w:rPr>
              <w:t>Étayer les enseignements tirés au moyen de fiches d’information et d’études de cas</w:t>
            </w:r>
          </w:p>
        </w:tc>
      </w:tr>
    </w:tbl>
    <w:p w:rsidR="00910AEB" w:rsidRPr="000B5E99" w:rsidRDefault="00910AEB" w:rsidP="00A3159C">
      <w:pPr>
        <w:spacing w:before="40" w:after="40"/>
        <w:contextualSpacing/>
        <w:jc w:val="left"/>
        <w:rPr>
          <w:lang w:val="fr-FR"/>
        </w:rPr>
      </w:pPr>
    </w:p>
    <w:sectPr w:rsidR="00910AEB" w:rsidRPr="000B5E99" w:rsidSect="003B2053">
      <w:headerReference w:type="default" r:id="rId9"/>
      <w:footerReference w:type="default" r:id="rId10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6F" w:rsidRDefault="00294B6F" w:rsidP="00176394">
      <w:pPr>
        <w:spacing w:after="0"/>
      </w:pPr>
      <w:r>
        <w:separator/>
      </w:r>
    </w:p>
  </w:endnote>
  <w:endnote w:type="continuationSeparator" w:id="0">
    <w:p w:rsidR="00294B6F" w:rsidRDefault="00294B6F" w:rsidP="001763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53" w:rsidRPr="00B45C74" w:rsidRDefault="00ED2BC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3B2053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82AD8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3B2053" w:rsidRPr="000B5E99" w:rsidRDefault="003B2053" w:rsidP="00ED1B2B">
    <w:pPr>
      <w:pStyle w:val="Footer"/>
      <w:rPr>
        <w:lang w:val="fr-FR"/>
      </w:rPr>
    </w:pPr>
    <w:r w:rsidRPr="000B5E99">
      <w:rPr>
        <w:b/>
        <w:lang w:val="fr-FR"/>
      </w:rPr>
      <w:t>Module 1.</w:t>
    </w:r>
    <w:r w:rsidRPr="000B5E99">
      <w:rPr>
        <w:lang w:val="fr-FR"/>
      </w:rPr>
      <w:t xml:space="preserve"> </w:t>
    </w:r>
    <w:r w:rsidR="000B5E99" w:rsidRPr="000B5E99">
      <w:rPr>
        <w:lang w:val="fr-FR"/>
      </w:rPr>
      <w:t>Étape</w:t>
    </w:r>
    <w:r w:rsidRPr="000B5E99">
      <w:rPr>
        <w:lang w:val="fr-FR"/>
      </w:rPr>
      <w:t xml:space="preserve"> 2. </w:t>
    </w:r>
    <w:r w:rsidR="000B5E99" w:rsidRPr="000B5E99">
      <w:rPr>
        <w:lang w:val="fr-FR"/>
      </w:rPr>
      <w:t>Étape subsidiaire 6. Cadre de compétences en matière de PTM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6F" w:rsidRDefault="00294B6F" w:rsidP="00176394">
      <w:pPr>
        <w:spacing w:after="0"/>
      </w:pPr>
      <w:r>
        <w:separator/>
      </w:r>
    </w:p>
  </w:footnote>
  <w:footnote w:type="continuationSeparator" w:id="0">
    <w:p w:rsidR="00294B6F" w:rsidRDefault="00294B6F" w:rsidP="001763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53" w:rsidRPr="000B5E99" w:rsidRDefault="000B5E99" w:rsidP="00437FBB">
    <w:pPr>
      <w:pStyle w:val="Header"/>
      <w:rPr>
        <w:sz w:val="14"/>
        <w:szCs w:val="14"/>
        <w:lang w:val="fr-FR"/>
      </w:rPr>
    </w:pPr>
    <w:r>
      <w:rPr>
        <w:rStyle w:val="Pantone485"/>
        <w:sz w:val="14"/>
        <w:szCs w:val="14"/>
        <w:lang w:val="fr-FR"/>
      </w:rPr>
      <w:t>Mouvement international de la Croix-Rouge et du Croissant-Rouge</w:t>
    </w:r>
    <w:r w:rsidR="003B2053" w:rsidRPr="000B5E99">
      <w:rPr>
        <w:rFonts w:cs="Caecilia-Light"/>
        <w:color w:val="FF0000"/>
        <w:sz w:val="14"/>
        <w:szCs w:val="14"/>
        <w:lang w:val="fr-FR"/>
      </w:rPr>
      <w:t xml:space="preserve"> </w:t>
    </w:r>
    <w:r w:rsidR="003B2053" w:rsidRPr="000B5E99">
      <w:rPr>
        <w:rStyle w:val="PageNumber"/>
        <w:bCs/>
        <w:sz w:val="14"/>
        <w:szCs w:val="14"/>
        <w:lang w:val="fr-FR"/>
      </w:rPr>
      <w:t>I</w:t>
    </w:r>
    <w:r w:rsidR="003B2053" w:rsidRPr="000B5E99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437FBB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30E"/>
    <w:multiLevelType w:val="hybridMultilevel"/>
    <w:tmpl w:val="BD4EF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75093"/>
    <w:multiLevelType w:val="hybridMultilevel"/>
    <w:tmpl w:val="2152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1CDB"/>
    <w:multiLevelType w:val="hybridMultilevel"/>
    <w:tmpl w:val="F5D0C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340FA"/>
    <w:multiLevelType w:val="hybridMultilevel"/>
    <w:tmpl w:val="9508F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462182"/>
    <w:multiLevelType w:val="multilevel"/>
    <w:tmpl w:val="6636B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175EF"/>
    <w:multiLevelType w:val="hybridMultilevel"/>
    <w:tmpl w:val="EEF8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A3996"/>
    <w:multiLevelType w:val="multilevel"/>
    <w:tmpl w:val="F310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25F68"/>
    <w:multiLevelType w:val="hybridMultilevel"/>
    <w:tmpl w:val="F39E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A0869"/>
    <w:multiLevelType w:val="hybridMultilevel"/>
    <w:tmpl w:val="5764F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1B725A"/>
    <w:multiLevelType w:val="hybridMultilevel"/>
    <w:tmpl w:val="F838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937E7"/>
    <w:multiLevelType w:val="hybridMultilevel"/>
    <w:tmpl w:val="8B3E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B5B29"/>
    <w:multiLevelType w:val="hybridMultilevel"/>
    <w:tmpl w:val="0494E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F228C"/>
    <w:multiLevelType w:val="hybridMultilevel"/>
    <w:tmpl w:val="BC325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A708F0"/>
    <w:multiLevelType w:val="hybridMultilevel"/>
    <w:tmpl w:val="B776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F14E6"/>
    <w:multiLevelType w:val="hybridMultilevel"/>
    <w:tmpl w:val="32D6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C5FD7"/>
    <w:multiLevelType w:val="hybridMultilevel"/>
    <w:tmpl w:val="81448166"/>
    <w:lvl w:ilvl="0" w:tplc="958A4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F6EB1"/>
    <w:multiLevelType w:val="hybridMultilevel"/>
    <w:tmpl w:val="AC48B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40D7E"/>
    <w:multiLevelType w:val="hybridMultilevel"/>
    <w:tmpl w:val="9D7A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A0D3C"/>
    <w:multiLevelType w:val="hybridMultilevel"/>
    <w:tmpl w:val="4A04CE70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B5144"/>
    <w:multiLevelType w:val="hybridMultilevel"/>
    <w:tmpl w:val="2C2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49F7"/>
    <w:multiLevelType w:val="hybridMultilevel"/>
    <w:tmpl w:val="8610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E64E2"/>
    <w:multiLevelType w:val="hybridMultilevel"/>
    <w:tmpl w:val="A560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0049D"/>
    <w:multiLevelType w:val="hybridMultilevel"/>
    <w:tmpl w:val="225C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2"/>
  </w:num>
  <w:num w:numId="5">
    <w:abstractNumId w:val="12"/>
  </w:num>
  <w:num w:numId="6">
    <w:abstractNumId w:val="14"/>
  </w:num>
  <w:num w:numId="7">
    <w:abstractNumId w:val="3"/>
  </w:num>
  <w:num w:numId="8">
    <w:abstractNumId w:val="4"/>
  </w:num>
  <w:num w:numId="9">
    <w:abstractNumId w:val="19"/>
  </w:num>
  <w:num w:numId="10">
    <w:abstractNumId w:val="13"/>
  </w:num>
  <w:num w:numId="11">
    <w:abstractNumId w:val="7"/>
  </w:num>
  <w:num w:numId="12">
    <w:abstractNumId w:val="9"/>
  </w:num>
  <w:num w:numId="13">
    <w:abstractNumId w:val="1"/>
  </w:num>
  <w:num w:numId="14">
    <w:abstractNumId w:val="28"/>
  </w:num>
  <w:num w:numId="15">
    <w:abstractNumId w:val="15"/>
  </w:num>
  <w:num w:numId="16">
    <w:abstractNumId w:val="24"/>
  </w:num>
  <w:num w:numId="17">
    <w:abstractNumId w:val="8"/>
  </w:num>
  <w:num w:numId="18">
    <w:abstractNumId w:val="17"/>
  </w:num>
  <w:num w:numId="19">
    <w:abstractNumId w:val="16"/>
  </w:num>
  <w:num w:numId="20">
    <w:abstractNumId w:val="18"/>
  </w:num>
  <w:num w:numId="21">
    <w:abstractNumId w:val="11"/>
  </w:num>
  <w:num w:numId="22">
    <w:abstractNumId w:val="22"/>
  </w:num>
  <w:num w:numId="23">
    <w:abstractNumId w:val="27"/>
  </w:num>
  <w:num w:numId="24">
    <w:abstractNumId w:val="0"/>
  </w:num>
  <w:num w:numId="25">
    <w:abstractNumId w:val="21"/>
  </w:num>
  <w:num w:numId="26">
    <w:abstractNumId w:val="6"/>
  </w:num>
  <w:num w:numId="27">
    <w:abstractNumId w:val="23"/>
  </w:num>
  <w:num w:numId="28">
    <w:abstractNumId w:val="26"/>
  </w:num>
  <w:num w:numId="2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attachedTemplate r:id="rId1"/>
  <w:linkStyles/>
  <w:stylePaneSortMethod w:val="00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673C2"/>
    <w:rsid w:val="0000696B"/>
    <w:rsid w:val="00006AD3"/>
    <w:rsid w:val="00007E49"/>
    <w:rsid w:val="00010129"/>
    <w:rsid w:val="0001225F"/>
    <w:rsid w:val="00013C27"/>
    <w:rsid w:val="00014A27"/>
    <w:rsid w:val="00017662"/>
    <w:rsid w:val="000178BE"/>
    <w:rsid w:val="00017E45"/>
    <w:rsid w:val="00020994"/>
    <w:rsid w:val="000233A9"/>
    <w:rsid w:val="00024E1C"/>
    <w:rsid w:val="00027BE4"/>
    <w:rsid w:val="000315C0"/>
    <w:rsid w:val="00031824"/>
    <w:rsid w:val="00032E46"/>
    <w:rsid w:val="00033BFA"/>
    <w:rsid w:val="00036C84"/>
    <w:rsid w:val="00040736"/>
    <w:rsid w:val="000412DE"/>
    <w:rsid w:val="000426D4"/>
    <w:rsid w:val="000433D4"/>
    <w:rsid w:val="00044B86"/>
    <w:rsid w:val="00044D6A"/>
    <w:rsid w:val="0004590B"/>
    <w:rsid w:val="00045AF0"/>
    <w:rsid w:val="0004760B"/>
    <w:rsid w:val="00051B3B"/>
    <w:rsid w:val="0005261C"/>
    <w:rsid w:val="0005626F"/>
    <w:rsid w:val="00056F73"/>
    <w:rsid w:val="00056FC4"/>
    <w:rsid w:val="00057FD5"/>
    <w:rsid w:val="000607FE"/>
    <w:rsid w:val="00061E75"/>
    <w:rsid w:val="000624D5"/>
    <w:rsid w:val="00064414"/>
    <w:rsid w:val="00064639"/>
    <w:rsid w:val="00064E07"/>
    <w:rsid w:val="00064F73"/>
    <w:rsid w:val="000653D6"/>
    <w:rsid w:val="00066625"/>
    <w:rsid w:val="00067C87"/>
    <w:rsid w:val="000704A3"/>
    <w:rsid w:val="00071099"/>
    <w:rsid w:val="00071956"/>
    <w:rsid w:val="00071E55"/>
    <w:rsid w:val="00077446"/>
    <w:rsid w:val="0008209A"/>
    <w:rsid w:val="00083883"/>
    <w:rsid w:val="000918AF"/>
    <w:rsid w:val="00092602"/>
    <w:rsid w:val="000949AB"/>
    <w:rsid w:val="00096EE8"/>
    <w:rsid w:val="00096EFA"/>
    <w:rsid w:val="000A3AC9"/>
    <w:rsid w:val="000A3CC0"/>
    <w:rsid w:val="000A4F29"/>
    <w:rsid w:val="000A68ED"/>
    <w:rsid w:val="000B3444"/>
    <w:rsid w:val="000B352E"/>
    <w:rsid w:val="000B5E99"/>
    <w:rsid w:val="000B72A3"/>
    <w:rsid w:val="000C1305"/>
    <w:rsid w:val="000C2AD3"/>
    <w:rsid w:val="000C2F89"/>
    <w:rsid w:val="000C57A3"/>
    <w:rsid w:val="000C68C3"/>
    <w:rsid w:val="000C69FA"/>
    <w:rsid w:val="000C6EE6"/>
    <w:rsid w:val="000D1405"/>
    <w:rsid w:val="000D173A"/>
    <w:rsid w:val="000D1C9A"/>
    <w:rsid w:val="000D324C"/>
    <w:rsid w:val="000D35A0"/>
    <w:rsid w:val="000D4962"/>
    <w:rsid w:val="000D4A10"/>
    <w:rsid w:val="000D5D92"/>
    <w:rsid w:val="000D7618"/>
    <w:rsid w:val="000E1776"/>
    <w:rsid w:val="000E20AD"/>
    <w:rsid w:val="000E3962"/>
    <w:rsid w:val="000E5F14"/>
    <w:rsid w:val="000F531D"/>
    <w:rsid w:val="000F6DA8"/>
    <w:rsid w:val="0010225F"/>
    <w:rsid w:val="00104468"/>
    <w:rsid w:val="00104646"/>
    <w:rsid w:val="001070AA"/>
    <w:rsid w:val="00110606"/>
    <w:rsid w:val="001124A9"/>
    <w:rsid w:val="00113CAE"/>
    <w:rsid w:val="00115ABD"/>
    <w:rsid w:val="001203F7"/>
    <w:rsid w:val="00120D19"/>
    <w:rsid w:val="001233D1"/>
    <w:rsid w:val="00124383"/>
    <w:rsid w:val="001249C3"/>
    <w:rsid w:val="0012508F"/>
    <w:rsid w:val="00131D56"/>
    <w:rsid w:val="00131E52"/>
    <w:rsid w:val="0013243F"/>
    <w:rsid w:val="00133C18"/>
    <w:rsid w:val="00134AE6"/>
    <w:rsid w:val="00135551"/>
    <w:rsid w:val="001376CD"/>
    <w:rsid w:val="00145FB7"/>
    <w:rsid w:val="00146135"/>
    <w:rsid w:val="0014746E"/>
    <w:rsid w:val="00150360"/>
    <w:rsid w:val="00153792"/>
    <w:rsid w:val="00153B72"/>
    <w:rsid w:val="00154775"/>
    <w:rsid w:val="001562F2"/>
    <w:rsid w:val="0015751B"/>
    <w:rsid w:val="00157983"/>
    <w:rsid w:val="00157A24"/>
    <w:rsid w:val="00157E64"/>
    <w:rsid w:val="00160778"/>
    <w:rsid w:val="00162215"/>
    <w:rsid w:val="00162952"/>
    <w:rsid w:val="00163BDE"/>
    <w:rsid w:val="00164110"/>
    <w:rsid w:val="001648C7"/>
    <w:rsid w:val="00166D1F"/>
    <w:rsid w:val="00167E74"/>
    <w:rsid w:val="00175230"/>
    <w:rsid w:val="00176394"/>
    <w:rsid w:val="00182A89"/>
    <w:rsid w:val="00183CB6"/>
    <w:rsid w:val="001932EB"/>
    <w:rsid w:val="00193994"/>
    <w:rsid w:val="0019758C"/>
    <w:rsid w:val="0019796F"/>
    <w:rsid w:val="001A00FD"/>
    <w:rsid w:val="001A2BCB"/>
    <w:rsid w:val="001A34E0"/>
    <w:rsid w:val="001B344C"/>
    <w:rsid w:val="001B3B97"/>
    <w:rsid w:val="001B4DF5"/>
    <w:rsid w:val="001B579D"/>
    <w:rsid w:val="001C159F"/>
    <w:rsid w:val="001C37DA"/>
    <w:rsid w:val="001C5B09"/>
    <w:rsid w:val="001C6B95"/>
    <w:rsid w:val="001D06CE"/>
    <w:rsid w:val="001D18FF"/>
    <w:rsid w:val="001D271D"/>
    <w:rsid w:val="001D3406"/>
    <w:rsid w:val="001D3708"/>
    <w:rsid w:val="001D3787"/>
    <w:rsid w:val="001E1E61"/>
    <w:rsid w:val="001E4CA1"/>
    <w:rsid w:val="001E5254"/>
    <w:rsid w:val="001E79DD"/>
    <w:rsid w:val="001F1531"/>
    <w:rsid w:val="001F3188"/>
    <w:rsid w:val="001F365A"/>
    <w:rsid w:val="001F7EDB"/>
    <w:rsid w:val="002030F5"/>
    <w:rsid w:val="00203905"/>
    <w:rsid w:val="00204945"/>
    <w:rsid w:val="002053F7"/>
    <w:rsid w:val="00205937"/>
    <w:rsid w:val="00205C5C"/>
    <w:rsid w:val="00207026"/>
    <w:rsid w:val="0021113F"/>
    <w:rsid w:val="00214A56"/>
    <w:rsid w:val="002160C2"/>
    <w:rsid w:val="002163D6"/>
    <w:rsid w:val="002168E0"/>
    <w:rsid w:val="002225D7"/>
    <w:rsid w:val="00222695"/>
    <w:rsid w:val="00222A1A"/>
    <w:rsid w:val="002239AB"/>
    <w:rsid w:val="00225550"/>
    <w:rsid w:val="00227EB9"/>
    <w:rsid w:val="00230114"/>
    <w:rsid w:val="002375CD"/>
    <w:rsid w:val="00240364"/>
    <w:rsid w:val="00241139"/>
    <w:rsid w:val="00243CA0"/>
    <w:rsid w:val="00244489"/>
    <w:rsid w:val="002468FD"/>
    <w:rsid w:val="00246B2A"/>
    <w:rsid w:val="002471C8"/>
    <w:rsid w:val="00247691"/>
    <w:rsid w:val="002538F5"/>
    <w:rsid w:val="002562DC"/>
    <w:rsid w:val="002575D9"/>
    <w:rsid w:val="002579AB"/>
    <w:rsid w:val="00261B96"/>
    <w:rsid w:val="00274364"/>
    <w:rsid w:val="0027478C"/>
    <w:rsid w:val="00275C02"/>
    <w:rsid w:val="002763E2"/>
    <w:rsid w:val="0027752C"/>
    <w:rsid w:val="0028198A"/>
    <w:rsid w:val="002838A6"/>
    <w:rsid w:val="00287BFA"/>
    <w:rsid w:val="0029024F"/>
    <w:rsid w:val="00291431"/>
    <w:rsid w:val="00291851"/>
    <w:rsid w:val="00291923"/>
    <w:rsid w:val="00291960"/>
    <w:rsid w:val="00292466"/>
    <w:rsid w:val="00293D90"/>
    <w:rsid w:val="002944E1"/>
    <w:rsid w:val="00294B6F"/>
    <w:rsid w:val="00295A15"/>
    <w:rsid w:val="00296151"/>
    <w:rsid w:val="002A15A0"/>
    <w:rsid w:val="002A3D60"/>
    <w:rsid w:val="002A41E0"/>
    <w:rsid w:val="002A783B"/>
    <w:rsid w:val="002B1CB8"/>
    <w:rsid w:val="002B3F34"/>
    <w:rsid w:val="002B4F19"/>
    <w:rsid w:val="002C02A1"/>
    <w:rsid w:val="002C2043"/>
    <w:rsid w:val="002C2E3F"/>
    <w:rsid w:val="002C32E9"/>
    <w:rsid w:val="002C3AC4"/>
    <w:rsid w:val="002D0069"/>
    <w:rsid w:val="002D17C7"/>
    <w:rsid w:val="002D3DD5"/>
    <w:rsid w:val="002D40E7"/>
    <w:rsid w:val="002D4812"/>
    <w:rsid w:val="002D4E3E"/>
    <w:rsid w:val="002D61DD"/>
    <w:rsid w:val="002D6A4F"/>
    <w:rsid w:val="002E34D6"/>
    <w:rsid w:val="002E419C"/>
    <w:rsid w:val="002E4A53"/>
    <w:rsid w:val="002E5A9E"/>
    <w:rsid w:val="002E5DEF"/>
    <w:rsid w:val="002E625B"/>
    <w:rsid w:val="002F0BF7"/>
    <w:rsid w:val="002F1738"/>
    <w:rsid w:val="002F7240"/>
    <w:rsid w:val="002F7AA5"/>
    <w:rsid w:val="0030006D"/>
    <w:rsid w:val="0030476D"/>
    <w:rsid w:val="00305E45"/>
    <w:rsid w:val="00306817"/>
    <w:rsid w:val="00315673"/>
    <w:rsid w:val="003159E4"/>
    <w:rsid w:val="00317209"/>
    <w:rsid w:val="00322253"/>
    <w:rsid w:val="00322C67"/>
    <w:rsid w:val="00323A0B"/>
    <w:rsid w:val="003262D0"/>
    <w:rsid w:val="00330C0E"/>
    <w:rsid w:val="00332054"/>
    <w:rsid w:val="003329A3"/>
    <w:rsid w:val="00333827"/>
    <w:rsid w:val="003351C5"/>
    <w:rsid w:val="00335D09"/>
    <w:rsid w:val="00340167"/>
    <w:rsid w:val="003418B4"/>
    <w:rsid w:val="0034292E"/>
    <w:rsid w:val="00342A84"/>
    <w:rsid w:val="00345BFE"/>
    <w:rsid w:val="00347A4C"/>
    <w:rsid w:val="00352AC7"/>
    <w:rsid w:val="00355D09"/>
    <w:rsid w:val="00357518"/>
    <w:rsid w:val="00357637"/>
    <w:rsid w:val="00361384"/>
    <w:rsid w:val="003621B3"/>
    <w:rsid w:val="00362772"/>
    <w:rsid w:val="00363F51"/>
    <w:rsid w:val="003662A7"/>
    <w:rsid w:val="003715F4"/>
    <w:rsid w:val="0037385B"/>
    <w:rsid w:val="00373A2F"/>
    <w:rsid w:val="0037448B"/>
    <w:rsid w:val="0037756D"/>
    <w:rsid w:val="00385B28"/>
    <w:rsid w:val="00393C4E"/>
    <w:rsid w:val="00393E59"/>
    <w:rsid w:val="003943F9"/>
    <w:rsid w:val="00395FCB"/>
    <w:rsid w:val="003979CA"/>
    <w:rsid w:val="003A2D6D"/>
    <w:rsid w:val="003A3D00"/>
    <w:rsid w:val="003A3D8A"/>
    <w:rsid w:val="003A470E"/>
    <w:rsid w:val="003A5D73"/>
    <w:rsid w:val="003B0544"/>
    <w:rsid w:val="003B2053"/>
    <w:rsid w:val="003B78EC"/>
    <w:rsid w:val="003B7C95"/>
    <w:rsid w:val="003C0573"/>
    <w:rsid w:val="003C1287"/>
    <w:rsid w:val="003C1300"/>
    <w:rsid w:val="003C1AA6"/>
    <w:rsid w:val="003C380B"/>
    <w:rsid w:val="003C4F3C"/>
    <w:rsid w:val="003C57D3"/>
    <w:rsid w:val="003D110E"/>
    <w:rsid w:val="003D3D9E"/>
    <w:rsid w:val="003E244F"/>
    <w:rsid w:val="003E2B0E"/>
    <w:rsid w:val="003E33D1"/>
    <w:rsid w:val="003E446F"/>
    <w:rsid w:val="003F1325"/>
    <w:rsid w:val="003F52CE"/>
    <w:rsid w:val="003F5657"/>
    <w:rsid w:val="004039B9"/>
    <w:rsid w:val="00404A39"/>
    <w:rsid w:val="00404B93"/>
    <w:rsid w:val="00404D94"/>
    <w:rsid w:val="00412F06"/>
    <w:rsid w:val="004137C9"/>
    <w:rsid w:val="004146D4"/>
    <w:rsid w:val="004154BD"/>
    <w:rsid w:val="00416658"/>
    <w:rsid w:val="00420D5C"/>
    <w:rsid w:val="0042498C"/>
    <w:rsid w:val="004253C5"/>
    <w:rsid w:val="0042752A"/>
    <w:rsid w:val="004319FF"/>
    <w:rsid w:val="00432D5F"/>
    <w:rsid w:val="00433C3E"/>
    <w:rsid w:val="004352E5"/>
    <w:rsid w:val="00437CC8"/>
    <w:rsid w:val="00437F10"/>
    <w:rsid w:val="00437FBB"/>
    <w:rsid w:val="004402CE"/>
    <w:rsid w:val="00440C10"/>
    <w:rsid w:val="00441EA5"/>
    <w:rsid w:val="00441FA0"/>
    <w:rsid w:val="0044335C"/>
    <w:rsid w:val="004433ED"/>
    <w:rsid w:val="00446117"/>
    <w:rsid w:val="00447925"/>
    <w:rsid w:val="00450B11"/>
    <w:rsid w:val="00451FE3"/>
    <w:rsid w:val="0045349E"/>
    <w:rsid w:val="004543CB"/>
    <w:rsid w:val="004546AD"/>
    <w:rsid w:val="0046577F"/>
    <w:rsid w:val="00466D88"/>
    <w:rsid w:val="0047053D"/>
    <w:rsid w:val="00470850"/>
    <w:rsid w:val="004714BE"/>
    <w:rsid w:val="00471821"/>
    <w:rsid w:val="0047440F"/>
    <w:rsid w:val="00482AD8"/>
    <w:rsid w:val="00483DA8"/>
    <w:rsid w:val="00490BF4"/>
    <w:rsid w:val="00495F84"/>
    <w:rsid w:val="00497D70"/>
    <w:rsid w:val="004A0BDA"/>
    <w:rsid w:val="004A31D1"/>
    <w:rsid w:val="004A71ED"/>
    <w:rsid w:val="004B03D1"/>
    <w:rsid w:val="004B4106"/>
    <w:rsid w:val="004B5D9F"/>
    <w:rsid w:val="004B7A22"/>
    <w:rsid w:val="004C6544"/>
    <w:rsid w:val="004C7A3B"/>
    <w:rsid w:val="004D0308"/>
    <w:rsid w:val="004D1DA3"/>
    <w:rsid w:val="004D2F74"/>
    <w:rsid w:val="004D4A3A"/>
    <w:rsid w:val="004E12B0"/>
    <w:rsid w:val="004E15C7"/>
    <w:rsid w:val="004E2326"/>
    <w:rsid w:val="004E6523"/>
    <w:rsid w:val="004F0282"/>
    <w:rsid w:val="004F14F3"/>
    <w:rsid w:val="004F2EAD"/>
    <w:rsid w:val="004F2F73"/>
    <w:rsid w:val="004F4594"/>
    <w:rsid w:val="004F4F69"/>
    <w:rsid w:val="00501C29"/>
    <w:rsid w:val="00504A51"/>
    <w:rsid w:val="005050A5"/>
    <w:rsid w:val="00505602"/>
    <w:rsid w:val="00506A96"/>
    <w:rsid w:val="0051227C"/>
    <w:rsid w:val="005228C5"/>
    <w:rsid w:val="00524687"/>
    <w:rsid w:val="00526207"/>
    <w:rsid w:val="0053291A"/>
    <w:rsid w:val="0053507F"/>
    <w:rsid w:val="005353D6"/>
    <w:rsid w:val="0053552F"/>
    <w:rsid w:val="00536CED"/>
    <w:rsid w:val="0054071B"/>
    <w:rsid w:val="00542A92"/>
    <w:rsid w:val="0054666A"/>
    <w:rsid w:val="00550B0B"/>
    <w:rsid w:val="005522E7"/>
    <w:rsid w:val="00553B75"/>
    <w:rsid w:val="00555160"/>
    <w:rsid w:val="00557177"/>
    <w:rsid w:val="00557589"/>
    <w:rsid w:val="00564868"/>
    <w:rsid w:val="00566956"/>
    <w:rsid w:val="00572369"/>
    <w:rsid w:val="00573E94"/>
    <w:rsid w:val="0057613B"/>
    <w:rsid w:val="00576D16"/>
    <w:rsid w:val="00587DC7"/>
    <w:rsid w:val="00591759"/>
    <w:rsid w:val="005920E9"/>
    <w:rsid w:val="005949A1"/>
    <w:rsid w:val="00595075"/>
    <w:rsid w:val="00595AD1"/>
    <w:rsid w:val="00597829"/>
    <w:rsid w:val="00597ED1"/>
    <w:rsid w:val="005A20B0"/>
    <w:rsid w:val="005A2A5E"/>
    <w:rsid w:val="005A4F95"/>
    <w:rsid w:val="005A6017"/>
    <w:rsid w:val="005A745A"/>
    <w:rsid w:val="005A7780"/>
    <w:rsid w:val="005B1009"/>
    <w:rsid w:val="005B2489"/>
    <w:rsid w:val="005B34BE"/>
    <w:rsid w:val="005B7AD5"/>
    <w:rsid w:val="005B7FBF"/>
    <w:rsid w:val="005C1E61"/>
    <w:rsid w:val="005C6290"/>
    <w:rsid w:val="005D0699"/>
    <w:rsid w:val="005D224A"/>
    <w:rsid w:val="005D5E7B"/>
    <w:rsid w:val="005D6295"/>
    <w:rsid w:val="005D7132"/>
    <w:rsid w:val="005D766D"/>
    <w:rsid w:val="005E4685"/>
    <w:rsid w:val="005E5CB4"/>
    <w:rsid w:val="005F0787"/>
    <w:rsid w:val="005F3541"/>
    <w:rsid w:val="005F3740"/>
    <w:rsid w:val="005F3C02"/>
    <w:rsid w:val="005F7864"/>
    <w:rsid w:val="005F7A25"/>
    <w:rsid w:val="00600EA9"/>
    <w:rsid w:val="00601275"/>
    <w:rsid w:val="00603F7B"/>
    <w:rsid w:val="00606A7F"/>
    <w:rsid w:val="006077EE"/>
    <w:rsid w:val="00613228"/>
    <w:rsid w:val="00614EB6"/>
    <w:rsid w:val="00615ED7"/>
    <w:rsid w:val="006233DD"/>
    <w:rsid w:val="00623563"/>
    <w:rsid w:val="00626FA3"/>
    <w:rsid w:val="00631C61"/>
    <w:rsid w:val="00631D56"/>
    <w:rsid w:val="006322D8"/>
    <w:rsid w:val="00641345"/>
    <w:rsid w:val="006479F1"/>
    <w:rsid w:val="00647C68"/>
    <w:rsid w:val="00650DC3"/>
    <w:rsid w:val="00651E54"/>
    <w:rsid w:val="00653F63"/>
    <w:rsid w:val="00655923"/>
    <w:rsid w:val="00655E2B"/>
    <w:rsid w:val="00660300"/>
    <w:rsid w:val="006628B2"/>
    <w:rsid w:val="00663E4B"/>
    <w:rsid w:val="00664894"/>
    <w:rsid w:val="006712D1"/>
    <w:rsid w:val="006726EB"/>
    <w:rsid w:val="00672DBA"/>
    <w:rsid w:val="00674A77"/>
    <w:rsid w:val="00680050"/>
    <w:rsid w:val="00680460"/>
    <w:rsid w:val="006809B3"/>
    <w:rsid w:val="00682AC8"/>
    <w:rsid w:val="00684FA8"/>
    <w:rsid w:val="00686DF3"/>
    <w:rsid w:val="006920C2"/>
    <w:rsid w:val="006937C1"/>
    <w:rsid w:val="00696FE2"/>
    <w:rsid w:val="006979D0"/>
    <w:rsid w:val="006A0B43"/>
    <w:rsid w:val="006A0E7A"/>
    <w:rsid w:val="006A478C"/>
    <w:rsid w:val="006A6F51"/>
    <w:rsid w:val="006B0665"/>
    <w:rsid w:val="006B13B7"/>
    <w:rsid w:val="006B2656"/>
    <w:rsid w:val="006B29FF"/>
    <w:rsid w:val="006B3D5F"/>
    <w:rsid w:val="006B4C3D"/>
    <w:rsid w:val="006B5452"/>
    <w:rsid w:val="006B5A2C"/>
    <w:rsid w:val="006B6DF3"/>
    <w:rsid w:val="006B72A5"/>
    <w:rsid w:val="006C42C4"/>
    <w:rsid w:val="006C44A2"/>
    <w:rsid w:val="006C602C"/>
    <w:rsid w:val="006D49F3"/>
    <w:rsid w:val="006D6F86"/>
    <w:rsid w:val="006D7246"/>
    <w:rsid w:val="006D7D3B"/>
    <w:rsid w:val="006E2882"/>
    <w:rsid w:val="006E2BF9"/>
    <w:rsid w:val="006E34F3"/>
    <w:rsid w:val="006E3E9F"/>
    <w:rsid w:val="006E4677"/>
    <w:rsid w:val="006E4EC8"/>
    <w:rsid w:val="006E75B1"/>
    <w:rsid w:val="006F0180"/>
    <w:rsid w:val="006F01AC"/>
    <w:rsid w:val="006F0271"/>
    <w:rsid w:val="006F12DB"/>
    <w:rsid w:val="006F202F"/>
    <w:rsid w:val="006F44CC"/>
    <w:rsid w:val="006F58AC"/>
    <w:rsid w:val="006F694B"/>
    <w:rsid w:val="00700E89"/>
    <w:rsid w:val="007025A6"/>
    <w:rsid w:val="007039AA"/>
    <w:rsid w:val="0070496F"/>
    <w:rsid w:val="007165FB"/>
    <w:rsid w:val="007166A1"/>
    <w:rsid w:val="00725633"/>
    <w:rsid w:val="00725F0B"/>
    <w:rsid w:val="00726071"/>
    <w:rsid w:val="0072624F"/>
    <w:rsid w:val="00727A0F"/>
    <w:rsid w:val="00727E11"/>
    <w:rsid w:val="007301D3"/>
    <w:rsid w:val="00731E07"/>
    <w:rsid w:val="00732F95"/>
    <w:rsid w:val="00733550"/>
    <w:rsid w:val="0073578A"/>
    <w:rsid w:val="00737C31"/>
    <w:rsid w:val="0074118D"/>
    <w:rsid w:val="00743445"/>
    <w:rsid w:val="00744695"/>
    <w:rsid w:val="00745172"/>
    <w:rsid w:val="00747E48"/>
    <w:rsid w:val="00750C85"/>
    <w:rsid w:val="00751C6C"/>
    <w:rsid w:val="007565F2"/>
    <w:rsid w:val="00756681"/>
    <w:rsid w:val="007608AC"/>
    <w:rsid w:val="007633CE"/>
    <w:rsid w:val="007634C1"/>
    <w:rsid w:val="00763E3A"/>
    <w:rsid w:val="0076401A"/>
    <w:rsid w:val="007673C2"/>
    <w:rsid w:val="00771BF6"/>
    <w:rsid w:val="00783675"/>
    <w:rsid w:val="00784961"/>
    <w:rsid w:val="007903D1"/>
    <w:rsid w:val="00792425"/>
    <w:rsid w:val="00794F3D"/>
    <w:rsid w:val="00796948"/>
    <w:rsid w:val="0079732F"/>
    <w:rsid w:val="007979BC"/>
    <w:rsid w:val="007A1344"/>
    <w:rsid w:val="007A2FCD"/>
    <w:rsid w:val="007A6266"/>
    <w:rsid w:val="007B0022"/>
    <w:rsid w:val="007B5975"/>
    <w:rsid w:val="007B66D4"/>
    <w:rsid w:val="007B6D3A"/>
    <w:rsid w:val="007B7CF2"/>
    <w:rsid w:val="007C2DFB"/>
    <w:rsid w:val="007C30A1"/>
    <w:rsid w:val="007D04FB"/>
    <w:rsid w:val="007D2126"/>
    <w:rsid w:val="007D2D56"/>
    <w:rsid w:val="007D428C"/>
    <w:rsid w:val="007D5758"/>
    <w:rsid w:val="007D7F1A"/>
    <w:rsid w:val="007E0130"/>
    <w:rsid w:val="007E38D2"/>
    <w:rsid w:val="007E5C47"/>
    <w:rsid w:val="007F0C65"/>
    <w:rsid w:val="007F1C0E"/>
    <w:rsid w:val="007F4F0E"/>
    <w:rsid w:val="007F7954"/>
    <w:rsid w:val="00807535"/>
    <w:rsid w:val="0080795D"/>
    <w:rsid w:val="00810664"/>
    <w:rsid w:val="00812558"/>
    <w:rsid w:val="00822C51"/>
    <w:rsid w:val="00823A52"/>
    <w:rsid w:val="00825885"/>
    <w:rsid w:val="00830577"/>
    <w:rsid w:val="00833DD0"/>
    <w:rsid w:val="00835114"/>
    <w:rsid w:val="008379D5"/>
    <w:rsid w:val="00841585"/>
    <w:rsid w:val="008432DB"/>
    <w:rsid w:val="00844618"/>
    <w:rsid w:val="008454D4"/>
    <w:rsid w:val="0085263F"/>
    <w:rsid w:val="00855052"/>
    <w:rsid w:val="0086042E"/>
    <w:rsid w:val="00862171"/>
    <w:rsid w:val="00864458"/>
    <w:rsid w:val="00865436"/>
    <w:rsid w:val="00865924"/>
    <w:rsid w:val="00865C48"/>
    <w:rsid w:val="00866562"/>
    <w:rsid w:val="0086672D"/>
    <w:rsid w:val="00873034"/>
    <w:rsid w:val="00874B0C"/>
    <w:rsid w:val="00874BF7"/>
    <w:rsid w:val="00875896"/>
    <w:rsid w:val="00877796"/>
    <w:rsid w:val="0087788C"/>
    <w:rsid w:val="00887055"/>
    <w:rsid w:val="00893CE8"/>
    <w:rsid w:val="008A2C01"/>
    <w:rsid w:val="008A6C23"/>
    <w:rsid w:val="008B1507"/>
    <w:rsid w:val="008B26D1"/>
    <w:rsid w:val="008B5941"/>
    <w:rsid w:val="008B6AF4"/>
    <w:rsid w:val="008C522C"/>
    <w:rsid w:val="008C5CF2"/>
    <w:rsid w:val="008D0AFD"/>
    <w:rsid w:val="008D1771"/>
    <w:rsid w:val="008D1AD9"/>
    <w:rsid w:val="008D3332"/>
    <w:rsid w:val="008D49D3"/>
    <w:rsid w:val="008D5A91"/>
    <w:rsid w:val="008D664A"/>
    <w:rsid w:val="008E1920"/>
    <w:rsid w:val="008E1C37"/>
    <w:rsid w:val="008E265F"/>
    <w:rsid w:val="008E28C5"/>
    <w:rsid w:val="008E551C"/>
    <w:rsid w:val="008E632D"/>
    <w:rsid w:val="008F0F59"/>
    <w:rsid w:val="008F2829"/>
    <w:rsid w:val="008F4366"/>
    <w:rsid w:val="008F59CA"/>
    <w:rsid w:val="00900138"/>
    <w:rsid w:val="00905D35"/>
    <w:rsid w:val="00910AEB"/>
    <w:rsid w:val="00911210"/>
    <w:rsid w:val="009166A1"/>
    <w:rsid w:val="00916A82"/>
    <w:rsid w:val="009225C1"/>
    <w:rsid w:val="00923FDB"/>
    <w:rsid w:val="00930353"/>
    <w:rsid w:val="00933B12"/>
    <w:rsid w:val="00933BC8"/>
    <w:rsid w:val="009351DA"/>
    <w:rsid w:val="009359F0"/>
    <w:rsid w:val="00936EEA"/>
    <w:rsid w:val="009400A7"/>
    <w:rsid w:val="00940F44"/>
    <w:rsid w:val="00942381"/>
    <w:rsid w:val="0094504B"/>
    <w:rsid w:val="00946516"/>
    <w:rsid w:val="009476D0"/>
    <w:rsid w:val="00947CB7"/>
    <w:rsid w:val="009501E9"/>
    <w:rsid w:val="009518E1"/>
    <w:rsid w:val="00953C5B"/>
    <w:rsid w:val="00954246"/>
    <w:rsid w:val="009558DE"/>
    <w:rsid w:val="00957F74"/>
    <w:rsid w:val="009635A9"/>
    <w:rsid w:val="00965A60"/>
    <w:rsid w:val="00966D9E"/>
    <w:rsid w:val="0096794D"/>
    <w:rsid w:val="0097002D"/>
    <w:rsid w:val="00970CA9"/>
    <w:rsid w:val="0097128E"/>
    <w:rsid w:val="009731B4"/>
    <w:rsid w:val="009741C1"/>
    <w:rsid w:val="00977373"/>
    <w:rsid w:val="009777C4"/>
    <w:rsid w:val="00980774"/>
    <w:rsid w:val="0098204F"/>
    <w:rsid w:val="0098558A"/>
    <w:rsid w:val="00986DD3"/>
    <w:rsid w:val="00987838"/>
    <w:rsid w:val="00991E4A"/>
    <w:rsid w:val="00991FF7"/>
    <w:rsid w:val="009953D2"/>
    <w:rsid w:val="0099616E"/>
    <w:rsid w:val="009975AE"/>
    <w:rsid w:val="009A0F69"/>
    <w:rsid w:val="009A118C"/>
    <w:rsid w:val="009A417E"/>
    <w:rsid w:val="009A444B"/>
    <w:rsid w:val="009A512A"/>
    <w:rsid w:val="009A78D2"/>
    <w:rsid w:val="009A7D37"/>
    <w:rsid w:val="009B2E93"/>
    <w:rsid w:val="009B396E"/>
    <w:rsid w:val="009B5AF2"/>
    <w:rsid w:val="009B725B"/>
    <w:rsid w:val="009C03E5"/>
    <w:rsid w:val="009C30B9"/>
    <w:rsid w:val="009C3E26"/>
    <w:rsid w:val="009C5722"/>
    <w:rsid w:val="009D0A31"/>
    <w:rsid w:val="009D0F30"/>
    <w:rsid w:val="009D3496"/>
    <w:rsid w:val="009D6A46"/>
    <w:rsid w:val="009D6EE3"/>
    <w:rsid w:val="009D7A67"/>
    <w:rsid w:val="009E04B3"/>
    <w:rsid w:val="009E19D5"/>
    <w:rsid w:val="009E1F62"/>
    <w:rsid w:val="009E3363"/>
    <w:rsid w:val="009E3DF2"/>
    <w:rsid w:val="009E739E"/>
    <w:rsid w:val="009E7C3E"/>
    <w:rsid w:val="009F0488"/>
    <w:rsid w:val="009F196F"/>
    <w:rsid w:val="009F35FE"/>
    <w:rsid w:val="009F3EA5"/>
    <w:rsid w:val="009F62AA"/>
    <w:rsid w:val="009F6E21"/>
    <w:rsid w:val="00A0044E"/>
    <w:rsid w:val="00A01D41"/>
    <w:rsid w:val="00A04527"/>
    <w:rsid w:val="00A0651B"/>
    <w:rsid w:val="00A06A38"/>
    <w:rsid w:val="00A074C4"/>
    <w:rsid w:val="00A1060D"/>
    <w:rsid w:val="00A1260C"/>
    <w:rsid w:val="00A13869"/>
    <w:rsid w:val="00A14AF6"/>
    <w:rsid w:val="00A21843"/>
    <w:rsid w:val="00A30AA0"/>
    <w:rsid w:val="00A3159C"/>
    <w:rsid w:val="00A31B7C"/>
    <w:rsid w:val="00A32858"/>
    <w:rsid w:val="00A33808"/>
    <w:rsid w:val="00A417D5"/>
    <w:rsid w:val="00A46B40"/>
    <w:rsid w:val="00A47208"/>
    <w:rsid w:val="00A52CEB"/>
    <w:rsid w:val="00A535CA"/>
    <w:rsid w:val="00A558FA"/>
    <w:rsid w:val="00A605EB"/>
    <w:rsid w:val="00A62B85"/>
    <w:rsid w:val="00A64039"/>
    <w:rsid w:val="00A667FD"/>
    <w:rsid w:val="00A71095"/>
    <w:rsid w:val="00A720B3"/>
    <w:rsid w:val="00A72520"/>
    <w:rsid w:val="00A72DFA"/>
    <w:rsid w:val="00A73DF8"/>
    <w:rsid w:val="00A77374"/>
    <w:rsid w:val="00A83BF8"/>
    <w:rsid w:val="00A853A1"/>
    <w:rsid w:val="00A87D55"/>
    <w:rsid w:val="00A87FF3"/>
    <w:rsid w:val="00A92760"/>
    <w:rsid w:val="00A932D4"/>
    <w:rsid w:val="00A93671"/>
    <w:rsid w:val="00A93860"/>
    <w:rsid w:val="00A94101"/>
    <w:rsid w:val="00A97BCA"/>
    <w:rsid w:val="00AA06A5"/>
    <w:rsid w:val="00AA12D0"/>
    <w:rsid w:val="00AA5FC2"/>
    <w:rsid w:val="00AA68A8"/>
    <w:rsid w:val="00AB051E"/>
    <w:rsid w:val="00AB1374"/>
    <w:rsid w:val="00AB30D8"/>
    <w:rsid w:val="00AB357A"/>
    <w:rsid w:val="00AB41D5"/>
    <w:rsid w:val="00AC1DD1"/>
    <w:rsid w:val="00AC3830"/>
    <w:rsid w:val="00AC4BEA"/>
    <w:rsid w:val="00AC669A"/>
    <w:rsid w:val="00AD18A8"/>
    <w:rsid w:val="00AD21F6"/>
    <w:rsid w:val="00AD2B50"/>
    <w:rsid w:val="00AD6D24"/>
    <w:rsid w:val="00AE0A0A"/>
    <w:rsid w:val="00AE21EA"/>
    <w:rsid w:val="00AE3278"/>
    <w:rsid w:val="00AE6DD9"/>
    <w:rsid w:val="00AF2C58"/>
    <w:rsid w:val="00AF310A"/>
    <w:rsid w:val="00AF3540"/>
    <w:rsid w:val="00AF5C36"/>
    <w:rsid w:val="00AF636B"/>
    <w:rsid w:val="00AF648D"/>
    <w:rsid w:val="00B0466F"/>
    <w:rsid w:val="00B04EA3"/>
    <w:rsid w:val="00B05DB2"/>
    <w:rsid w:val="00B119CD"/>
    <w:rsid w:val="00B20784"/>
    <w:rsid w:val="00B2750E"/>
    <w:rsid w:val="00B27AA4"/>
    <w:rsid w:val="00B30836"/>
    <w:rsid w:val="00B338EE"/>
    <w:rsid w:val="00B349A3"/>
    <w:rsid w:val="00B354DD"/>
    <w:rsid w:val="00B35DE8"/>
    <w:rsid w:val="00B415CB"/>
    <w:rsid w:val="00B41DC1"/>
    <w:rsid w:val="00B43458"/>
    <w:rsid w:val="00B47E8E"/>
    <w:rsid w:val="00B537B5"/>
    <w:rsid w:val="00B537C2"/>
    <w:rsid w:val="00B54FD1"/>
    <w:rsid w:val="00B5616F"/>
    <w:rsid w:val="00B562DA"/>
    <w:rsid w:val="00B56A1B"/>
    <w:rsid w:val="00B57158"/>
    <w:rsid w:val="00B57CE9"/>
    <w:rsid w:val="00B65525"/>
    <w:rsid w:val="00B6561D"/>
    <w:rsid w:val="00B674C3"/>
    <w:rsid w:val="00B67D39"/>
    <w:rsid w:val="00B76F55"/>
    <w:rsid w:val="00B82997"/>
    <w:rsid w:val="00B8434E"/>
    <w:rsid w:val="00B85EC8"/>
    <w:rsid w:val="00B903E5"/>
    <w:rsid w:val="00B95CC4"/>
    <w:rsid w:val="00B97F95"/>
    <w:rsid w:val="00BA00FE"/>
    <w:rsid w:val="00BA184F"/>
    <w:rsid w:val="00BA1CF1"/>
    <w:rsid w:val="00BA580B"/>
    <w:rsid w:val="00BA5842"/>
    <w:rsid w:val="00BA7B60"/>
    <w:rsid w:val="00BB17CD"/>
    <w:rsid w:val="00BB51AE"/>
    <w:rsid w:val="00BB5C49"/>
    <w:rsid w:val="00BB60D5"/>
    <w:rsid w:val="00BC6282"/>
    <w:rsid w:val="00BC7A4F"/>
    <w:rsid w:val="00BD384A"/>
    <w:rsid w:val="00BD426A"/>
    <w:rsid w:val="00BD6A9A"/>
    <w:rsid w:val="00BD79C2"/>
    <w:rsid w:val="00BE06A4"/>
    <w:rsid w:val="00BE079B"/>
    <w:rsid w:val="00BE0E32"/>
    <w:rsid w:val="00BE764D"/>
    <w:rsid w:val="00BF158A"/>
    <w:rsid w:val="00BF1EC6"/>
    <w:rsid w:val="00BF36BA"/>
    <w:rsid w:val="00BF4F8E"/>
    <w:rsid w:val="00BF6B11"/>
    <w:rsid w:val="00C00E81"/>
    <w:rsid w:val="00C03343"/>
    <w:rsid w:val="00C03EBC"/>
    <w:rsid w:val="00C048E0"/>
    <w:rsid w:val="00C06287"/>
    <w:rsid w:val="00C12FC3"/>
    <w:rsid w:val="00C16072"/>
    <w:rsid w:val="00C202D2"/>
    <w:rsid w:val="00C222CE"/>
    <w:rsid w:val="00C2305B"/>
    <w:rsid w:val="00C27748"/>
    <w:rsid w:val="00C279E3"/>
    <w:rsid w:val="00C30654"/>
    <w:rsid w:val="00C33A64"/>
    <w:rsid w:val="00C35EDF"/>
    <w:rsid w:val="00C40387"/>
    <w:rsid w:val="00C415F6"/>
    <w:rsid w:val="00C424B6"/>
    <w:rsid w:val="00C437D2"/>
    <w:rsid w:val="00C45F61"/>
    <w:rsid w:val="00C46D73"/>
    <w:rsid w:val="00C51770"/>
    <w:rsid w:val="00C530D7"/>
    <w:rsid w:val="00C5369B"/>
    <w:rsid w:val="00C55F14"/>
    <w:rsid w:val="00C571F3"/>
    <w:rsid w:val="00C6047B"/>
    <w:rsid w:val="00C605B0"/>
    <w:rsid w:val="00C6184D"/>
    <w:rsid w:val="00C70A60"/>
    <w:rsid w:val="00C71A3A"/>
    <w:rsid w:val="00C743D2"/>
    <w:rsid w:val="00C74B98"/>
    <w:rsid w:val="00C755DA"/>
    <w:rsid w:val="00C761B4"/>
    <w:rsid w:val="00C77D2D"/>
    <w:rsid w:val="00C80045"/>
    <w:rsid w:val="00C80D18"/>
    <w:rsid w:val="00C85E80"/>
    <w:rsid w:val="00C86E0C"/>
    <w:rsid w:val="00C90E1A"/>
    <w:rsid w:val="00C91C3F"/>
    <w:rsid w:val="00C92A44"/>
    <w:rsid w:val="00C9344B"/>
    <w:rsid w:val="00C94801"/>
    <w:rsid w:val="00C96353"/>
    <w:rsid w:val="00C9732E"/>
    <w:rsid w:val="00CA2969"/>
    <w:rsid w:val="00CA61E8"/>
    <w:rsid w:val="00CB35B9"/>
    <w:rsid w:val="00CB4E89"/>
    <w:rsid w:val="00CB50EC"/>
    <w:rsid w:val="00CB6AE8"/>
    <w:rsid w:val="00CB6E4F"/>
    <w:rsid w:val="00CB7E4F"/>
    <w:rsid w:val="00CC1E7B"/>
    <w:rsid w:val="00CC25B3"/>
    <w:rsid w:val="00CC31A8"/>
    <w:rsid w:val="00CC5905"/>
    <w:rsid w:val="00CD1963"/>
    <w:rsid w:val="00CD28BC"/>
    <w:rsid w:val="00CD3435"/>
    <w:rsid w:val="00CE0335"/>
    <w:rsid w:val="00CE045F"/>
    <w:rsid w:val="00CE21F5"/>
    <w:rsid w:val="00CE3727"/>
    <w:rsid w:val="00CE535A"/>
    <w:rsid w:val="00CE5F10"/>
    <w:rsid w:val="00CE72F2"/>
    <w:rsid w:val="00CF3ADD"/>
    <w:rsid w:val="00CF43E1"/>
    <w:rsid w:val="00D11736"/>
    <w:rsid w:val="00D14C26"/>
    <w:rsid w:val="00D159A7"/>
    <w:rsid w:val="00D176D6"/>
    <w:rsid w:val="00D17AAC"/>
    <w:rsid w:val="00D202FA"/>
    <w:rsid w:val="00D20E7C"/>
    <w:rsid w:val="00D22B45"/>
    <w:rsid w:val="00D24446"/>
    <w:rsid w:val="00D260C9"/>
    <w:rsid w:val="00D27D5F"/>
    <w:rsid w:val="00D30A09"/>
    <w:rsid w:val="00D366DD"/>
    <w:rsid w:val="00D371E5"/>
    <w:rsid w:val="00D37566"/>
    <w:rsid w:val="00D4752D"/>
    <w:rsid w:val="00D47E6B"/>
    <w:rsid w:val="00D51EC8"/>
    <w:rsid w:val="00D533C0"/>
    <w:rsid w:val="00D53A50"/>
    <w:rsid w:val="00D53AD7"/>
    <w:rsid w:val="00D541F4"/>
    <w:rsid w:val="00D545AA"/>
    <w:rsid w:val="00D5765B"/>
    <w:rsid w:val="00D576E3"/>
    <w:rsid w:val="00D57C2E"/>
    <w:rsid w:val="00D60743"/>
    <w:rsid w:val="00D64FF1"/>
    <w:rsid w:val="00D66C6F"/>
    <w:rsid w:val="00D67172"/>
    <w:rsid w:val="00D7313E"/>
    <w:rsid w:val="00D74285"/>
    <w:rsid w:val="00D77108"/>
    <w:rsid w:val="00D77132"/>
    <w:rsid w:val="00D813C3"/>
    <w:rsid w:val="00D8408B"/>
    <w:rsid w:val="00D901D7"/>
    <w:rsid w:val="00D914C7"/>
    <w:rsid w:val="00D93006"/>
    <w:rsid w:val="00D94F95"/>
    <w:rsid w:val="00D95EC7"/>
    <w:rsid w:val="00D965DA"/>
    <w:rsid w:val="00D972DF"/>
    <w:rsid w:val="00D97409"/>
    <w:rsid w:val="00DA08B9"/>
    <w:rsid w:val="00DA2670"/>
    <w:rsid w:val="00DA39B4"/>
    <w:rsid w:val="00DA3A2D"/>
    <w:rsid w:val="00DB632A"/>
    <w:rsid w:val="00DB67C1"/>
    <w:rsid w:val="00DD0174"/>
    <w:rsid w:val="00DD2637"/>
    <w:rsid w:val="00DD3348"/>
    <w:rsid w:val="00DD6F2C"/>
    <w:rsid w:val="00DE10B9"/>
    <w:rsid w:val="00DE2F77"/>
    <w:rsid w:val="00DE3FD1"/>
    <w:rsid w:val="00DE594F"/>
    <w:rsid w:val="00DE5AFC"/>
    <w:rsid w:val="00DE7188"/>
    <w:rsid w:val="00DF2980"/>
    <w:rsid w:val="00DF52D3"/>
    <w:rsid w:val="00DF552E"/>
    <w:rsid w:val="00DF5CC0"/>
    <w:rsid w:val="00E00BE7"/>
    <w:rsid w:val="00E016A3"/>
    <w:rsid w:val="00E0389C"/>
    <w:rsid w:val="00E05125"/>
    <w:rsid w:val="00E05420"/>
    <w:rsid w:val="00E10C31"/>
    <w:rsid w:val="00E11DCF"/>
    <w:rsid w:val="00E12502"/>
    <w:rsid w:val="00E12965"/>
    <w:rsid w:val="00E1442C"/>
    <w:rsid w:val="00E15497"/>
    <w:rsid w:val="00E17DC5"/>
    <w:rsid w:val="00E21EAF"/>
    <w:rsid w:val="00E22DE4"/>
    <w:rsid w:val="00E23F16"/>
    <w:rsid w:val="00E23F82"/>
    <w:rsid w:val="00E27F25"/>
    <w:rsid w:val="00E27FB3"/>
    <w:rsid w:val="00E3071A"/>
    <w:rsid w:val="00E3088F"/>
    <w:rsid w:val="00E31A7B"/>
    <w:rsid w:val="00E31BA6"/>
    <w:rsid w:val="00E321BF"/>
    <w:rsid w:val="00E35929"/>
    <w:rsid w:val="00E36798"/>
    <w:rsid w:val="00E37B49"/>
    <w:rsid w:val="00E43AEF"/>
    <w:rsid w:val="00E44AE5"/>
    <w:rsid w:val="00E4554F"/>
    <w:rsid w:val="00E47412"/>
    <w:rsid w:val="00E5046C"/>
    <w:rsid w:val="00E50D8D"/>
    <w:rsid w:val="00E52CA4"/>
    <w:rsid w:val="00E533B0"/>
    <w:rsid w:val="00E55DCD"/>
    <w:rsid w:val="00E5625B"/>
    <w:rsid w:val="00E57464"/>
    <w:rsid w:val="00E57A19"/>
    <w:rsid w:val="00E62038"/>
    <w:rsid w:val="00E63C79"/>
    <w:rsid w:val="00E6619B"/>
    <w:rsid w:val="00E66F0E"/>
    <w:rsid w:val="00E708CB"/>
    <w:rsid w:val="00E7124F"/>
    <w:rsid w:val="00E72025"/>
    <w:rsid w:val="00E72A92"/>
    <w:rsid w:val="00E74368"/>
    <w:rsid w:val="00E76270"/>
    <w:rsid w:val="00E76635"/>
    <w:rsid w:val="00E81849"/>
    <w:rsid w:val="00E85605"/>
    <w:rsid w:val="00E8675F"/>
    <w:rsid w:val="00E90069"/>
    <w:rsid w:val="00E91FB4"/>
    <w:rsid w:val="00E93DD1"/>
    <w:rsid w:val="00E94768"/>
    <w:rsid w:val="00E96E49"/>
    <w:rsid w:val="00EA0023"/>
    <w:rsid w:val="00EA0DF3"/>
    <w:rsid w:val="00EA2849"/>
    <w:rsid w:val="00EA7E75"/>
    <w:rsid w:val="00EB1E25"/>
    <w:rsid w:val="00EB2CF8"/>
    <w:rsid w:val="00EB3040"/>
    <w:rsid w:val="00EB3B53"/>
    <w:rsid w:val="00EB3E42"/>
    <w:rsid w:val="00EB3F74"/>
    <w:rsid w:val="00EB4B1A"/>
    <w:rsid w:val="00EB523E"/>
    <w:rsid w:val="00EB7CD7"/>
    <w:rsid w:val="00EC0888"/>
    <w:rsid w:val="00EC18D5"/>
    <w:rsid w:val="00EC613F"/>
    <w:rsid w:val="00ED072D"/>
    <w:rsid w:val="00ED0E48"/>
    <w:rsid w:val="00ED2A31"/>
    <w:rsid w:val="00ED2BCC"/>
    <w:rsid w:val="00ED78A3"/>
    <w:rsid w:val="00ED7AA6"/>
    <w:rsid w:val="00ED7D1D"/>
    <w:rsid w:val="00EE0253"/>
    <w:rsid w:val="00EE2CE0"/>
    <w:rsid w:val="00EE4BB4"/>
    <w:rsid w:val="00EE5865"/>
    <w:rsid w:val="00EE7DA9"/>
    <w:rsid w:val="00EF2B9C"/>
    <w:rsid w:val="00EF41F7"/>
    <w:rsid w:val="00EF567B"/>
    <w:rsid w:val="00EF6795"/>
    <w:rsid w:val="00F06056"/>
    <w:rsid w:val="00F06C74"/>
    <w:rsid w:val="00F07200"/>
    <w:rsid w:val="00F078D3"/>
    <w:rsid w:val="00F103CE"/>
    <w:rsid w:val="00F13B9A"/>
    <w:rsid w:val="00F22DD2"/>
    <w:rsid w:val="00F2466B"/>
    <w:rsid w:val="00F2509E"/>
    <w:rsid w:val="00F26382"/>
    <w:rsid w:val="00F27BE4"/>
    <w:rsid w:val="00F31AE3"/>
    <w:rsid w:val="00F331DF"/>
    <w:rsid w:val="00F332DA"/>
    <w:rsid w:val="00F34A03"/>
    <w:rsid w:val="00F34BA1"/>
    <w:rsid w:val="00F377EC"/>
    <w:rsid w:val="00F41F56"/>
    <w:rsid w:val="00F42BD3"/>
    <w:rsid w:val="00F43673"/>
    <w:rsid w:val="00F44D4A"/>
    <w:rsid w:val="00F44FDD"/>
    <w:rsid w:val="00F46E30"/>
    <w:rsid w:val="00F5033E"/>
    <w:rsid w:val="00F52E9D"/>
    <w:rsid w:val="00F549EA"/>
    <w:rsid w:val="00F54A87"/>
    <w:rsid w:val="00F5755B"/>
    <w:rsid w:val="00F6341F"/>
    <w:rsid w:val="00F67E4E"/>
    <w:rsid w:val="00F70E39"/>
    <w:rsid w:val="00F74E08"/>
    <w:rsid w:val="00F75A7C"/>
    <w:rsid w:val="00F7795D"/>
    <w:rsid w:val="00F83A98"/>
    <w:rsid w:val="00F8403D"/>
    <w:rsid w:val="00F850C5"/>
    <w:rsid w:val="00F86DA8"/>
    <w:rsid w:val="00F87F10"/>
    <w:rsid w:val="00F87FF6"/>
    <w:rsid w:val="00F90AED"/>
    <w:rsid w:val="00F913B8"/>
    <w:rsid w:val="00F92583"/>
    <w:rsid w:val="00FA0891"/>
    <w:rsid w:val="00FA0C3C"/>
    <w:rsid w:val="00FA1DEA"/>
    <w:rsid w:val="00FA4BF3"/>
    <w:rsid w:val="00FB14EF"/>
    <w:rsid w:val="00FB2539"/>
    <w:rsid w:val="00FB3205"/>
    <w:rsid w:val="00FB7507"/>
    <w:rsid w:val="00FC08A6"/>
    <w:rsid w:val="00FC3256"/>
    <w:rsid w:val="00FC50C8"/>
    <w:rsid w:val="00FC78C2"/>
    <w:rsid w:val="00FD117F"/>
    <w:rsid w:val="00FD477D"/>
    <w:rsid w:val="00FD4AA0"/>
    <w:rsid w:val="00FD4B98"/>
    <w:rsid w:val="00FE0FEC"/>
    <w:rsid w:val="00FE2544"/>
    <w:rsid w:val="00FE4B1D"/>
    <w:rsid w:val="00FF0F22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6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bidi="ar-SA"/>
    </w:rPr>
  </w:style>
  <w:style w:type="paragraph" w:styleId="Heading1">
    <w:name w:val="heading 1"/>
    <w:basedOn w:val="H1"/>
    <w:next w:val="Normal"/>
    <w:link w:val="Heading1Char"/>
    <w:uiPriority w:val="9"/>
    <w:rsid w:val="009D7A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A6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A6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67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D7A6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D7A6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7A67"/>
    <w:rPr>
      <w:rFonts w:ascii="Arial" w:eastAsiaTheme="minorEastAsia" w:hAnsi="Arial" w:cs="Times New Roman"/>
      <w:sz w:val="16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D7A6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7A67"/>
    <w:rPr>
      <w:rFonts w:ascii="Arial" w:eastAsiaTheme="minorEastAsia" w:hAnsi="Arial" w:cs="Times New Roman"/>
      <w:sz w:val="16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67"/>
    <w:rPr>
      <w:rFonts w:ascii="Lucida Grande" w:eastAsiaTheme="minorEastAsia" w:hAnsi="Lucida Grande" w:cs="Lucida Grande"/>
      <w:sz w:val="18"/>
      <w:szCs w:val="1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D7A67"/>
    <w:rPr>
      <w:rFonts w:ascii="Arial" w:eastAsiaTheme="minorEastAsia" w:hAnsi="Arial" w:cs="Times New Roman"/>
      <w:b/>
      <w:sz w:val="40"/>
      <w:szCs w:val="5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D7A67"/>
    <w:rPr>
      <w:rFonts w:ascii="Arial" w:eastAsiaTheme="minorEastAsia" w:hAnsi="Arial" w:cs="Times New Roman"/>
      <w:b/>
      <w:caps/>
      <w:sz w:val="24"/>
      <w:szCs w:val="2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B67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character" w:customStyle="1" w:styleId="TitleChar">
    <w:name w:val="Title Char"/>
    <w:basedOn w:val="DefaultParagraphFont"/>
    <w:link w:val="Title"/>
    <w:uiPriority w:val="10"/>
    <w:rsid w:val="00DB6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B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EE4B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46E"/>
    <w:pPr>
      <w:outlineLvl w:val="9"/>
    </w:pPr>
    <w:rPr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6794D"/>
    <w:pPr>
      <w:spacing w:after="100"/>
      <w:ind w:left="22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794D"/>
    <w:pPr>
      <w:spacing w:after="10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6794D"/>
    <w:pPr>
      <w:spacing w:after="100"/>
      <w:ind w:left="440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9D7A67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7A67"/>
    <w:rPr>
      <w:rFonts w:ascii="Arial" w:hAnsi="Arial"/>
      <w:sz w:val="20"/>
      <w:lang w:bidi="ar-SA"/>
    </w:rPr>
  </w:style>
  <w:style w:type="paragraph" w:customStyle="1" w:styleId="Default">
    <w:name w:val="Default"/>
    <w:rsid w:val="009D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bidi="ar-SA"/>
    </w:rPr>
  </w:style>
  <w:style w:type="table" w:styleId="LightShading-Accent1">
    <w:name w:val="Light Shading Accent 1"/>
    <w:basedOn w:val="TableNormal"/>
    <w:uiPriority w:val="60"/>
    <w:rsid w:val="009F62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9F62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olorfulList-Accent1Char">
    <w:name w:val="Colorful List - Accent 1 Char"/>
    <w:link w:val="ColorfulList-Accent1"/>
    <w:uiPriority w:val="34"/>
    <w:locked/>
    <w:rsid w:val="009359F0"/>
  </w:style>
  <w:style w:type="table" w:styleId="ColorfulList-Accent1">
    <w:name w:val="Colorful List Accent 1"/>
    <w:basedOn w:val="TableNormal"/>
    <w:link w:val="ColorfulList-Accent1Char"/>
    <w:uiPriority w:val="34"/>
    <w:rsid w:val="009359F0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7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BD3"/>
    <w:rPr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BD3"/>
    <w:rPr>
      <w:sz w:val="20"/>
      <w:szCs w:val="29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D7A6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7A67"/>
    <w:rPr>
      <w:rFonts w:ascii="Arial" w:eastAsiaTheme="minorEastAsia" w:hAnsi="Arial" w:cs="Times New Roman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D7A67"/>
    <w:rPr>
      <w:rFonts w:ascii="Arial" w:eastAsiaTheme="minorEastAsia" w:hAnsi="Arial" w:cs="Times New Roman"/>
      <w:b/>
      <w:szCs w:val="24"/>
      <w:lang w:bidi="ar-SA"/>
    </w:rPr>
  </w:style>
  <w:style w:type="character" w:styleId="PageNumber">
    <w:name w:val="page number"/>
    <w:basedOn w:val="DefaultParagraphFont"/>
    <w:uiPriority w:val="99"/>
    <w:unhideWhenUsed/>
    <w:rsid w:val="009D7A67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D7A6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7A6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A67"/>
    <w:rPr>
      <w:rFonts w:ascii="Arial" w:eastAsiaTheme="minorEastAsia" w:hAnsi="Arial" w:cs="Times New Roman"/>
      <w:sz w:val="16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9D7A67"/>
    <w:rPr>
      <w:vertAlign w:val="superscript"/>
    </w:rPr>
  </w:style>
  <w:style w:type="paragraph" w:styleId="Revision">
    <w:name w:val="Revision"/>
    <w:hidden/>
    <w:uiPriority w:val="99"/>
    <w:semiHidden/>
    <w:rsid w:val="009D7A67"/>
    <w:pPr>
      <w:spacing w:after="0" w:line="240" w:lineRule="auto"/>
    </w:pPr>
    <w:rPr>
      <w:rFonts w:ascii="Arial" w:eastAsiaTheme="minorEastAsia" w:hAnsi="Arial" w:cs="Arial"/>
      <w:sz w:val="21"/>
      <w:szCs w:val="21"/>
      <w:lang w:bidi="ar-SA"/>
    </w:rPr>
  </w:style>
  <w:style w:type="paragraph" w:customStyle="1" w:styleId="BasicParagraph">
    <w:name w:val="[Basic Paragraph]"/>
    <w:basedOn w:val="Normal"/>
    <w:uiPriority w:val="99"/>
    <w:rsid w:val="009D7A6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D7A6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D7A67"/>
    <w:pPr>
      <w:numPr>
        <w:numId w:val="2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D7A6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D7A6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D7A6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D7A6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D7A67"/>
    <w:rPr>
      <w:rFonts w:ascii="Arial" w:eastAsiaTheme="minorEastAsia" w:hAnsi="Arial" w:cs="Times New Roman"/>
      <w:b/>
      <w:sz w:val="40"/>
      <w:szCs w:val="52"/>
      <w:lang w:bidi="ar-SA"/>
    </w:rPr>
  </w:style>
  <w:style w:type="table" w:customStyle="1" w:styleId="TableGray">
    <w:name w:val="Table Gray"/>
    <w:basedOn w:val="TableNormal"/>
    <w:uiPriority w:val="99"/>
    <w:rsid w:val="009D7A67"/>
    <w:pPr>
      <w:spacing w:after="0" w:line="240" w:lineRule="auto"/>
    </w:pPr>
    <w:rPr>
      <w:rFonts w:eastAsiaTheme="minorEastAsia" w:cs="Times New Roman"/>
      <w:sz w:val="20"/>
      <w:szCs w:val="20"/>
      <w:lang w:bidi="ar-SA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D7A67"/>
    <w:pPr>
      <w:numPr>
        <w:numId w:val="27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9D7A67"/>
    <w:pPr>
      <w:numPr>
        <w:ilvl w:val="1"/>
        <w:numId w:val="2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D7A67"/>
    <w:pPr>
      <w:numPr>
        <w:numId w:val="2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D7A67"/>
    <w:pPr>
      <w:numPr>
        <w:numId w:val="2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D7A67"/>
    <w:pPr>
      <w:ind w:left="567"/>
    </w:pPr>
    <w:rPr>
      <w:rFonts w:cs="Arial"/>
      <w:b/>
    </w:rPr>
  </w:style>
  <w:style w:type="paragraph" w:customStyle="1" w:styleId="Heading3NotBold">
    <w:name w:val="Heading 3 Not Bold"/>
    <w:basedOn w:val="Normal"/>
    <w:qFormat/>
    <w:rsid w:val="003B2053"/>
    <w:pPr>
      <w:widowControl w:val="0"/>
      <w:spacing w:before="240"/>
    </w:pPr>
    <w:rPr>
      <w:rFonts w:cs="Arial"/>
    </w:rPr>
  </w:style>
  <w:style w:type="paragraph" w:customStyle="1" w:styleId="TitreTableau">
    <w:name w:val="Titre Tableau"/>
    <w:basedOn w:val="Normal"/>
    <w:qFormat/>
    <w:rsid w:val="009D7A6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D7A67"/>
    <w:pPr>
      <w:keepNext/>
      <w:keepLines/>
      <w:framePr w:hSpace="141" w:wrap="around" w:vAnchor="text" w:hAnchor="margin" w:y="402"/>
      <w:numPr>
        <w:numId w:val="29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6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bidi="ar-SA"/>
    </w:rPr>
  </w:style>
  <w:style w:type="paragraph" w:styleId="Heading1">
    <w:name w:val="heading 1"/>
    <w:basedOn w:val="H1"/>
    <w:next w:val="Normal"/>
    <w:link w:val="Heading1Char"/>
    <w:uiPriority w:val="9"/>
    <w:rsid w:val="009D7A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A6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A6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67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D7A6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D7A6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7A67"/>
    <w:rPr>
      <w:rFonts w:ascii="Arial" w:eastAsiaTheme="minorEastAsia" w:hAnsi="Arial" w:cs="Times New Roman"/>
      <w:sz w:val="16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D7A6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7A67"/>
    <w:rPr>
      <w:rFonts w:ascii="Arial" w:eastAsiaTheme="minorEastAsia" w:hAnsi="Arial" w:cs="Times New Roman"/>
      <w:sz w:val="16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67"/>
    <w:rPr>
      <w:rFonts w:ascii="Lucida Grande" w:eastAsiaTheme="minorEastAsia" w:hAnsi="Lucida Grande" w:cs="Lucida Grande"/>
      <w:sz w:val="18"/>
      <w:szCs w:val="1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D7A67"/>
    <w:rPr>
      <w:rFonts w:ascii="Arial" w:eastAsiaTheme="minorEastAsia" w:hAnsi="Arial" w:cs="Times New Roman"/>
      <w:b/>
      <w:sz w:val="40"/>
      <w:szCs w:val="5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D7A67"/>
    <w:rPr>
      <w:rFonts w:ascii="Arial" w:eastAsiaTheme="minorEastAsia" w:hAnsi="Arial" w:cs="Times New Roman"/>
      <w:b/>
      <w:caps/>
      <w:sz w:val="24"/>
      <w:szCs w:val="2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B67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character" w:customStyle="1" w:styleId="TitleChar">
    <w:name w:val="Title Char"/>
    <w:basedOn w:val="DefaultParagraphFont"/>
    <w:link w:val="Title"/>
    <w:uiPriority w:val="10"/>
    <w:rsid w:val="00DB6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B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EE4B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46E"/>
    <w:pPr>
      <w:outlineLvl w:val="9"/>
    </w:pPr>
    <w:rPr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6794D"/>
    <w:pPr>
      <w:spacing w:after="100"/>
      <w:ind w:left="22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794D"/>
    <w:pPr>
      <w:spacing w:after="10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6794D"/>
    <w:pPr>
      <w:spacing w:after="100"/>
      <w:ind w:left="440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9D7A67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7A67"/>
    <w:rPr>
      <w:rFonts w:ascii="Arial" w:hAnsi="Arial"/>
      <w:sz w:val="20"/>
      <w:lang w:bidi="ar-SA"/>
    </w:rPr>
  </w:style>
  <w:style w:type="paragraph" w:customStyle="1" w:styleId="Default">
    <w:name w:val="Default"/>
    <w:rsid w:val="009D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bidi="ar-SA"/>
    </w:rPr>
  </w:style>
  <w:style w:type="table" w:styleId="LightShading-Accent1">
    <w:name w:val="Light Shading Accent 1"/>
    <w:basedOn w:val="TableNormal"/>
    <w:uiPriority w:val="60"/>
    <w:rsid w:val="009F62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9F62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olorfulList-Accent1Char">
    <w:name w:val="Colorful List - Accent 1 Char"/>
    <w:link w:val="ColorfulList-Accent1"/>
    <w:uiPriority w:val="34"/>
    <w:locked/>
    <w:rsid w:val="009359F0"/>
  </w:style>
  <w:style w:type="table" w:styleId="ColorfulList-Accent1">
    <w:name w:val="Colorful List Accent 1"/>
    <w:basedOn w:val="TableNormal"/>
    <w:link w:val="ColorfulList-Accent1Char"/>
    <w:uiPriority w:val="34"/>
    <w:rsid w:val="009359F0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7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BD3"/>
    <w:rPr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BD3"/>
    <w:rPr>
      <w:sz w:val="20"/>
      <w:szCs w:val="29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D7A6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7A67"/>
    <w:rPr>
      <w:rFonts w:ascii="Arial" w:eastAsiaTheme="minorEastAsia" w:hAnsi="Arial" w:cs="Times New Roman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D7A67"/>
    <w:rPr>
      <w:rFonts w:ascii="Arial" w:eastAsiaTheme="minorEastAsia" w:hAnsi="Arial" w:cs="Times New Roman"/>
      <w:b/>
      <w:szCs w:val="24"/>
      <w:lang w:bidi="ar-SA"/>
    </w:rPr>
  </w:style>
  <w:style w:type="character" w:styleId="PageNumber">
    <w:name w:val="page number"/>
    <w:basedOn w:val="DefaultParagraphFont"/>
    <w:uiPriority w:val="99"/>
    <w:unhideWhenUsed/>
    <w:rsid w:val="009D7A67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D7A6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7A6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A67"/>
    <w:rPr>
      <w:rFonts w:ascii="Arial" w:eastAsiaTheme="minorEastAsia" w:hAnsi="Arial" w:cs="Times New Roman"/>
      <w:sz w:val="16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9D7A67"/>
    <w:rPr>
      <w:vertAlign w:val="superscript"/>
    </w:rPr>
  </w:style>
  <w:style w:type="paragraph" w:styleId="Revision">
    <w:name w:val="Revision"/>
    <w:hidden/>
    <w:uiPriority w:val="99"/>
    <w:semiHidden/>
    <w:rsid w:val="009D7A67"/>
    <w:pPr>
      <w:spacing w:after="0" w:line="240" w:lineRule="auto"/>
    </w:pPr>
    <w:rPr>
      <w:rFonts w:ascii="Arial" w:eastAsiaTheme="minorEastAsia" w:hAnsi="Arial" w:cs="Arial"/>
      <w:sz w:val="21"/>
      <w:szCs w:val="21"/>
      <w:lang w:bidi="ar-SA"/>
    </w:rPr>
  </w:style>
  <w:style w:type="paragraph" w:customStyle="1" w:styleId="BasicParagraph">
    <w:name w:val="[Basic Paragraph]"/>
    <w:basedOn w:val="Normal"/>
    <w:uiPriority w:val="99"/>
    <w:rsid w:val="009D7A6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D7A6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D7A67"/>
    <w:pPr>
      <w:numPr>
        <w:numId w:val="2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D7A6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D7A6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D7A6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D7A6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D7A67"/>
    <w:rPr>
      <w:rFonts w:ascii="Arial" w:eastAsiaTheme="minorEastAsia" w:hAnsi="Arial" w:cs="Times New Roman"/>
      <w:b/>
      <w:sz w:val="40"/>
      <w:szCs w:val="52"/>
      <w:lang w:bidi="ar-SA"/>
    </w:rPr>
  </w:style>
  <w:style w:type="table" w:customStyle="1" w:styleId="TableGray">
    <w:name w:val="Table Gray"/>
    <w:basedOn w:val="TableNormal"/>
    <w:uiPriority w:val="99"/>
    <w:rsid w:val="009D7A67"/>
    <w:pPr>
      <w:spacing w:after="0" w:line="240" w:lineRule="auto"/>
    </w:pPr>
    <w:rPr>
      <w:rFonts w:eastAsiaTheme="minorEastAsia" w:cs="Times New Roman"/>
      <w:sz w:val="20"/>
      <w:szCs w:val="20"/>
      <w:lang w:bidi="ar-SA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D7A67"/>
    <w:pPr>
      <w:numPr>
        <w:numId w:val="27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9D7A67"/>
    <w:pPr>
      <w:numPr>
        <w:ilvl w:val="1"/>
        <w:numId w:val="2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D7A67"/>
    <w:pPr>
      <w:numPr>
        <w:numId w:val="2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D7A67"/>
    <w:pPr>
      <w:numPr>
        <w:numId w:val="2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D7A67"/>
    <w:pPr>
      <w:ind w:left="567"/>
    </w:pPr>
    <w:rPr>
      <w:rFonts w:cs="Arial"/>
      <w:b/>
    </w:rPr>
  </w:style>
  <w:style w:type="paragraph" w:customStyle="1" w:styleId="Heading3NotBold">
    <w:name w:val="Heading 3 Not Bold"/>
    <w:basedOn w:val="Normal"/>
    <w:qFormat/>
    <w:rsid w:val="003B2053"/>
    <w:pPr>
      <w:widowControl w:val="0"/>
      <w:spacing w:before="240"/>
    </w:pPr>
    <w:rPr>
      <w:rFonts w:cs="Arial"/>
    </w:rPr>
  </w:style>
  <w:style w:type="paragraph" w:customStyle="1" w:styleId="TitreTableau">
    <w:name w:val="Titre Tableau"/>
    <w:basedOn w:val="Normal"/>
    <w:qFormat/>
    <w:rsid w:val="009D7A6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D7A67"/>
    <w:pPr>
      <w:keepNext/>
      <w:keepLines/>
      <w:framePr w:hSpace="141" w:wrap="around" w:vAnchor="text" w:hAnchor="margin" w:y="402"/>
      <w:numPr>
        <w:numId w:val="2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BBA3-1768-47A7-B8E0-8B8641AA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502</TotalTime>
  <Pages>5</Pages>
  <Words>1782</Words>
  <Characters>10164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Florence MAROT</cp:lastModifiedBy>
  <cp:revision>81</cp:revision>
  <cp:lastPrinted>2015-11-20T12:38:00Z</cp:lastPrinted>
  <dcterms:created xsi:type="dcterms:W3CDTF">2015-06-27T00:23:00Z</dcterms:created>
  <dcterms:modified xsi:type="dcterms:W3CDTF">2016-03-23T11:03:00Z</dcterms:modified>
</cp:coreProperties>
</file>