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63" w:rsidRPr="00FE624E" w:rsidRDefault="00815263" w:rsidP="00F878E0">
      <w:pPr>
        <w:pStyle w:val="H1"/>
        <w:spacing w:after="110"/>
        <w:rPr>
          <w:lang w:val="fr-FR"/>
        </w:rPr>
      </w:pPr>
      <w:r w:rsidRPr="00FE624E">
        <w:rPr>
          <w:lang w:val="fr-FR"/>
        </w:rPr>
        <w:t>Feuille de route pour la sélection et le recrutement de prestataires de services de transferts monétaires</w:t>
      </w:r>
    </w:p>
    <w:p w:rsidR="00E13538" w:rsidRPr="00FE624E" w:rsidRDefault="00E13538" w:rsidP="00F878E0">
      <w:pPr>
        <w:pStyle w:val="Heading2"/>
        <w:spacing w:after="110"/>
        <w:rPr>
          <w:lang w:val="fr-FR"/>
        </w:rPr>
      </w:pPr>
      <w:r w:rsidRPr="00FE624E">
        <w:rPr>
          <w:lang w:val="fr-FR"/>
        </w:rPr>
        <w:t>INTRODUCTION</w:t>
      </w:r>
    </w:p>
    <w:p w:rsidR="00815263" w:rsidRPr="00FE624E" w:rsidRDefault="001E0375" w:rsidP="00F878E0">
      <w:pPr>
        <w:spacing w:after="110"/>
        <w:rPr>
          <w:lang w:val="fr-FR"/>
        </w:rPr>
      </w:pPr>
      <w:r w:rsidRPr="00FE624E">
        <w:rPr>
          <w:lang w:val="fr-FR"/>
        </w:rPr>
        <w:t>Cette</w:t>
      </w:r>
      <w:r w:rsidR="00815263" w:rsidRPr="00FE624E">
        <w:rPr>
          <w:lang w:val="fr-FR"/>
        </w:rPr>
        <w:t xml:space="preserve"> feuille de route vous guidera tout au long du processus de sélection et de recrutement</w:t>
      </w:r>
      <w:r w:rsidRPr="00FE624E">
        <w:rPr>
          <w:lang w:val="fr-FR"/>
        </w:rPr>
        <w:t xml:space="preserve"> des partenaires appropriés. Les accords conclus</w:t>
      </w:r>
      <w:r w:rsidR="00815263" w:rsidRPr="00FE624E">
        <w:rPr>
          <w:lang w:val="fr-FR"/>
        </w:rPr>
        <w:t xml:space="preserve"> avec les partenaires d</w:t>
      </w:r>
      <w:r w:rsidRPr="00FE624E">
        <w:rPr>
          <w:lang w:val="fr-FR"/>
        </w:rPr>
        <w:t>’exécution</w:t>
      </w:r>
      <w:r w:rsidR="008C7C7A" w:rsidRPr="00FE624E">
        <w:rPr>
          <w:lang w:val="fr-FR"/>
        </w:rPr>
        <w:t xml:space="preserve"> </w:t>
      </w:r>
      <w:r w:rsidR="00815263" w:rsidRPr="00FE624E">
        <w:rPr>
          <w:lang w:val="fr-FR"/>
        </w:rPr>
        <w:t xml:space="preserve">et les prestataires de services </w:t>
      </w:r>
      <w:r w:rsidRPr="00FE624E">
        <w:rPr>
          <w:lang w:val="fr-FR"/>
        </w:rPr>
        <w:t>qui assurent la</w:t>
      </w:r>
      <w:r w:rsidR="00815263" w:rsidRPr="00FE624E">
        <w:rPr>
          <w:lang w:val="fr-FR"/>
        </w:rPr>
        <w:t xml:space="preserve"> distribution des espèces aux bénéficiaires revêt</w:t>
      </w:r>
      <w:r w:rsidRPr="00FE624E">
        <w:rPr>
          <w:lang w:val="fr-FR"/>
        </w:rPr>
        <w:t>ent</w:t>
      </w:r>
      <w:r w:rsidR="00815263" w:rsidRPr="00FE624E">
        <w:rPr>
          <w:lang w:val="fr-FR"/>
        </w:rPr>
        <w:t xml:space="preserve"> une importance cruciale pour le succès des programmes de transferts monétaires</w:t>
      </w:r>
      <w:r w:rsidRPr="00FE624E">
        <w:rPr>
          <w:lang w:val="fr-FR"/>
        </w:rPr>
        <w:t xml:space="preserve"> (PTM)</w:t>
      </w:r>
      <w:r w:rsidR="00815263" w:rsidRPr="00FE624E">
        <w:rPr>
          <w:lang w:val="fr-FR"/>
        </w:rPr>
        <w:t xml:space="preserve">. </w:t>
      </w:r>
    </w:p>
    <w:p w:rsidR="0081351A" w:rsidRPr="00FE624E" w:rsidRDefault="001E0375" w:rsidP="00024439">
      <w:pPr>
        <w:spacing w:after="110"/>
        <w:rPr>
          <w:lang w:val="fr-FR"/>
        </w:rPr>
      </w:pPr>
      <w:r w:rsidRPr="00FE624E">
        <w:rPr>
          <w:lang w:val="fr-FR"/>
        </w:rPr>
        <w:t>Cette</w:t>
      </w:r>
      <w:r w:rsidR="0081351A" w:rsidRPr="00FE624E">
        <w:rPr>
          <w:lang w:val="fr-FR"/>
        </w:rPr>
        <w:t xml:space="preserve"> feuille de route vous indiquera également quel</w:t>
      </w:r>
      <w:r w:rsidR="00CA7D7A">
        <w:rPr>
          <w:lang w:val="fr-FR"/>
        </w:rPr>
        <w:t>le</w:t>
      </w:r>
      <w:r w:rsidR="0081351A" w:rsidRPr="00FE624E">
        <w:rPr>
          <w:lang w:val="fr-FR"/>
        </w:rPr>
        <w:t xml:space="preserve">s sont les </w:t>
      </w:r>
      <w:r w:rsidRPr="00FE624E">
        <w:rPr>
          <w:lang w:val="fr-FR"/>
        </w:rPr>
        <w:t>ressources</w:t>
      </w:r>
      <w:r w:rsidR="0081351A" w:rsidRPr="00FE624E">
        <w:rPr>
          <w:lang w:val="fr-FR"/>
        </w:rPr>
        <w:t xml:space="preserve"> de la Boîte à outils qui sont les plus utiles pour cette étape et ses étapes subsidiaires. Ces outils devront être adaptés à vos besoins et à votre contexte.</w:t>
      </w:r>
    </w:p>
    <w:p w:rsidR="0081351A" w:rsidRPr="00FE624E" w:rsidRDefault="0081351A" w:rsidP="00E16079">
      <w:pPr>
        <w:spacing w:after="110"/>
        <w:rPr>
          <w:lang w:val="fr-FR"/>
        </w:rPr>
      </w:pPr>
      <w:r w:rsidRPr="00FE624E">
        <w:rPr>
          <w:lang w:val="fr-FR"/>
        </w:rPr>
        <w:t>Il est important de respecter les normes mini</w:t>
      </w:r>
      <w:r w:rsidR="001E0375" w:rsidRPr="00FE624E">
        <w:rPr>
          <w:lang w:val="fr-FR"/>
        </w:rPr>
        <w:t xml:space="preserve">males définies pour cette étape aux fins de </w:t>
      </w:r>
      <w:r w:rsidR="00E16079">
        <w:rPr>
          <w:lang w:val="fr-FR"/>
        </w:rPr>
        <w:t>garantir</w:t>
      </w:r>
      <w:r w:rsidR="001E0375" w:rsidRPr="00FE624E">
        <w:rPr>
          <w:lang w:val="fr-FR"/>
        </w:rPr>
        <w:t xml:space="preserve"> la</w:t>
      </w:r>
      <w:r w:rsidRPr="00FE624E">
        <w:rPr>
          <w:lang w:val="fr-FR"/>
        </w:rPr>
        <w:t xml:space="preserve"> qualité des </w:t>
      </w:r>
      <w:r w:rsidR="001E0375" w:rsidRPr="00FE624E">
        <w:rPr>
          <w:lang w:val="fr-FR"/>
        </w:rPr>
        <w:t>PTM</w:t>
      </w:r>
      <w:r w:rsidRPr="00FE624E">
        <w:rPr>
          <w:lang w:val="fr-FR"/>
        </w:rPr>
        <w:t>.</w:t>
      </w:r>
    </w:p>
    <w:p w:rsidR="0081351A" w:rsidRPr="00FE624E" w:rsidRDefault="0081351A" w:rsidP="00F878E0">
      <w:pPr>
        <w:spacing w:after="110"/>
        <w:rPr>
          <w:lang w:val="fr-FR"/>
        </w:rPr>
      </w:pPr>
      <w:r w:rsidRPr="00FE624E">
        <w:rPr>
          <w:lang w:val="fr-FR"/>
        </w:rPr>
        <w:t xml:space="preserve">Il est probable que vous deviez </w:t>
      </w:r>
      <w:r w:rsidRPr="00FE624E">
        <w:rPr>
          <w:b/>
          <w:lang w:val="fr-FR"/>
        </w:rPr>
        <w:t>aller et venir</w:t>
      </w:r>
      <w:r w:rsidRPr="00FE624E">
        <w:rPr>
          <w:lang w:val="fr-FR"/>
        </w:rPr>
        <w:t xml:space="preserve"> entre les différentes étapes subsidiaires </w:t>
      </w:r>
      <w:bookmarkStart w:id="0" w:name="_GoBack"/>
      <w:r w:rsidRPr="00FE624E">
        <w:rPr>
          <w:lang w:val="fr-FR"/>
        </w:rPr>
        <w:t xml:space="preserve">pour </w:t>
      </w:r>
      <w:r w:rsidR="00BF52D8" w:rsidRPr="00FE624E">
        <w:rPr>
          <w:lang w:val="fr-FR"/>
        </w:rPr>
        <w:t>orienter la prise de décisions</w:t>
      </w:r>
      <w:r w:rsidRPr="00FE624E">
        <w:rPr>
          <w:lang w:val="fr-FR"/>
        </w:rPr>
        <w:t xml:space="preserve"> à mesure</w:t>
      </w:r>
      <w:r w:rsidR="00BF52D8" w:rsidRPr="00FE624E">
        <w:rPr>
          <w:lang w:val="fr-FR"/>
        </w:rPr>
        <w:t xml:space="preserve"> que des </w:t>
      </w:r>
      <w:r w:rsidRPr="00FE624E">
        <w:rPr>
          <w:lang w:val="fr-FR"/>
        </w:rPr>
        <w:t>informations</w:t>
      </w:r>
      <w:r w:rsidR="00BF52D8" w:rsidRPr="00FE624E">
        <w:rPr>
          <w:lang w:val="fr-FR"/>
        </w:rPr>
        <w:t xml:space="preserve"> deviennent disponibles et que la mise en œuvre du processus progresse</w:t>
      </w:r>
      <w:bookmarkEnd w:id="0"/>
      <w:r w:rsidR="00BF52D8" w:rsidRPr="00FE624E">
        <w:rPr>
          <w:lang w:val="fr-FR"/>
        </w:rPr>
        <w:t>.</w:t>
      </w:r>
    </w:p>
    <w:p w:rsidR="0081351A" w:rsidRPr="00FE624E" w:rsidRDefault="0081351A" w:rsidP="00F878E0">
      <w:pPr>
        <w:spacing w:after="110"/>
        <w:rPr>
          <w:lang w:val="fr-FR"/>
        </w:rPr>
      </w:pPr>
      <w:r w:rsidRPr="00FE624E">
        <w:rPr>
          <w:lang w:val="fr-FR"/>
        </w:rPr>
        <w:t xml:space="preserve">Pour obtenir des </w:t>
      </w:r>
      <w:r w:rsidR="00BF52D8" w:rsidRPr="00FE624E">
        <w:rPr>
          <w:lang w:val="fr-FR"/>
        </w:rPr>
        <w:t>orientations</w:t>
      </w:r>
      <w:r w:rsidRPr="00FE624E">
        <w:rPr>
          <w:lang w:val="fr-FR"/>
        </w:rPr>
        <w:t xml:space="preserve"> plus détaillées sur la sélection et le recrutement des partenaires appropriés, veuillez consulter les documents de référence </w:t>
      </w:r>
      <w:r w:rsidR="00BF52D8" w:rsidRPr="00FE624E">
        <w:rPr>
          <w:lang w:val="fr-FR"/>
        </w:rPr>
        <w:t>mentionnés</w:t>
      </w:r>
      <w:r w:rsidRPr="00FE624E">
        <w:rPr>
          <w:lang w:val="fr-FR"/>
        </w:rPr>
        <w:t xml:space="preserve"> à la fin du document.</w:t>
      </w:r>
    </w:p>
    <w:p w:rsidR="000F5637" w:rsidRPr="00FE624E" w:rsidRDefault="00815263" w:rsidP="00F878E0">
      <w:pPr>
        <w:pStyle w:val="Heading2"/>
        <w:spacing w:after="110"/>
        <w:rPr>
          <w:lang w:val="fr-FR"/>
        </w:rPr>
      </w:pPr>
      <w:r w:rsidRPr="00FE624E">
        <w:rPr>
          <w:lang w:val="fr-FR"/>
        </w:rPr>
        <w:t>Normes minimales</w:t>
      </w:r>
    </w:p>
    <w:p w:rsidR="00815263" w:rsidRPr="00FE624E" w:rsidRDefault="00815263" w:rsidP="00F878E0">
      <w:pPr>
        <w:pStyle w:val="Bullet1"/>
        <w:spacing w:after="110"/>
        <w:ind w:left="714" w:hanging="357"/>
        <w:rPr>
          <w:lang w:val="fr-FR"/>
        </w:rPr>
      </w:pPr>
      <w:r w:rsidRPr="00FE624E">
        <w:rPr>
          <w:lang w:val="fr-FR"/>
        </w:rPr>
        <w:t xml:space="preserve">Les départements des finances et de la logistique doivent participer à la sélection et au recrutement des prestataires de services potentiels. </w:t>
      </w:r>
    </w:p>
    <w:p w:rsidR="000F5637" w:rsidRPr="00FE624E" w:rsidRDefault="00815263" w:rsidP="00F878E0">
      <w:pPr>
        <w:pStyle w:val="Bullet1"/>
        <w:spacing w:after="110"/>
        <w:ind w:left="714" w:hanging="357"/>
        <w:rPr>
          <w:lang w:val="fr-FR"/>
        </w:rPr>
      </w:pPr>
      <w:r w:rsidRPr="00FE624E">
        <w:rPr>
          <w:lang w:val="fr-FR"/>
        </w:rPr>
        <w:t xml:space="preserve">Les critères de sélection doivent être inclus dans le mandat </w:t>
      </w:r>
      <w:r w:rsidR="00151B42" w:rsidRPr="00FE624E">
        <w:rPr>
          <w:lang w:val="fr-FR"/>
        </w:rPr>
        <w:t>élaboré</w:t>
      </w:r>
      <w:r w:rsidR="00905AFD" w:rsidRPr="00FE624E">
        <w:rPr>
          <w:lang w:val="fr-FR"/>
        </w:rPr>
        <w:t xml:space="preserve"> en vue de</w:t>
      </w:r>
      <w:r w:rsidR="008C7C7A" w:rsidRPr="00FE624E">
        <w:rPr>
          <w:lang w:val="fr-FR"/>
        </w:rPr>
        <w:t xml:space="preserve"> la</w:t>
      </w:r>
      <w:r w:rsidRPr="00FE624E">
        <w:rPr>
          <w:lang w:val="fr-FR"/>
        </w:rPr>
        <w:t xml:space="preserve"> procédure d’appel d’offres.</w:t>
      </w:r>
    </w:p>
    <w:p w:rsidR="00815263" w:rsidRPr="00FE624E" w:rsidRDefault="00815263" w:rsidP="00F878E0">
      <w:pPr>
        <w:pStyle w:val="Bullet1"/>
        <w:spacing w:after="110"/>
        <w:ind w:left="714" w:hanging="357"/>
        <w:rPr>
          <w:lang w:val="fr-FR"/>
        </w:rPr>
      </w:pPr>
      <w:r w:rsidRPr="00FE624E">
        <w:rPr>
          <w:lang w:val="fr-FR"/>
        </w:rPr>
        <w:t xml:space="preserve">Les contrats </w:t>
      </w:r>
      <w:r w:rsidR="00017182" w:rsidRPr="00FE624E">
        <w:rPr>
          <w:lang w:val="fr-FR"/>
        </w:rPr>
        <w:t xml:space="preserve">conclus </w:t>
      </w:r>
      <w:r w:rsidRPr="00FE624E">
        <w:rPr>
          <w:lang w:val="fr-FR"/>
        </w:rPr>
        <w:t xml:space="preserve">avec les prestataires de services doivent respecter les </w:t>
      </w:r>
      <w:r w:rsidR="00017182" w:rsidRPr="00FE624E">
        <w:rPr>
          <w:lang w:val="fr-FR"/>
        </w:rPr>
        <w:t>conditions générales relatives aux contrats.</w:t>
      </w:r>
    </w:p>
    <w:p w:rsidR="000F5637" w:rsidRPr="00FE624E" w:rsidRDefault="00815263" w:rsidP="00F878E0">
      <w:pPr>
        <w:pStyle w:val="Heading2"/>
        <w:spacing w:after="110"/>
        <w:rPr>
          <w:lang w:val="fr-FR"/>
        </w:rPr>
      </w:pPr>
      <w:r w:rsidRPr="00FE624E">
        <w:rPr>
          <w:lang w:val="fr-FR"/>
        </w:rPr>
        <w:t>Étapes subsidiaires et outils</w:t>
      </w:r>
    </w:p>
    <w:p w:rsidR="00AA0EE5" w:rsidRPr="00FE624E" w:rsidRDefault="00017182" w:rsidP="00F878E0">
      <w:pPr>
        <w:pStyle w:val="Heading3"/>
        <w:spacing w:after="110"/>
        <w:rPr>
          <w:lang w:val="fr-FR"/>
        </w:rPr>
      </w:pPr>
      <w:r w:rsidRPr="00FE624E">
        <w:rPr>
          <w:lang w:val="fr-FR"/>
        </w:rPr>
        <w:t xml:space="preserve">Recherche et </w:t>
      </w:r>
      <w:r w:rsidR="00151B42" w:rsidRPr="00FE624E">
        <w:rPr>
          <w:lang w:val="fr-FR"/>
        </w:rPr>
        <w:t>pré</w:t>
      </w:r>
      <w:r w:rsidRPr="00FE624E">
        <w:rPr>
          <w:lang w:val="fr-FR"/>
        </w:rPr>
        <w:t>sélection des prestataires de services potentiels</w:t>
      </w:r>
    </w:p>
    <w:p w:rsidR="00645DD7" w:rsidRPr="00FE624E" w:rsidRDefault="00126829" w:rsidP="00F878E0">
      <w:pPr>
        <w:spacing w:after="110"/>
        <w:rPr>
          <w:lang w:val="fr-FR"/>
        </w:rPr>
      </w:pPr>
      <w:r w:rsidRPr="00FE624E">
        <w:rPr>
          <w:lang w:val="fr-FR"/>
        </w:rPr>
        <w:t xml:space="preserve">Vous devez </w:t>
      </w:r>
      <w:r w:rsidR="0047252C" w:rsidRPr="00FE624E">
        <w:rPr>
          <w:lang w:val="fr-FR"/>
        </w:rPr>
        <w:t>examiner avec soin la</w:t>
      </w:r>
      <w:r w:rsidRPr="00FE624E">
        <w:rPr>
          <w:lang w:val="fr-FR"/>
        </w:rPr>
        <w:t xml:space="preserve"> capac</w:t>
      </w:r>
      <w:r w:rsidR="0047252C" w:rsidRPr="00FE624E">
        <w:rPr>
          <w:lang w:val="fr-FR"/>
        </w:rPr>
        <w:t>ité</w:t>
      </w:r>
      <w:r w:rsidRPr="00FE624E">
        <w:rPr>
          <w:lang w:val="fr-FR"/>
        </w:rPr>
        <w:t xml:space="preserve"> des prestataires potentiels </w:t>
      </w:r>
      <w:r w:rsidR="00151B42" w:rsidRPr="00FE624E">
        <w:rPr>
          <w:lang w:val="fr-FR"/>
        </w:rPr>
        <w:t>de</w:t>
      </w:r>
      <w:r w:rsidRPr="00FE624E">
        <w:rPr>
          <w:lang w:val="fr-FR"/>
        </w:rPr>
        <w:t xml:space="preserve"> fournir des services de transferts monéta</w:t>
      </w:r>
      <w:r w:rsidR="0047252C" w:rsidRPr="00FE624E">
        <w:rPr>
          <w:lang w:val="fr-FR"/>
        </w:rPr>
        <w:t>ires dans d</w:t>
      </w:r>
      <w:r w:rsidRPr="00FE624E">
        <w:rPr>
          <w:lang w:val="fr-FR"/>
        </w:rPr>
        <w:t>es situations d’</w:t>
      </w:r>
      <w:r w:rsidR="0047252C" w:rsidRPr="00FE624E">
        <w:rPr>
          <w:lang w:val="fr-FR"/>
        </w:rPr>
        <w:t>urgence ainsi que</w:t>
      </w:r>
      <w:r w:rsidRPr="00FE624E">
        <w:rPr>
          <w:lang w:val="fr-FR"/>
        </w:rPr>
        <w:t xml:space="preserve"> les risques liés à </w:t>
      </w:r>
      <w:r w:rsidR="0047252C" w:rsidRPr="00FE624E">
        <w:rPr>
          <w:lang w:val="fr-FR"/>
        </w:rPr>
        <w:t>la</w:t>
      </w:r>
      <w:r w:rsidRPr="00FE624E">
        <w:rPr>
          <w:lang w:val="fr-FR"/>
        </w:rPr>
        <w:t xml:space="preserve"> collaboration avec </w:t>
      </w:r>
      <w:r w:rsidR="0047252C" w:rsidRPr="00FE624E">
        <w:rPr>
          <w:lang w:val="fr-FR"/>
        </w:rPr>
        <w:t>ces prestatair</w:t>
      </w:r>
      <w:r w:rsidR="0011479A" w:rsidRPr="00FE624E">
        <w:rPr>
          <w:lang w:val="fr-FR"/>
        </w:rPr>
        <w:t>es. Il se peut qu’il n’y ait qu’un faible nombre de</w:t>
      </w:r>
      <w:r w:rsidR="0047252C" w:rsidRPr="00FE624E">
        <w:rPr>
          <w:lang w:val="fr-FR"/>
        </w:rPr>
        <w:t xml:space="preserve"> prestataires de services </w:t>
      </w:r>
      <w:r w:rsidR="0011479A" w:rsidRPr="00FE624E">
        <w:rPr>
          <w:lang w:val="fr-FR"/>
        </w:rPr>
        <w:t>potentiels</w:t>
      </w:r>
      <w:r w:rsidR="0047252C" w:rsidRPr="00FE624E">
        <w:rPr>
          <w:lang w:val="fr-FR"/>
        </w:rPr>
        <w:t xml:space="preserve">. Prenez en compte les aspects suivants pour </w:t>
      </w:r>
      <w:r w:rsidR="0011479A" w:rsidRPr="00FE624E">
        <w:rPr>
          <w:lang w:val="fr-FR"/>
        </w:rPr>
        <w:t>orienter</w:t>
      </w:r>
      <w:r w:rsidR="0047252C" w:rsidRPr="00FE624E">
        <w:rPr>
          <w:lang w:val="fr-FR"/>
        </w:rPr>
        <w:t xml:space="preserve"> votre choix : </w:t>
      </w:r>
    </w:p>
    <w:p w:rsidR="0047252C" w:rsidRPr="00FE624E" w:rsidRDefault="0047252C" w:rsidP="00F878E0">
      <w:pPr>
        <w:pStyle w:val="Bullet2"/>
        <w:spacing w:after="110"/>
        <w:rPr>
          <w:lang w:val="fr-FR"/>
        </w:rPr>
      </w:pPr>
      <w:r w:rsidRPr="00FE624E">
        <w:rPr>
          <w:lang w:val="fr-FR"/>
        </w:rPr>
        <w:t>la mesure dans laquelle le prestataire</w:t>
      </w:r>
      <w:r w:rsidR="0011479A" w:rsidRPr="00FE624E">
        <w:rPr>
          <w:lang w:val="fr-FR"/>
        </w:rPr>
        <w:t xml:space="preserve"> de services</w:t>
      </w:r>
      <w:r w:rsidRPr="00FE624E">
        <w:rPr>
          <w:lang w:val="fr-FR"/>
        </w:rPr>
        <w:t xml:space="preserve"> répond aux besoins </w:t>
      </w:r>
      <w:r w:rsidR="0011479A" w:rsidRPr="00FE624E">
        <w:rPr>
          <w:lang w:val="fr-FR"/>
        </w:rPr>
        <w:t>tant de l’organisation que</w:t>
      </w:r>
      <w:r w:rsidRPr="00FE624E">
        <w:rPr>
          <w:lang w:val="fr-FR"/>
        </w:rPr>
        <w:t xml:space="preserve"> des bénéficiaires visés ;</w:t>
      </w:r>
    </w:p>
    <w:p w:rsidR="00640EEC" w:rsidRPr="00FE624E" w:rsidRDefault="0047252C" w:rsidP="00F878E0">
      <w:pPr>
        <w:pStyle w:val="Bullet2"/>
        <w:spacing w:after="110"/>
        <w:rPr>
          <w:lang w:val="fr-FR"/>
        </w:rPr>
      </w:pPr>
      <w:r w:rsidRPr="00FE624E">
        <w:rPr>
          <w:lang w:val="fr-FR"/>
        </w:rPr>
        <w:t>la couverture géographique du prestataire</w:t>
      </w:r>
      <w:r w:rsidR="0011479A" w:rsidRPr="00FE624E">
        <w:rPr>
          <w:lang w:val="fr-FR"/>
        </w:rPr>
        <w:t xml:space="preserve"> de services</w:t>
      </w:r>
      <w:r w:rsidRPr="00FE624E">
        <w:rPr>
          <w:lang w:val="fr-FR"/>
        </w:rPr>
        <w:t> ;</w:t>
      </w:r>
    </w:p>
    <w:p w:rsidR="00640EEC" w:rsidRPr="00FE624E" w:rsidRDefault="0047252C" w:rsidP="00F878E0">
      <w:pPr>
        <w:pStyle w:val="Bullet2"/>
        <w:spacing w:after="110"/>
        <w:rPr>
          <w:lang w:val="fr-FR"/>
        </w:rPr>
      </w:pPr>
      <w:r w:rsidRPr="00FE624E">
        <w:rPr>
          <w:lang w:val="fr-FR"/>
        </w:rPr>
        <w:t xml:space="preserve">les </w:t>
      </w:r>
      <w:r w:rsidR="00151B42" w:rsidRPr="00FE624E">
        <w:rPr>
          <w:lang w:val="fr-FR"/>
        </w:rPr>
        <w:t>tarifs appliqués par le prestataire de services </w:t>
      </w:r>
      <w:r w:rsidRPr="00FE624E">
        <w:rPr>
          <w:lang w:val="fr-FR"/>
        </w:rPr>
        <w:t>;</w:t>
      </w:r>
    </w:p>
    <w:p w:rsidR="00640EEC" w:rsidRPr="00FE624E" w:rsidRDefault="0047252C" w:rsidP="00F878E0">
      <w:pPr>
        <w:pStyle w:val="Bullet2"/>
        <w:spacing w:after="110"/>
        <w:rPr>
          <w:lang w:val="fr-FR"/>
        </w:rPr>
      </w:pPr>
      <w:r w:rsidRPr="00FE624E">
        <w:rPr>
          <w:lang w:val="fr-FR"/>
        </w:rPr>
        <w:t>la qualité des services proposés.</w:t>
      </w:r>
    </w:p>
    <w:p w:rsidR="0047252C" w:rsidRPr="00FE624E" w:rsidRDefault="0047252C" w:rsidP="00277782">
      <w:pPr>
        <w:spacing w:after="110"/>
        <w:rPr>
          <w:lang w:val="fr-FR"/>
        </w:rPr>
      </w:pPr>
      <w:r w:rsidRPr="00FE624E">
        <w:rPr>
          <w:lang w:val="fr-FR"/>
        </w:rPr>
        <w:t xml:space="preserve">Les outils de cette étape subsidiaire vous aideront à déterminer </w:t>
      </w:r>
      <w:r w:rsidR="00151B42" w:rsidRPr="00FE624E">
        <w:rPr>
          <w:lang w:val="fr-FR"/>
        </w:rPr>
        <w:t xml:space="preserve">les exigences </w:t>
      </w:r>
      <w:r w:rsidR="00277782">
        <w:rPr>
          <w:lang w:val="fr-FR"/>
        </w:rPr>
        <w:t>auxquelles</w:t>
      </w:r>
      <w:r w:rsidR="00151B42" w:rsidRPr="00FE624E">
        <w:rPr>
          <w:lang w:val="fr-FR"/>
        </w:rPr>
        <w:t xml:space="preserve"> les</w:t>
      </w:r>
      <w:r w:rsidR="0011479A" w:rsidRPr="00FE624E">
        <w:rPr>
          <w:lang w:val="fr-FR"/>
        </w:rPr>
        <w:t xml:space="preserve"> </w:t>
      </w:r>
      <w:r w:rsidRPr="00FE624E">
        <w:rPr>
          <w:lang w:val="fr-FR"/>
        </w:rPr>
        <w:t>prestataire</w:t>
      </w:r>
      <w:r w:rsidR="0011479A" w:rsidRPr="00FE624E">
        <w:rPr>
          <w:lang w:val="fr-FR"/>
        </w:rPr>
        <w:t>s</w:t>
      </w:r>
      <w:r w:rsidRPr="00FE624E">
        <w:rPr>
          <w:lang w:val="fr-FR"/>
        </w:rPr>
        <w:t xml:space="preserve"> de services </w:t>
      </w:r>
      <w:r w:rsidR="00151B42" w:rsidRPr="00FE624E">
        <w:rPr>
          <w:lang w:val="fr-FR"/>
        </w:rPr>
        <w:t xml:space="preserve">doivent </w:t>
      </w:r>
      <w:r w:rsidR="00277782">
        <w:rPr>
          <w:lang w:val="fr-FR"/>
        </w:rPr>
        <w:t>satisfaire</w:t>
      </w:r>
      <w:r w:rsidR="00151B42" w:rsidRPr="00FE624E">
        <w:rPr>
          <w:lang w:val="fr-FR"/>
        </w:rPr>
        <w:t xml:space="preserve"> </w:t>
      </w:r>
      <w:r w:rsidR="0011479A" w:rsidRPr="00FE624E">
        <w:rPr>
          <w:lang w:val="fr-FR"/>
        </w:rPr>
        <w:t>pour</w:t>
      </w:r>
      <w:r w:rsidRPr="00FE624E">
        <w:rPr>
          <w:lang w:val="fr-FR"/>
        </w:rPr>
        <w:t xml:space="preserve"> être inclus dans le processus de sélection.</w:t>
      </w:r>
    </w:p>
    <w:p w:rsidR="00AA0EE5" w:rsidRPr="00FE624E" w:rsidRDefault="00017182" w:rsidP="00F878E0">
      <w:pPr>
        <w:pStyle w:val="Heading3"/>
        <w:spacing w:after="110"/>
        <w:rPr>
          <w:lang w:val="fr-FR"/>
        </w:rPr>
      </w:pPr>
      <w:r w:rsidRPr="00FE624E">
        <w:rPr>
          <w:lang w:val="fr-FR"/>
        </w:rPr>
        <w:t xml:space="preserve">Procédure d’appel d’offres et </w:t>
      </w:r>
      <w:r w:rsidR="0011479A" w:rsidRPr="00FE624E">
        <w:rPr>
          <w:lang w:val="fr-FR"/>
        </w:rPr>
        <w:t>sélection</w:t>
      </w:r>
      <w:r w:rsidRPr="00FE624E">
        <w:rPr>
          <w:lang w:val="fr-FR"/>
        </w:rPr>
        <w:t xml:space="preserve"> des prestataires de services</w:t>
      </w:r>
    </w:p>
    <w:p w:rsidR="0047252C" w:rsidRPr="00FE624E" w:rsidRDefault="0047252C" w:rsidP="00F878E0">
      <w:pPr>
        <w:spacing w:after="110"/>
        <w:rPr>
          <w:lang w:val="fr-FR"/>
        </w:rPr>
      </w:pPr>
      <w:r w:rsidRPr="00FE624E">
        <w:rPr>
          <w:lang w:val="fr-FR"/>
        </w:rPr>
        <w:t>Les prochaines étapes dépendront des pr</w:t>
      </w:r>
      <w:r w:rsidR="00A03560" w:rsidRPr="00FE624E">
        <w:rPr>
          <w:lang w:val="fr-FR"/>
        </w:rPr>
        <w:t>océdures</w:t>
      </w:r>
      <w:r w:rsidRPr="00FE624E">
        <w:rPr>
          <w:lang w:val="fr-FR"/>
        </w:rPr>
        <w:t xml:space="preserve"> d</w:t>
      </w:r>
      <w:r w:rsidR="00A03560" w:rsidRPr="00FE624E">
        <w:rPr>
          <w:lang w:val="fr-FR"/>
        </w:rPr>
        <w:t xml:space="preserve">’appel d’offres </w:t>
      </w:r>
      <w:r w:rsidRPr="00FE624E">
        <w:rPr>
          <w:lang w:val="fr-FR"/>
        </w:rPr>
        <w:t>de l’organisation. En règle générale,</w:t>
      </w:r>
      <w:r w:rsidR="00A03560" w:rsidRPr="00FE624E">
        <w:rPr>
          <w:lang w:val="fr-FR"/>
        </w:rPr>
        <w:t xml:space="preserve"> </w:t>
      </w:r>
      <w:r w:rsidR="00151B42" w:rsidRPr="00FE624E">
        <w:rPr>
          <w:lang w:val="fr-FR"/>
        </w:rPr>
        <w:t>le recrutement de prestataires</w:t>
      </w:r>
      <w:r w:rsidR="0011479A" w:rsidRPr="00FE624E">
        <w:rPr>
          <w:lang w:val="fr-FR"/>
        </w:rPr>
        <w:t xml:space="preserve"> de services </w:t>
      </w:r>
      <w:r w:rsidR="00151B42" w:rsidRPr="00FE624E">
        <w:rPr>
          <w:lang w:val="fr-FR"/>
        </w:rPr>
        <w:t xml:space="preserve">doit faire l’objet </w:t>
      </w:r>
      <w:r w:rsidR="0011479A" w:rsidRPr="00FE624E">
        <w:rPr>
          <w:lang w:val="fr-FR"/>
        </w:rPr>
        <w:t>d’</w:t>
      </w:r>
      <w:r w:rsidR="00051903" w:rsidRPr="00FE624E">
        <w:rPr>
          <w:lang w:val="fr-FR"/>
        </w:rPr>
        <w:t>un</w:t>
      </w:r>
      <w:r w:rsidR="00A03560" w:rsidRPr="00FE624E">
        <w:rPr>
          <w:lang w:val="fr-FR"/>
        </w:rPr>
        <w:t xml:space="preserve"> processus formel d’appel d’offres </w:t>
      </w:r>
      <w:r w:rsidR="00151B42" w:rsidRPr="00FE624E">
        <w:rPr>
          <w:lang w:val="fr-FR"/>
        </w:rPr>
        <w:t xml:space="preserve">géré </w:t>
      </w:r>
      <w:r w:rsidR="00A03560" w:rsidRPr="00FE624E">
        <w:rPr>
          <w:lang w:val="fr-FR"/>
        </w:rPr>
        <w:t xml:space="preserve">par le département de la logistique. </w:t>
      </w:r>
      <w:r w:rsidR="00CB2A65" w:rsidRPr="00FE624E">
        <w:rPr>
          <w:lang w:val="fr-FR"/>
        </w:rPr>
        <w:t xml:space="preserve">Toutefois, dans la mesure où les partenaires potentiels ont été présélectionnés, vous devriez pouvoir restreindre l’appel d’offres </w:t>
      </w:r>
      <w:r w:rsidR="00A03560" w:rsidRPr="00FE624E">
        <w:rPr>
          <w:lang w:val="fr-FR"/>
        </w:rPr>
        <w:t>aux p</w:t>
      </w:r>
      <w:r w:rsidR="00905AFD" w:rsidRPr="00FE624E">
        <w:rPr>
          <w:lang w:val="fr-FR"/>
        </w:rPr>
        <w:t>restat</w:t>
      </w:r>
      <w:r w:rsidR="00A03560" w:rsidRPr="00FE624E">
        <w:rPr>
          <w:lang w:val="fr-FR"/>
        </w:rPr>
        <w:t>aires qui o</w:t>
      </w:r>
      <w:r w:rsidR="00905AFD" w:rsidRPr="00FE624E">
        <w:rPr>
          <w:lang w:val="fr-FR"/>
        </w:rPr>
        <w:t xml:space="preserve">nt franchi avec </w:t>
      </w:r>
      <w:r w:rsidR="00905AFD" w:rsidRPr="00FE624E">
        <w:rPr>
          <w:lang w:val="fr-FR"/>
        </w:rPr>
        <w:lastRenderedPageBreak/>
        <w:t>succès l</w:t>
      </w:r>
      <w:r w:rsidR="00A03560" w:rsidRPr="00FE624E">
        <w:rPr>
          <w:lang w:val="fr-FR"/>
        </w:rPr>
        <w:t>’</w:t>
      </w:r>
      <w:r w:rsidR="00905AFD" w:rsidRPr="00FE624E">
        <w:rPr>
          <w:lang w:val="fr-FR"/>
        </w:rPr>
        <w:t>étape d’</w:t>
      </w:r>
      <w:r w:rsidR="00A03560" w:rsidRPr="00FE624E">
        <w:rPr>
          <w:lang w:val="fr-FR"/>
        </w:rPr>
        <w:t>évaluation initiale. S’il n’y a qu’un seul p</w:t>
      </w:r>
      <w:r w:rsidR="00425015" w:rsidRPr="00FE624E">
        <w:rPr>
          <w:lang w:val="fr-FR"/>
        </w:rPr>
        <w:t>artenaire po</w:t>
      </w:r>
      <w:r w:rsidR="00905AFD" w:rsidRPr="00FE624E">
        <w:rPr>
          <w:lang w:val="fr-FR"/>
        </w:rPr>
        <w:t>tentiel</w:t>
      </w:r>
      <w:r w:rsidR="00425015" w:rsidRPr="00FE624E">
        <w:rPr>
          <w:lang w:val="fr-FR"/>
        </w:rPr>
        <w:t xml:space="preserve">, vous devrez </w:t>
      </w:r>
      <w:r w:rsidR="00905AFD" w:rsidRPr="00FE624E">
        <w:rPr>
          <w:lang w:val="fr-FR"/>
        </w:rPr>
        <w:t xml:space="preserve">probablement </w:t>
      </w:r>
      <w:r w:rsidR="00425015" w:rsidRPr="00FE624E">
        <w:rPr>
          <w:lang w:val="fr-FR"/>
        </w:rPr>
        <w:t>opter pour un contrat sans appel d’offres ou un contrat à fournisseur unique.</w:t>
      </w:r>
    </w:p>
    <w:p w:rsidR="00425015" w:rsidRPr="00FE624E" w:rsidRDefault="00425015" w:rsidP="007941D7">
      <w:pPr>
        <w:spacing w:after="110"/>
        <w:rPr>
          <w:lang w:val="fr-FR"/>
        </w:rPr>
      </w:pPr>
      <w:r w:rsidRPr="00FE624E">
        <w:rPr>
          <w:lang w:val="fr-FR"/>
        </w:rPr>
        <w:t xml:space="preserve">Le mandat </w:t>
      </w:r>
      <w:r w:rsidR="00CB2A65" w:rsidRPr="00FE624E">
        <w:rPr>
          <w:lang w:val="fr-FR"/>
        </w:rPr>
        <w:t>élaboré</w:t>
      </w:r>
      <w:r w:rsidRPr="00FE624E">
        <w:rPr>
          <w:lang w:val="fr-FR"/>
        </w:rPr>
        <w:t xml:space="preserve"> en vue de la p</w:t>
      </w:r>
      <w:r w:rsidR="00051903" w:rsidRPr="00FE624E">
        <w:rPr>
          <w:lang w:val="fr-FR"/>
        </w:rPr>
        <w:t xml:space="preserve">rocédure d’appel d’offres doit préciser </w:t>
      </w:r>
      <w:r w:rsidR="00CC50D2" w:rsidRPr="00FE624E">
        <w:rPr>
          <w:lang w:val="fr-FR"/>
        </w:rPr>
        <w:t>le but des services requis ;</w:t>
      </w:r>
      <w:r w:rsidRPr="00FE624E">
        <w:rPr>
          <w:lang w:val="fr-FR"/>
        </w:rPr>
        <w:t xml:space="preserve"> les tâches devant être menées par le presta</w:t>
      </w:r>
      <w:r w:rsidR="00CC50D2" w:rsidRPr="00FE624E">
        <w:rPr>
          <w:lang w:val="fr-FR"/>
        </w:rPr>
        <w:t>taire et les résultats attendus ;</w:t>
      </w:r>
      <w:r w:rsidRPr="00FE624E">
        <w:rPr>
          <w:lang w:val="fr-FR"/>
        </w:rPr>
        <w:t xml:space="preserve"> les normes de qualité</w:t>
      </w:r>
      <w:r w:rsidR="00CC50D2" w:rsidRPr="00FE624E">
        <w:rPr>
          <w:lang w:val="fr-FR"/>
        </w:rPr>
        <w:t> ;</w:t>
      </w:r>
      <w:r w:rsidRPr="00FE624E">
        <w:rPr>
          <w:lang w:val="fr-FR"/>
        </w:rPr>
        <w:t xml:space="preserve"> et le type de soutien fourni par l’organisme </w:t>
      </w:r>
      <w:r w:rsidR="00CC50D2" w:rsidRPr="00FE624E">
        <w:rPr>
          <w:lang w:val="fr-FR"/>
        </w:rPr>
        <w:t>sollicitant les services. Les dispositions</w:t>
      </w:r>
      <w:r w:rsidRPr="00FE624E">
        <w:rPr>
          <w:lang w:val="fr-FR"/>
        </w:rPr>
        <w:t xml:space="preserve"> de la proposition technique et les critères d’évaluation </w:t>
      </w:r>
      <w:r w:rsidR="007941D7">
        <w:rPr>
          <w:lang w:val="fr-FR"/>
        </w:rPr>
        <w:t>à</w:t>
      </w:r>
      <w:r w:rsidR="00C00E0E" w:rsidRPr="00FE624E">
        <w:rPr>
          <w:lang w:val="fr-FR"/>
        </w:rPr>
        <w:t xml:space="preserve"> </w:t>
      </w:r>
      <w:r w:rsidR="000079AA" w:rsidRPr="00FE624E">
        <w:rPr>
          <w:lang w:val="fr-FR"/>
        </w:rPr>
        <w:t>respect</w:t>
      </w:r>
      <w:r w:rsidR="007941D7">
        <w:rPr>
          <w:lang w:val="fr-FR"/>
        </w:rPr>
        <w:t>er</w:t>
      </w:r>
      <w:r w:rsidRPr="00FE624E">
        <w:rPr>
          <w:lang w:val="fr-FR"/>
        </w:rPr>
        <w:t xml:space="preserve"> doivent être décrit</w:t>
      </w:r>
      <w:r w:rsidR="000079AA" w:rsidRPr="00FE624E">
        <w:rPr>
          <w:lang w:val="fr-FR"/>
        </w:rPr>
        <w:t>s</w:t>
      </w:r>
      <w:r w:rsidRPr="00FE624E">
        <w:rPr>
          <w:lang w:val="fr-FR"/>
        </w:rPr>
        <w:t xml:space="preserve"> en annexe. Les outils de cette étape subsidiair</w:t>
      </w:r>
      <w:r w:rsidR="000079AA" w:rsidRPr="00FE624E">
        <w:rPr>
          <w:lang w:val="fr-FR"/>
        </w:rPr>
        <w:t xml:space="preserve">e </w:t>
      </w:r>
      <w:r w:rsidR="00CC50D2" w:rsidRPr="00FE624E">
        <w:rPr>
          <w:lang w:val="fr-FR"/>
        </w:rPr>
        <w:t>comprennent</w:t>
      </w:r>
      <w:r w:rsidR="000079AA" w:rsidRPr="00FE624E">
        <w:rPr>
          <w:lang w:val="fr-FR"/>
        </w:rPr>
        <w:t xml:space="preserve"> un modèle de mandat.</w:t>
      </w:r>
    </w:p>
    <w:p w:rsidR="00425015" w:rsidRPr="00FE624E" w:rsidRDefault="00425015" w:rsidP="00F878E0">
      <w:pPr>
        <w:spacing w:after="110"/>
        <w:rPr>
          <w:lang w:val="fr-FR"/>
        </w:rPr>
      </w:pPr>
      <w:r w:rsidRPr="00FE624E">
        <w:rPr>
          <w:lang w:val="fr-FR"/>
        </w:rPr>
        <w:t xml:space="preserve">L’évaluation des propositions </w:t>
      </w:r>
      <w:r w:rsidR="00DB6FE3" w:rsidRPr="00FE624E">
        <w:rPr>
          <w:lang w:val="fr-FR"/>
        </w:rPr>
        <w:t>des prestataires</w:t>
      </w:r>
      <w:r w:rsidR="00277A49" w:rsidRPr="00FE624E">
        <w:rPr>
          <w:lang w:val="fr-FR"/>
        </w:rPr>
        <w:t xml:space="preserve"> doit se fonder sur les critères </w:t>
      </w:r>
      <w:r w:rsidR="000079AA" w:rsidRPr="00FE624E">
        <w:rPr>
          <w:lang w:val="fr-FR"/>
        </w:rPr>
        <w:t>définis</w:t>
      </w:r>
      <w:r w:rsidR="00277A49" w:rsidRPr="00FE624E">
        <w:rPr>
          <w:lang w:val="fr-FR"/>
        </w:rPr>
        <w:t xml:space="preserve"> dans le mandat </w:t>
      </w:r>
      <w:r w:rsidR="00DB6FE3" w:rsidRPr="00FE624E">
        <w:rPr>
          <w:lang w:val="fr-FR"/>
        </w:rPr>
        <w:t>qui a été</w:t>
      </w:r>
      <w:r w:rsidR="00277A49" w:rsidRPr="00FE624E">
        <w:rPr>
          <w:lang w:val="fr-FR"/>
        </w:rPr>
        <w:t xml:space="preserve"> communiqué aux participants à l’appel d’offres. Des membres des départements des finances et de l’informatique doivent participer au processus d’évaluation afin </w:t>
      </w:r>
      <w:r w:rsidR="000079AA" w:rsidRPr="00FE624E">
        <w:rPr>
          <w:lang w:val="fr-FR"/>
        </w:rPr>
        <w:t>de garantir que</w:t>
      </w:r>
      <w:r w:rsidR="00277A49" w:rsidRPr="00FE624E">
        <w:rPr>
          <w:lang w:val="fr-FR"/>
        </w:rPr>
        <w:t xml:space="preserve"> tous les critères soient pris en compte :</w:t>
      </w:r>
    </w:p>
    <w:p w:rsidR="00AA1585" w:rsidRPr="00FE624E" w:rsidRDefault="00277A49" w:rsidP="00F878E0">
      <w:pPr>
        <w:pStyle w:val="Bullet2"/>
        <w:spacing w:after="110"/>
        <w:rPr>
          <w:lang w:val="fr-FR"/>
        </w:rPr>
      </w:pPr>
      <w:r w:rsidRPr="00FE624E">
        <w:rPr>
          <w:lang w:val="fr-FR"/>
        </w:rPr>
        <w:t>les coûts ;</w:t>
      </w:r>
    </w:p>
    <w:p w:rsidR="00AA1585" w:rsidRPr="00FE624E" w:rsidRDefault="00277A49" w:rsidP="00F878E0">
      <w:pPr>
        <w:pStyle w:val="Bullet2"/>
        <w:spacing w:after="110"/>
        <w:rPr>
          <w:lang w:val="fr-FR"/>
        </w:rPr>
      </w:pPr>
      <w:r w:rsidRPr="00FE624E">
        <w:rPr>
          <w:lang w:val="fr-FR"/>
        </w:rPr>
        <w:t>la rapidité ;</w:t>
      </w:r>
    </w:p>
    <w:p w:rsidR="00277A49" w:rsidRPr="00FE624E" w:rsidRDefault="000079AA" w:rsidP="00F878E0">
      <w:pPr>
        <w:pStyle w:val="Bullet2"/>
        <w:spacing w:after="110"/>
        <w:rPr>
          <w:lang w:val="fr-FR"/>
        </w:rPr>
      </w:pPr>
      <w:r w:rsidRPr="00FE624E">
        <w:rPr>
          <w:lang w:val="fr-FR"/>
        </w:rPr>
        <w:t>la capacité du prestataire de service</w:t>
      </w:r>
      <w:r w:rsidR="00051903" w:rsidRPr="00FE624E">
        <w:rPr>
          <w:lang w:val="fr-FR"/>
        </w:rPr>
        <w:t>s</w:t>
      </w:r>
      <w:r w:rsidRPr="00FE624E">
        <w:rPr>
          <w:lang w:val="fr-FR"/>
        </w:rPr>
        <w:t xml:space="preserve"> </w:t>
      </w:r>
      <w:r w:rsidR="00DB6FE3" w:rsidRPr="00FE624E">
        <w:rPr>
          <w:lang w:val="fr-FR"/>
        </w:rPr>
        <w:t>de</w:t>
      </w:r>
      <w:r w:rsidRPr="00FE624E">
        <w:rPr>
          <w:lang w:val="fr-FR"/>
        </w:rPr>
        <w:t xml:space="preserve"> s’adapter</w:t>
      </w:r>
      <w:r w:rsidR="00277A49" w:rsidRPr="00FE624E">
        <w:rPr>
          <w:lang w:val="fr-FR"/>
        </w:rPr>
        <w:t xml:space="preserve"> aux besoins du projet ;</w:t>
      </w:r>
    </w:p>
    <w:p w:rsidR="00277A49" w:rsidRPr="00FE624E" w:rsidRDefault="00277A49" w:rsidP="00F878E0">
      <w:pPr>
        <w:pStyle w:val="Bullet2"/>
        <w:spacing w:after="110"/>
        <w:rPr>
          <w:lang w:val="fr-FR"/>
        </w:rPr>
      </w:pPr>
      <w:r w:rsidRPr="00FE624E">
        <w:rPr>
          <w:lang w:val="fr-FR"/>
        </w:rPr>
        <w:t>la facilité de la communication et de la coordination avec le prestataire ;</w:t>
      </w:r>
    </w:p>
    <w:p w:rsidR="00277A49" w:rsidRPr="00FE624E" w:rsidRDefault="00277A49" w:rsidP="00F878E0">
      <w:pPr>
        <w:pStyle w:val="Bullet2"/>
        <w:spacing w:after="110"/>
        <w:rPr>
          <w:lang w:val="fr-FR"/>
        </w:rPr>
      </w:pPr>
      <w:r w:rsidRPr="00FE624E">
        <w:rPr>
          <w:lang w:val="fr-FR"/>
        </w:rPr>
        <w:t xml:space="preserve">la capacité </w:t>
      </w:r>
      <w:r w:rsidR="00DB6FE3" w:rsidRPr="00FE624E">
        <w:rPr>
          <w:lang w:val="fr-FR"/>
        </w:rPr>
        <w:t>de</w:t>
      </w:r>
      <w:r w:rsidRPr="00FE624E">
        <w:rPr>
          <w:lang w:val="fr-FR"/>
        </w:rPr>
        <w:t xml:space="preserve"> fournir un soutien technique ;</w:t>
      </w:r>
    </w:p>
    <w:p w:rsidR="00277A49" w:rsidRPr="00FE624E" w:rsidRDefault="00277A49" w:rsidP="00F878E0">
      <w:pPr>
        <w:pStyle w:val="Bullet2"/>
        <w:spacing w:after="110"/>
        <w:rPr>
          <w:lang w:val="fr-FR"/>
        </w:rPr>
      </w:pPr>
      <w:r w:rsidRPr="00FE624E">
        <w:rPr>
          <w:lang w:val="fr-FR"/>
        </w:rPr>
        <w:t xml:space="preserve">tout problème potentiel mis en </w:t>
      </w:r>
      <w:r w:rsidR="00DB6FE3" w:rsidRPr="00FE624E">
        <w:rPr>
          <w:lang w:val="fr-FR"/>
        </w:rPr>
        <w:t>évidence</w:t>
      </w:r>
      <w:r w:rsidRPr="00FE624E">
        <w:rPr>
          <w:lang w:val="fr-FR"/>
        </w:rPr>
        <w:t xml:space="preserve"> lors de la phase de recherche.</w:t>
      </w:r>
    </w:p>
    <w:p w:rsidR="00AA0EE5" w:rsidRPr="00FE624E" w:rsidRDefault="00017182" w:rsidP="00F878E0">
      <w:pPr>
        <w:pStyle w:val="Heading3"/>
        <w:spacing w:after="110"/>
        <w:rPr>
          <w:lang w:val="fr-FR"/>
        </w:rPr>
      </w:pPr>
      <w:r w:rsidRPr="00FE624E">
        <w:rPr>
          <w:lang w:val="fr-FR"/>
        </w:rPr>
        <w:t>Recrutement et définition des méthodes de travail</w:t>
      </w:r>
    </w:p>
    <w:p w:rsidR="005A3F3A" w:rsidRPr="00FE624E" w:rsidRDefault="005A3F3A" w:rsidP="00F878E0">
      <w:pPr>
        <w:spacing w:after="110"/>
        <w:rPr>
          <w:lang w:val="fr-FR"/>
        </w:rPr>
      </w:pPr>
      <w:r w:rsidRPr="00FE624E">
        <w:rPr>
          <w:lang w:val="fr-FR"/>
        </w:rPr>
        <w:t xml:space="preserve">Il existe différentes </w:t>
      </w:r>
      <w:r w:rsidR="000079AA" w:rsidRPr="00FE624E">
        <w:rPr>
          <w:lang w:val="fr-FR"/>
        </w:rPr>
        <w:t>possibilités</w:t>
      </w:r>
      <w:r w:rsidR="003612C3" w:rsidRPr="00FE624E">
        <w:rPr>
          <w:lang w:val="fr-FR"/>
        </w:rPr>
        <w:t xml:space="preserve"> sur le plan juridique</w:t>
      </w:r>
      <w:r w:rsidRPr="00FE624E">
        <w:rPr>
          <w:lang w:val="fr-FR"/>
        </w:rPr>
        <w:t xml:space="preserve"> </w:t>
      </w:r>
      <w:r w:rsidR="00051903" w:rsidRPr="00FE624E">
        <w:rPr>
          <w:lang w:val="fr-FR"/>
        </w:rPr>
        <w:t>pour</w:t>
      </w:r>
      <w:r w:rsidRPr="00FE624E">
        <w:rPr>
          <w:lang w:val="fr-FR"/>
        </w:rPr>
        <w:t xml:space="preserve"> conclure un partenariat</w:t>
      </w:r>
      <w:r w:rsidR="00051903" w:rsidRPr="00FE624E">
        <w:rPr>
          <w:lang w:val="fr-FR"/>
        </w:rPr>
        <w:t xml:space="preserve"> </w:t>
      </w:r>
      <w:r w:rsidRPr="00FE624E">
        <w:rPr>
          <w:lang w:val="fr-FR"/>
        </w:rPr>
        <w:t>avec un prestataire de service</w:t>
      </w:r>
      <w:r w:rsidR="003612C3" w:rsidRPr="00FE624E">
        <w:rPr>
          <w:lang w:val="fr-FR"/>
        </w:rPr>
        <w:t>s</w:t>
      </w:r>
      <w:r w:rsidRPr="00FE624E">
        <w:rPr>
          <w:lang w:val="fr-FR"/>
        </w:rPr>
        <w:t xml:space="preserve">. </w:t>
      </w:r>
      <w:r w:rsidR="00C1305C" w:rsidRPr="00FE624E">
        <w:rPr>
          <w:lang w:val="fr-FR"/>
        </w:rPr>
        <w:t xml:space="preserve">Le moyen le plus simple est </w:t>
      </w:r>
      <w:r w:rsidR="00DB6FE3" w:rsidRPr="00FE624E">
        <w:rPr>
          <w:lang w:val="fr-FR"/>
        </w:rPr>
        <w:t>d’utiliser</w:t>
      </w:r>
      <w:r w:rsidR="00C1305C" w:rsidRPr="00FE624E">
        <w:rPr>
          <w:lang w:val="fr-FR"/>
        </w:rPr>
        <w:t xml:space="preserve"> un</w:t>
      </w:r>
      <w:r w:rsidR="003612C3" w:rsidRPr="00FE624E">
        <w:rPr>
          <w:lang w:val="fr-FR"/>
        </w:rPr>
        <w:t xml:space="preserve"> modèle standard de contrat, en y apportant quelques ajustements mineur</w:t>
      </w:r>
      <w:r w:rsidR="00C1305C" w:rsidRPr="00FE624E">
        <w:rPr>
          <w:lang w:val="fr-FR"/>
        </w:rPr>
        <w:t xml:space="preserve">s. En fonction de la relation avec le partenaire et de la nature du programme, vous pouvez </w:t>
      </w:r>
      <w:r w:rsidR="003612C3" w:rsidRPr="00FE624E">
        <w:rPr>
          <w:lang w:val="fr-FR"/>
        </w:rPr>
        <w:t xml:space="preserve">aussi </w:t>
      </w:r>
      <w:r w:rsidR="00C1305C" w:rsidRPr="00FE624E">
        <w:rPr>
          <w:lang w:val="fr-FR"/>
        </w:rPr>
        <w:t xml:space="preserve">opter pour une simple lettre d’accord. Dans la plupart des cas, toutefois, le prestataire de services, en particulier s’il s’agit d’une banque ou d’un opérateur de téléphonie mobile, disposera d’un modèle standard de contrat de services. Dans ce </w:t>
      </w:r>
      <w:r w:rsidR="00DB6FE3" w:rsidRPr="00FE624E">
        <w:rPr>
          <w:lang w:val="fr-FR"/>
        </w:rPr>
        <w:t>contexte</w:t>
      </w:r>
      <w:r w:rsidR="00C1305C" w:rsidRPr="00FE624E">
        <w:rPr>
          <w:lang w:val="fr-FR"/>
        </w:rPr>
        <w:t xml:space="preserve">, assurez-vous que les aspects </w:t>
      </w:r>
      <w:r w:rsidR="00DB6FE3" w:rsidRPr="00FE624E">
        <w:rPr>
          <w:lang w:val="fr-FR"/>
        </w:rPr>
        <w:t xml:space="preserve">spécifiques à votre </w:t>
      </w:r>
      <w:r w:rsidR="00C1305C" w:rsidRPr="00FE624E">
        <w:rPr>
          <w:lang w:val="fr-FR"/>
        </w:rPr>
        <w:t>organisation et</w:t>
      </w:r>
      <w:r w:rsidR="00DB6FE3" w:rsidRPr="00FE624E">
        <w:rPr>
          <w:lang w:val="fr-FR"/>
        </w:rPr>
        <w:t xml:space="preserve"> au programme </w:t>
      </w:r>
      <w:r w:rsidR="00C1305C" w:rsidRPr="00FE624E">
        <w:rPr>
          <w:lang w:val="fr-FR"/>
        </w:rPr>
        <w:t xml:space="preserve">soient pris en compte. Les outils de cette étape subsidiaire </w:t>
      </w:r>
      <w:r w:rsidR="00DB6FE3" w:rsidRPr="00FE624E">
        <w:rPr>
          <w:lang w:val="fr-FR"/>
        </w:rPr>
        <w:t>comprennent</w:t>
      </w:r>
      <w:r w:rsidR="00C1305C" w:rsidRPr="00FE624E">
        <w:rPr>
          <w:lang w:val="fr-FR"/>
        </w:rPr>
        <w:t xml:space="preserve"> un modèle de contrat pour les pres</w:t>
      </w:r>
      <w:r w:rsidR="00DB6FE3" w:rsidRPr="00FE624E">
        <w:rPr>
          <w:lang w:val="fr-FR"/>
        </w:rPr>
        <w:t>tataires de services, une liste des</w:t>
      </w:r>
      <w:r w:rsidR="00C1305C" w:rsidRPr="00FE624E">
        <w:rPr>
          <w:lang w:val="fr-FR"/>
        </w:rPr>
        <w:t xml:space="preserve"> conditions générales s’appliquant à tous les contrats de services et </w:t>
      </w:r>
      <w:r w:rsidR="00DB6FE3" w:rsidRPr="00FE624E">
        <w:rPr>
          <w:lang w:val="fr-FR"/>
        </w:rPr>
        <w:t>une liste d</w:t>
      </w:r>
      <w:r w:rsidR="00C1305C" w:rsidRPr="00FE624E">
        <w:rPr>
          <w:lang w:val="fr-FR"/>
        </w:rPr>
        <w:t xml:space="preserve">es </w:t>
      </w:r>
      <w:r w:rsidR="00DB6FE3" w:rsidRPr="00FE624E">
        <w:rPr>
          <w:lang w:val="fr-FR"/>
        </w:rPr>
        <w:t>obligations contractuelles</w:t>
      </w:r>
      <w:r w:rsidR="00C1305C" w:rsidRPr="00FE624E">
        <w:rPr>
          <w:lang w:val="fr-FR"/>
        </w:rPr>
        <w:t xml:space="preserve"> minimales </w:t>
      </w:r>
      <w:r w:rsidR="00DB6FE3" w:rsidRPr="00FE624E">
        <w:rPr>
          <w:lang w:val="fr-FR"/>
        </w:rPr>
        <w:t>devant être respectées par</w:t>
      </w:r>
      <w:r w:rsidR="00C1305C" w:rsidRPr="00FE624E">
        <w:rPr>
          <w:lang w:val="fr-FR"/>
        </w:rPr>
        <w:t xml:space="preserve"> un prestataire de services de transferts électroniques.</w:t>
      </w:r>
    </w:p>
    <w:p w:rsidR="00F31177" w:rsidRPr="00FE624E" w:rsidRDefault="00017182" w:rsidP="00F878E0">
      <w:pPr>
        <w:pStyle w:val="Heading3"/>
        <w:spacing w:after="110"/>
        <w:rPr>
          <w:lang w:val="fr-FR"/>
        </w:rPr>
      </w:pPr>
      <w:r w:rsidRPr="00FE624E">
        <w:rPr>
          <w:lang w:val="fr-FR"/>
        </w:rPr>
        <w:t>Gestion et protection des données relatives aux bénéficiaires</w:t>
      </w:r>
    </w:p>
    <w:p w:rsidR="005A3F3A" w:rsidRPr="00FE624E" w:rsidRDefault="005A3F3A" w:rsidP="00F878E0">
      <w:pPr>
        <w:spacing w:after="110"/>
        <w:rPr>
          <w:lang w:val="fr-FR"/>
        </w:rPr>
      </w:pPr>
      <w:r w:rsidRPr="00FE624E">
        <w:rPr>
          <w:lang w:val="fr-FR"/>
        </w:rPr>
        <w:t xml:space="preserve">La gestion et la protection des données relatives aux bénéficiaires </w:t>
      </w:r>
      <w:r w:rsidR="00DB6FE3" w:rsidRPr="00FE624E">
        <w:rPr>
          <w:lang w:val="fr-FR"/>
        </w:rPr>
        <w:t>sont</w:t>
      </w:r>
      <w:r w:rsidRPr="00FE624E">
        <w:rPr>
          <w:lang w:val="fr-FR"/>
        </w:rPr>
        <w:t xml:space="preserve"> particulièrement important</w:t>
      </w:r>
      <w:r w:rsidR="00DB6FE3" w:rsidRPr="00FE624E">
        <w:rPr>
          <w:lang w:val="fr-FR"/>
        </w:rPr>
        <w:t>e</w:t>
      </w:r>
      <w:r w:rsidRPr="00FE624E">
        <w:rPr>
          <w:lang w:val="fr-FR"/>
        </w:rPr>
        <w:t>s</w:t>
      </w:r>
      <w:r w:rsidR="00DB6FE3" w:rsidRPr="00FE624E">
        <w:rPr>
          <w:lang w:val="fr-FR"/>
        </w:rPr>
        <w:t xml:space="preserve"> dans les</w:t>
      </w:r>
      <w:r w:rsidRPr="00FE624E">
        <w:rPr>
          <w:lang w:val="fr-FR"/>
        </w:rPr>
        <w:t xml:space="preserve"> opérations de transferts monétaires </w:t>
      </w:r>
      <w:r w:rsidR="00047D97" w:rsidRPr="00FE624E">
        <w:rPr>
          <w:lang w:val="fr-FR"/>
        </w:rPr>
        <w:t>requérant la participation de</w:t>
      </w:r>
      <w:r w:rsidRPr="00FE624E">
        <w:rPr>
          <w:lang w:val="fr-FR"/>
        </w:rPr>
        <w:t xml:space="preserve"> prestataires de services financiers. Plusieurs niveaux de contrôle doivent être mis en place en ce qui concerne la collecte, l’utilisation, la communication et le stockage des données personnelles des bénéficiaires afin de garantir le respect de leur vie privée et de prévenir tou</w:t>
      </w:r>
      <w:r w:rsidR="00494E98" w:rsidRPr="00FE624E">
        <w:rPr>
          <w:lang w:val="fr-FR"/>
        </w:rPr>
        <w:t>t risque de fraude ou d’abus. La</w:t>
      </w:r>
      <w:r w:rsidRPr="00FE624E">
        <w:rPr>
          <w:lang w:val="fr-FR"/>
        </w:rPr>
        <w:t xml:space="preserve"> </w:t>
      </w:r>
      <w:r w:rsidR="00494E98" w:rsidRPr="00FE624E">
        <w:rPr>
          <w:lang w:val="fr-FR"/>
        </w:rPr>
        <w:t>sélection</w:t>
      </w:r>
      <w:r w:rsidRPr="00FE624E">
        <w:rPr>
          <w:lang w:val="fr-FR"/>
        </w:rPr>
        <w:t xml:space="preserve"> des </w:t>
      </w:r>
      <w:r w:rsidR="00047D97" w:rsidRPr="00FE624E">
        <w:rPr>
          <w:lang w:val="fr-FR"/>
        </w:rPr>
        <w:t>mécanisme</w:t>
      </w:r>
      <w:r w:rsidR="00F878E0" w:rsidRPr="00FE624E">
        <w:rPr>
          <w:lang w:val="fr-FR"/>
        </w:rPr>
        <w:t>s</w:t>
      </w:r>
      <w:r w:rsidR="00047D97" w:rsidRPr="00FE624E">
        <w:rPr>
          <w:lang w:val="fr-FR"/>
        </w:rPr>
        <w:t xml:space="preserve"> de gestion et de protection d</w:t>
      </w:r>
      <w:r w:rsidRPr="00FE624E">
        <w:rPr>
          <w:lang w:val="fr-FR"/>
        </w:rPr>
        <w:t xml:space="preserve">es données dépendra </w:t>
      </w:r>
      <w:r w:rsidR="00374D9A" w:rsidRPr="00FE624E">
        <w:rPr>
          <w:lang w:val="fr-FR"/>
        </w:rPr>
        <w:t>de</w:t>
      </w:r>
      <w:r w:rsidRPr="00FE624E">
        <w:rPr>
          <w:lang w:val="fr-FR"/>
        </w:rPr>
        <w:t xml:space="preserve"> facteurs </w:t>
      </w:r>
      <w:r w:rsidR="00374D9A" w:rsidRPr="00FE624E">
        <w:rPr>
          <w:lang w:val="fr-FR"/>
        </w:rPr>
        <w:t>tels que</w:t>
      </w:r>
      <w:r w:rsidRPr="00FE624E">
        <w:rPr>
          <w:lang w:val="fr-FR"/>
        </w:rPr>
        <w:t> :</w:t>
      </w:r>
    </w:p>
    <w:p w:rsidR="001F4CA6" w:rsidRPr="00FE624E" w:rsidRDefault="00DB2F6B" w:rsidP="00F878E0">
      <w:pPr>
        <w:pStyle w:val="Bullet2"/>
        <w:spacing w:after="110"/>
        <w:rPr>
          <w:lang w:val="fr-FR"/>
        </w:rPr>
      </w:pPr>
      <w:r w:rsidRPr="00FE624E">
        <w:rPr>
          <w:lang w:val="fr-FR"/>
        </w:rPr>
        <w:t>la législation locale ;</w:t>
      </w:r>
    </w:p>
    <w:p w:rsidR="001F4CA6" w:rsidRPr="00FE624E" w:rsidRDefault="00DB2F6B" w:rsidP="00F878E0">
      <w:pPr>
        <w:pStyle w:val="Bullet2"/>
        <w:spacing w:after="110"/>
        <w:rPr>
          <w:lang w:val="fr-FR"/>
        </w:rPr>
      </w:pPr>
      <w:r w:rsidRPr="00FE624E">
        <w:rPr>
          <w:lang w:val="fr-FR"/>
        </w:rPr>
        <w:t>l</w:t>
      </w:r>
      <w:r w:rsidR="00F878E0" w:rsidRPr="00FE624E">
        <w:rPr>
          <w:lang w:val="fr-FR"/>
        </w:rPr>
        <w:t>a portée</w:t>
      </w:r>
      <w:r w:rsidRPr="00FE624E">
        <w:rPr>
          <w:lang w:val="fr-FR"/>
        </w:rPr>
        <w:t xml:space="preserve"> du programme ;</w:t>
      </w:r>
    </w:p>
    <w:p w:rsidR="00DB2F6B" w:rsidRPr="00FE624E" w:rsidRDefault="00DB2F6B" w:rsidP="00F878E0">
      <w:pPr>
        <w:pStyle w:val="Bullet2"/>
        <w:spacing w:after="110"/>
        <w:rPr>
          <w:lang w:val="fr-FR"/>
        </w:rPr>
      </w:pPr>
      <w:r w:rsidRPr="00FE624E">
        <w:rPr>
          <w:lang w:val="fr-FR"/>
        </w:rPr>
        <w:t>les connaissances techniques et les ressources disponibles ;</w:t>
      </w:r>
      <w:r w:rsidR="00F878E0" w:rsidRPr="00FE624E">
        <w:rPr>
          <w:lang w:val="fr-FR"/>
        </w:rPr>
        <w:t xml:space="preserve"> et</w:t>
      </w:r>
    </w:p>
    <w:p w:rsidR="001F4CA6" w:rsidRPr="00FE624E" w:rsidRDefault="00DB2F6B" w:rsidP="00F878E0">
      <w:pPr>
        <w:pStyle w:val="Bullet2"/>
        <w:spacing w:after="110"/>
        <w:rPr>
          <w:lang w:val="fr-FR"/>
        </w:rPr>
      </w:pPr>
      <w:r w:rsidRPr="00FE624E">
        <w:rPr>
          <w:lang w:val="fr-FR"/>
        </w:rPr>
        <w:t>les exigenc</w:t>
      </w:r>
      <w:r w:rsidR="005A3F3A" w:rsidRPr="00FE624E">
        <w:rPr>
          <w:lang w:val="fr-FR"/>
        </w:rPr>
        <w:t>es du prestataire de services.</w:t>
      </w:r>
    </w:p>
    <w:p w:rsidR="00E736B3" w:rsidRPr="00FE624E" w:rsidRDefault="00DB2F6B" w:rsidP="007941D7">
      <w:pPr>
        <w:spacing w:after="110"/>
        <w:rPr>
          <w:lang w:val="fr-FR"/>
        </w:rPr>
      </w:pPr>
      <w:r w:rsidRPr="00FE624E">
        <w:rPr>
          <w:lang w:val="fr-FR"/>
        </w:rPr>
        <w:t xml:space="preserve">Les outils de cette étape subsidiaire </w:t>
      </w:r>
      <w:r w:rsidR="007941D7">
        <w:rPr>
          <w:lang w:val="fr-FR"/>
        </w:rPr>
        <w:t>comprennent</w:t>
      </w:r>
      <w:r w:rsidRPr="00FE624E">
        <w:rPr>
          <w:lang w:val="fr-FR"/>
        </w:rPr>
        <w:t xml:space="preserve"> un ensemble de principes </w:t>
      </w:r>
      <w:r w:rsidR="00F878E0" w:rsidRPr="00FE624E">
        <w:rPr>
          <w:lang w:val="fr-FR"/>
        </w:rPr>
        <w:t>portant sur</w:t>
      </w:r>
      <w:r w:rsidRPr="00FE624E">
        <w:rPr>
          <w:lang w:val="fr-FR"/>
        </w:rPr>
        <w:t xml:space="preserve"> la protection des données </w:t>
      </w:r>
      <w:r w:rsidR="00F878E0" w:rsidRPr="00FE624E">
        <w:rPr>
          <w:lang w:val="fr-FR"/>
        </w:rPr>
        <w:t>personnelles des</w:t>
      </w:r>
      <w:r w:rsidRPr="00FE624E">
        <w:rPr>
          <w:lang w:val="fr-FR"/>
        </w:rPr>
        <w:t xml:space="preserve"> bénéficiaires</w:t>
      </w:r>
      <w:r w:rsidR="00F878E0" w:rsidRPr="00FE624E">
        <w:rPr>
          <w:lang w:val="fr-FR"/>
        </w:rPr>
        <w:t>,</w:t>
      </w:r>
      <w:r w:rsidRPr="00FE624E">
        <w:rPr>
          <w:lang w:val="fr-FR"/>
        </w:rPr>
        <w:t xml:space="preserve"> ainsi que des modèles de clauses relatives à la protection des données.</w:t>
      </w:r>
      <w:r w:rsidR="00051903" w:rsidRPr="00FE624E">
        <w:rPr>
          <w:lang w:val="fr-FR"/>
        </w:rPr>
        <w:t xml:space="preserve"> </w:t>
      </w:r>
    </w:p>
    <w:tbl>
      <w:tblPr>
        <w:tblStyle w:val="TableGray"/>
        <w:tblW w:w="0" w:type="auto"/>
        <w:tblLook w:val="04A0" w:firstRow="1" w:lastRow="0" w:firstColumn="1" w:lastColumn="0" w:noHBand="0" w:noVBand="1"/>
      </w:tblPr>
      <w:tblGrid>
        <w:gridCol w:w="9848"/>
      </w:tblGrid>
      <w:tr w:rsidR="00325B99" w:rsidRPr="00FE624E" w:rsidTr="00325B99">
        <w:tc>
          <w:tcPr>
            <w:tcW w:w="9848" w:type="dxa"/>
          </w:tcPr>
          <w:p w:rsidR="00325B99" w:rsidRPr="00FE624E" w:rsidRDefault="00325B99" w:rsidP="00F878E0">
            <w:pPr>
              <w:pStyle w:val="RefTitre"/>
              <w:spacing w:after="110"/>
              <w:rPr>
                <w:lang w:val="fr-FR"/>
              </w:rPr>
            </w:pPr>
            <w:r w:rsidRPr="00FE624E">
              <w:rPr>
                <w:lang w:val="fr-FR"/>
              </w:rPr>
              <w:t>DOCUMENTS</w:t>
            </w:r>
            <w:r w:rsidR="00815263" w:rsidRPr="00FE624E">
              <w:rPr>
                <w:lang w:val="fr-FR"/>
              </w:rPr>
              <w:t xml:space="preserve"> DE RÉFÉRENCE</w:t>
            </w:r>
          </w:p>
          <w:p w:rsidR="00325B99" w:rsidRPr="00FE624E" w:rsidRDefault="00017182" w:rsidP="00F878E0">
            <w:pPr>
              <w:pStyle w:val="RefItem1"/>
              <w:spacing w:after="110"/>
              <w:rPr>
                <w:lang w:val="fr-FR"/>
              </w:rPr>
            </w:pPr>
            <w:r w:rsidRPr="00FE624E">
              <w:rPr>
                <w:lang w:val="fr-FR"/>
              </w:rPr>
              <w:t xml:space="preserve">USAID et NetHope, </w:t>
            </w:r>
            <w:r w:rsidR="00F878E0" w:rsidRPr="00FE624E">
              <w:rPr>
                <w:lang w:val="fr-FR"/>
              </w:rPr>
              <w:t>La transition entre paiements en espèces et paiement</w:t>
            </w:r>
            <w:r w:rsidR="007941D7">
              <w:rPr>
                <w:lang w:val="fr-FR"/>
              </w:rPr>
              <w:t xml:space="preserve">s électroniques – </w:t>
            </w:r>
            <w:r w:rsidR="00F878E0" w:rsidRPr="00FE624E">
              <w:rPr>
                <w:lang w:val="fr-FR"/>
              </w:rPr>
              <w:t>Guide</w:t>
            </w:r>
            <w:r w:rsidR="007941D7">
              <w:rPr>
                <w:lang w:val="fr-FR"/>
              </w:rPr>
              <w:t> :</w:t>
            </w:r>
            <w:r w:rsidRPr="00FE624E">
              <w:rPr>
                <w:lang w:val="fr-FR"/>
              </w:rPr>
              <w:t xml:space="preserve"> </w:t>
            </w:r>
            <w:hyperlink r:id="rId8" w:history="1">
              <w:r w:rsidR="00F878E0" w:rsidRPr="00FE624E">
                <w:rPr>
                  <w:rStyle w:val="Hyperlink"/>
                  <w:lang w:val="fr-FR"/>
                </w:rPr>
                <w:t>http://solutionscenter.nethope.org/assets/collaterals/USAID_NetHope_ePayments_Toolkit_FRENCH.pdf</w:t>
              </w:r>
            </w:hyperlink>
            <w:r w:rsidR="00F878E0" w:rsidRPr="00FE624E">
              <w:rPr>
                <w:lang w:val="fr-FR"/>
              </w:rPr>
              <w:t xml:space="preserve"> </w:t>
            </w:r>
          </w:p>
          <w:p w:rsidR="00325B99" w:rsidRPr="00CA7D7A" w:rsidRDefault="00325B99" w:rsidP="00F878E0">
            <w:pPr>
              <w:pStyle w:val="RefItem1"/>
              <w:spacing w:after="110"/>
              <w:rPr>
                <w:color w:val="0000FF"/>
                <w:u w:val="single"/>
                <w:lang w:val="en-GB"/>
              </w:rPr>
            </w:pPr>
            <w:r w:rsidRPr="00CA7D7A">
              <w:rPr>
                <w:i/>
                <w:iCs/>
                <w:lang w:val="en-GB"/>
              </w:rPr>
              <w:t>Working With Banks: A field guide to negotiating with banks in cash transfer programming</w:t>
            </w:r>
            <w:r w:rsidR="00017182" w:rsidRPr="00CA7D7A">
              <w:rPr>
                <w:lang w:val="en-GB"/>
              </w:rPr>
              <w:t xml:space="preserve">, </w:t>
            </w:r>
            <w:proofErr w:type="spellStart"/>
            <w:r w:rsidRPr="00CA7D7A">
              <w:rPr>
                <w:lang w:val="en-GB"/>
              </w:rPr>
              <w:t>CaLP</w:t>
            </w:r>
            <w:proofErr w:type="spellEnd"/>
            <w:r w:rsidR="00017182" w:rsidRPr="00CA7D7A">
              <w:rPr>
                <w:lang w:val="en-GB"/>
              </w:rPr>
              <w:t>, 2011 (</w:t>
            </w:r>
            <w:proofErr w:type="spellStart"/>
            <w:r w:rsidR="00017182" w:rsidRPr="00CA7D7A">
              <w:rPr>
                <w:lang w:val="en-GB"/>
              </w:rPr>
              <w:t>en</w:t>
            </w:r>
            <w:proofErr w:type="spellEnd"/>
            <w:r w:rsidR="00017182" w:rsidRPr="00CA7D7A">
              <w:rPr>
                <w:lang w:val="en-GB"/>
              </w:rPr>
              <w:t xml:space="preserve"> </w:t>
            </w:r>
            <w:proofErr w:type="spellStart"/>
            <w:r w:rsidR="00017182" w:rsidRPr="00CA7D7A">
              <w:rPr>
                <w:lang w:val="en-GB"/>
              </w:rPr>
              <w:t>anglais</w:t>
            </w:r>
            <w:proofErr w:type="spellEnd"/>
            <w:r w:rsidR="00017182" w:rsidRPr="00CA7D7A">
              <w:rPr>
                <w:lang w:val="en-GB"/>
              </w:rPr>
              <w:t>) :</w:t>
            </w:r>
            <w:r w:rsidRPr="00CA7D7A">
              <w:rPr>
                <w:lang w:val="en-GB"/>
              </w:rPr>
              <w:t xml:space="preserve"> </w:t>
            </w:r>
            <w:hyperlink r:id="rId9" w:history="1">
              <w:r w:rsidR="00017182" w:rsidRPr="00CA7D7A">
                <w:rPr>
                  <w:rStyle w:val="Hyperlink"/>
                  <w:lang w:val="en-GB"/>
                </w:rPr>
                <w:t>http://www.cashlearning.org/resources/library/34-working-with-banks-a-field-guide-to-negotiating-with-banks-in-cash-transfer-programming-screen-version</w:t>
              </w:r>
            </w:hyperlink>
            <w:r w:rsidR="00017182" w:rsidRPr="00CA7D7A">
              <w:rPr>
                <w:lang w:val="en-GB"/>
              </w:rPr>
              <w:t xml:space="preserve"> </w:t>
            </w:r>
          </w:p>
          <w:p w:rsidR="00325B99" w:rsidRPr="00CA7D7A" w:rsidRDefault="00017182" w:rsidP="00F878E0">
            <w:pPr>
              <w:pStyle w:val="RefItem1"/>
              <w:spacing w:after="110"/>
              <w:rPr>
                <w:rFonts w:eastAsiaTheme="minorHAnsi"/>
                <w:lang w:val="en-GB"/>
              </w:rPr>
            </w:pPr>
            <w:r w:rsidRPr="00CA7D7A">
              <w:rPr>
                <w:i/>
                <w:iCs/>
                <w:lang w:val="en-GB"/>
              </w:rPr>
              <w:t>E-</w:t>
            </w:r>
            <w:proofErr w:type="spellStart"/>
            <w:r w:rsidRPr="00CA7D7A">
              <w:rPr>
                <w:i/>
                <w:iCs/>
                <w:lang w:val="en-GB"/>
              </w:rPr>
              <w:t>transferts</w:t>
            </w:r>
            <w:proofErr w:type="spellEnd"/>
            <w:r w:rsidR="00325B99" w:rsidRPr="00CA7D7A">
              <w:rPr>
                <w:i/>
                <w:iCs/>
                <w:lang w:val="en-GB"/>
              </w:rPr>
              <w:t xml:space="preserve"> in emergencies: impleme</w:t>
            </w:r>
            <w:r w:rsidR="00F878E0" w:rsidRPr="00CA7D7A">
              <w:rPr>
                <w:i/>
                <w:iCs/>
                <w:lang w:val="en-GB"/>
              </w:rPr>
              <w:t>ntation support guidelines</w:t>
            </w:r>
            <w:r w:rsidRPr="00CA7D7A">
              <w:rPr>
                <w:lang w:val="en-GB"/>
              </w:rPr>
              <w:t>,</w:t>
            </w:r>
            <w:r w:rsidR="00325B99" w:rsidRPr="00CA7D7A">
              <w:rPr>
                <w:lang w:val="en-GB"/>
              </w:rPr>
              <w:t xml:space="preserve"> </w:t>
            </w:r>
            <w:proofErr w:type="spellStart"/>
            <w:r w:rsidR="00325B99" w:rsidRPr="00CA7D7A">
              <w:rPr>
                <w:lang w:val="en-GB"/>
              </w:rPr>
              <w:t>CaLP</w:t>
            </w:r>
            <w:proofErr w:type="spellEnd"/>
            <w:r w:rsidRPr="00CA7D7A">
              <w:rPr>
                <w:lang w:val="en-GB"/>
              </w:rPr>
              <w:t>, 2013 (</w:t>
            </w:r>
            <w:proofErr w:type="spellStart"/>
            <w:r w:rsidRPr="00CA7D7A">
              <w:rPr>
                <w:lang w:val="en-GB"/>
              </w:rPr>
              <w:t>en</w:t>
            </w:r>
            <w:proofErr w:type="spellEnd"/>
            <w:r w:rsidRPr="00CA7D7A">
              <w:rPr>
                <w:lang w:val="en-GB"/>
              </w:rPr>
              <w:t xml:space="preserve"> </w:t>
            </w:r>
            <w:proofErr w:type="spellStart"/>
            <w:r w:rsidRPr="00CA7D7A">
              <w:rPr>
                <w:lang w:val="en-GB"/>
              </w:rPr>
              <w:t>anglais</w:t>
            </w:r>
            <w:proofErr w:type="spellEnd"/>
            <w:r w:rsidRPr="00CA7D7A">
              <w:rPr>
                <w:lang w:val="en-GB"/>
              </w:rPr>
              <w:t>) :</w:t>
            </w:r>
            <w:r w:rsidR="00325B99" w:rsidRPr="00CA7D7A">
              <w:rPr>
                <w:lang w:val="en-GB"/>
              </w:rPr>
              <w:t xml:space="preserve"> </w:t>
            </w:r>
            <w:hyperlink r:id="rId10" w:history="1">
              <w:r w:rsidRPr="00CA7D7A">
                <w:rPr>
                  <w:rStyle w:val="Hyperlink"/>
                  <w:rFonts w:eastAsia="Times New Roman"/>
                  <w:szCs w:val="20"/>
                  <w:lang w:val="en-GB"/>
                </w:rPr>
                <w:t>http://www.cashlearning.org/resources/library/390-e-transfers-in-emergencies-implementation-support-guideline</w:t>
              </w:r>
            </w:hyperlink>
          </w:p>
        </w:tc>
      </w:tr>
    </w:tbl>
    <w:p w:rsidR="00D347D3" w:rsidRPr="00CA7D7A" w:rsidRDefault="00D347D3" w:rsidP="00F878E0">
      <w:pPr>
        <w:widowControl w:val="0"/>
        <w:autoSpaceDE w:val="0"/>
        <w:autoSpaceDN w:val="0"/>
        <w:adjustRightInd w:val="0"/>
        <w:spacing w:after="110"/>
        <w:rPr>
          <w:rFonts w:eastAsia="Times New Roman"/>
          <w:sz w:val="22"/>
          <w:szCs w:val="22"/>
          <w:lang w:val="en-GB"/>
        </w:rPr>
      </w:pPr>
    </w:p>
    <w:sectPr w:rsidR="00D347D3" w:rsidRPr="00CA7D7A" w:rsidSect="00020CAB">
      <w:headerReference w:type="default" r:id="rId11"/>
      <w:footerReference w:type="default" r:id="rId12"/>
      <w:pgSz w:w="11900" w:h="16840"/>
      <w:pgMar w:top="1134" w:right="1134" w:bottom="1134" w:left="1134" w:header="708" w:footer="708"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A306B4" w15:done="0"/>
  <w15:commentEx w15:paraId="2AD01568" w15:done="0"/>
  <w15:commentEx w15:paraId="555BD321" w15:done="0"/>
  <w15:commentEx w15:paraId="33E86B39" w15:done="0"/>
  <w15:commentEx w15:paraId="4372475F" w15:done="0"/>
  <w15:commentEx w15:paraId="0521254C" w15:done="0"/>
  <w15:commentEx w15:paraId="343FA5AC" w15:done="0"/>
  <w15:commentEx w15:paraId="2C9AD1E0" w15:done="0"/>
  <w15:commentEx w15:paraId="35A9F14F" w15:done="0"/>
  <w15:commentEx w15:paraId="5A7CD1AD" w15:done="0"/>
  <w15:commentEx w15:paraId="34D8759C" w15:done="0"/>
  <w15:commentEx w15:paraId="14447D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64" w:rsidRDefault="008A6A64" w:rsidP="00E736B3">
      <w:r>
        <w:separator/>
      </w:r>
    </w:p>
  </w:endnote>
  <w:endnote w:type="continuationSeparator" w:id="0">
    <w:p w:rsidR="008A6A64" w:rsidRDefault="008A6A64" w:rsidP="00E7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AB" w:rsidRPr="00B45C74" w:rsidRDefault="009D1EAD"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020CAB"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16079">
      <w:rPr>
        <w:b/>
        <w:noProof/>
        <w:color w:val="808080" w:themeColor="background1" w:themeShade="80"/>
        <w:sz w:val="18"/>
        <w:szCs w:val="18"/>
      </w:rPr>
      <w:t>1</w:t>
    </w:r>
    <w:r w:rsidRPr="00B45C74">
      <w:rPr>
        <w:b/>
        <w:color w:val="808080" w:themeColor="background1" w:themeShade="80"/>
        <w:sz w:val="18"/>
        <w:szCs w:val="18"/>
      </w:rPr>
      <w:fldChar w:fldCharType="end"/>
    </w:r>
  </w:p>
  <w:p w:rsidR="00020CAB" w:rsidRPr="00815263" w:rsidRDefault="00020CAB" w:rsidP="00645F64">
    <w:pPr>
      <w:pStyle w:val="Footer"/>
      <w:rPr>
        <w:lang w:val="fr-FR"/>
      </w:rPr>
    </w:pPr>
    <w:r w:rsidRPr="00815263">
      <w:rPr>
        <w:b/>
        <w:lang w:val="fr-FR"/>
      </w:rPr>
      <w:t>Module 1.</w:t>
    </w:r>
    <w:r w:rsidR="00815263">
      <w:rPr>
        <w:lang w:val="fr-FR"/>
      </w:rPr>
      <w:t xml:space="preserve"> Étape </w:t>
    </w:r>
    <w:r w:rsidRPr="00815263">
      <w:rPr>
        <w:lang w:val="fr-FR"/>
      </w:rPr>
      <w:t xml:space="preserve">2. </w:t>
    </w:r>
    <w:r w:rsidR="00815263">
      <w:rPr>
        <w:lang w:val="fr-FR"/>
      </w:rPr>
      <w:t>Étape subsidiaire 7. Feuille de route pour la</w:t>
    </w:r>
    <w:r w:rsidR="00645F64">
      <w:rPr>
        <w:lang w:val="fr-FR"/>
      </w:rPr>
      <w:t xml:space="preserve"> sélection et le recrutement des prestataires de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64" w:rsidRDefault="008A6A64" w:rsidP="00E736B3">
      <w:r>
        <w:separator/>
      </w:r>
    </w:p>
  </w:footnote>
  <w:footnote w:type="continuationSeparator" w:id="0">
    <w:p w:rsidR="008A6A64" w:rsidRDefault="008A6A64" w:rsidP="00E73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AB" w:rsidRPr="00815263" w:rsidRDefault="00815263" w:rsidP="00645F64">
    <w:pPr>
      <w:pStyle w:val="Header"/>
      <w:rPr>
        <w:sz w:val="14"/>
        <w:szCs w:val="14"/>
        <w:lang w:val="fr-FR"/>
      </w:rPr>
    </w:pPr>
    <w:r w:rsidRPr="00815263">
      <w:rPr>
        <w:rStyle w:val="Pantone485"/>
        <w:sz w:val="14"/>
        <w:szCs w:val="14"/>
        <w:lang w:val="fr-FR"/>
      </w:rPr>
      <w:t>Mouvement international de la Croix-Rouge et du Croissant-Rouge</w:t>
    </w:r>
    <w:r w:rsidR="00020CAB" w:rsidRPr="00815263">
      <w:rPr>
        <w:rFonts w:cs="Caecilia-Light"/>
        <w:color w:val="FF0000"/>
        <w:sz w:val="14"/>
        <w:szCs w:val="14"/>
        <w:lang w:val="fr-FR"/>
      </w:rPr>
      <w:t xml:space="preserve"> </w:t>
    </w:r>
    <w:r w:rsidR="00020CAB" w:rsidRPr="00815263">
      <w:rPr>
        <w:rStyle w:val="PageNumber"/>
        <w:bCs/>
        <w:sz w:val="14"/>
        <w:szCs w:val="14"/>
        <w:lang w:val="fr-FR"/>
      </w:rPr>
      <w:t>I</w:t>
    </w:r>
    <w:r w:rsidR="00020CAB" w:rsidRPr="00815263">
      <w:rPr>
        <w:rStyle w:val="PageNumber"/>
        <w:color w:val="FF0000"/>
        <w:sz w:val="14"/>
        <w:szCs w:val="14"/>
        <w:lang w:val="fr-FR"/>
      </w:rPr>
      <w:t xml:space="preserve"> </w:t>
    </w:r>
    <w:r>
      <w:rPr>
        <w:b/>
        <w:sz w:val="14"/>
        <w:szCs w:val="14"/>
        <w:lang w:val="fr-FR"/>
      </w:rPr>
      <w:t xml:space="preserve">Boîte à outils pour </w:t>
    </w:r>
    <w:r w:rsidR="00645F64">
      <w:rPr>
        <w:b/>
        <w:sz w:val="14"/>
        <w:szCs w:val="14"/>
        <w:lang w:val="fr-FR"/>
      </w:rPr>
      <w:t>les transferts monétaires</w:t>
    </w:r>
    <w:r>
      <w:rPr>
        <w:b/>
        <w:sz w:val="14"/>
        <w:szCs w:val="14"/>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879AE"/>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ED5A3BCE"/>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396E2F"/>
    <w:multiLevelType w:val="hybridMultilevel"/>
    <w:tmpl w:val="73062032"/>
    <w:lvl w:ilvl="0" w:tplc="10090001">
      <w:start w:val="1"/>
      <w:numFmt w:val="bullet"/>
      <w:lvlText w:val=""/>
      <w:lvlJc w:val="left"/>
      <w:pPr>
        <w:ind w:left="720" w:hanging="360"/>
      </w:pPr>
      <w:rPr>
        <w:rFonts w:ascii="Symbol" w:hAnsi="Symbol" w:hint="default"/>
      </w:rPr>
    </w:lvl>
    <w:lvl w:ilvl="1" w:tplc="6BB8FE38">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635C7E23"/>
    <w:multiLevelType w:val="hybridMultilevel"/>
    <w:tmpl w:val="92706D8A"/>
    <w:lvl w:ilvl="0" w:tplc="CAD4AE2E">
      <w:start w:val="1"/>
      <w:numFmt w:val="bullet"/>
      <w:pStyle w:val="ListParagraph"/>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11"/>
  </w:num>
  <w:num w:numId="4">
    <w:abstractNumId w:val="25"/>
  </w:num>
  <w:num w:numId="5">
    <w:abstractNumId w:val="33"/>
  </w:num>
  <w:num w:numId="6">
    <w:abstractNumId w:val="15"/>
  </w:num>
  <w:num w:numId="7">
    <w:abstractNumId w:val="27"/>
  </w:num>
  <w:num w:numId="8">
    <w:abstractNumId w:val="42"/>
  </w:num>
  <w:num w:numId="9">
    <w:abstractNumId w:val="26"/>
  </w:num>
  <w:num w:numId="10">
    <w:abstractNumId w:val="31"/>
  </w:num>
  <w:num w:numId="11">
    <w:abstractNumId w:val="21"/>
  </w:num>
  <w:num w:numId="12">
    <w:abstractNumId w:val="44"/>
  </w:num>
  <w:num w:numId="13">
    <w:abstractNumId w:val="34"/>
  </w:num>
  <w:num w:numId="14">
    <w:abstractNumId w:val="35"/>
  </w:num>
  <w:num w:numId="15">
    <w:abstractNumId w:val="39"/>
  </w:num>
  <w:num w:numId="16">
    <w:abstractNumId w:val="41"/>
  </w:num>
  <w:num w:numId="17">
    <w:abstractNumId w:val="40"/>
  </w:num>
  <w:num w:numId="18">
    <w:abstractNumId w:val="14"/>
  </w:num>
  <w:num w:numId="19">
    <w:abstractNumId w:val="13"/>
  </w:num>
  <w:num w:numId="20">
    <w:abstractNumId w:val="43"/>
  </w:num>
  <w:num w:numId="21">
    <w:abstractNumId w:val="30"/>
  </w:num>
  <w:num w:numId="22">
    <w:abstractNumId w:val="22"/>
  </w:num>
  <w:num w:numId="23">
    <w:abstractNumId w:val="16"/>
  </w:num>
  <w:num w:numId="24">
    <w:abstractNumId w:val="23"/>
  </w:num>
  <w:num w:numId="25">
    <w:abstractNumId w:val="28"/>
  </w:num>
  <w:num w:numId="26">
    <w:abstractNumId w:val="20"/>
  </w:num>
  <w:num w:numId="27">
    <w:abstractNumId w:val="18"/>
  </w:num>
  <w:num w:numId="28">
    <w:abstractNumId w:val="24"/>
  </w:num>
  <w:num w:numId="29">
    <w:abstractNumId w:val="45"/>
  </w:num>
  <w:num w:numId="30">
    <w:abstractNumId w:val="10"/>
  </w:num>
  <w:num w:numId="31">
    <w:abstractNumId w:val="29"/>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7"/>
  </w:num>
  <w:num w:numId="44">
    <w:abstractNumId w:val="32"/>
  </w:num>
  <w:num w:numId="45">
    <w:abstractNumId w:val="38"/>
  </w:num>
  <w:num w:numId="46">
    <w:abstractNumId w:val="3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linkStyles/>
  <w:stylePaneSortMethod w:val="0000"/>
  <w:defaultTabStop w:val="709"/>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1A2F29"/>
    <w:rsid w:val="000079AA"/>
    <w:rsid w:val="00017182"/>
    <w:rsid w:val="00020CAB"/>
    <w:rsid w:val="00024439"/>
    <w:rsid w:val="00047291"/>
    <w:rsid w:val="00047D97"/>
    <w:rsid w:val="00051903"/>
    <w:rsid w:val="0005703E"/>
    <w:rsid w:val="000901B9"/>
    <w:rsid w:val="00095473"/>
    <w:rsid w:val="000B7A12"/>
    <w:rsid w:val="000E431F"/>
    <w:rsid w:val="000F5637"/>
    <w:rsid w:val="0011479A"/>
    <w:rsid w:val="00126829"/>
    <w:rsid w:val="0013032C"/>
    <w:rsid w:val="00151B42"/>
    <w:rsid w:val="00182FF0"/>
    <w:rsid w:val="0019682C"/>
    <w:rsid w:val="001A17AD"/>
    <w:rsid w:val="001A2F29"/>
    <w:rsid w:val="001D1471"/>
    <w:rsid w:val="001D3CF0"/>
    <w:rsid w:val="001E0375"/>
    <w:rsid w:val="001F4CA6"/>
    <w:rsid w:val="0020565B"/>
    <w:rsid w:val="0022355D"/>
    <w:rsid w:val="00247216"/>
    <w:rsid w:val="00267637"/>
    <w:rsid w:val="00277782"/>
    <w:rsid w:val="00277A49"/>
    <w:rsid w:val="002B6A50"/>
    <w:rsid w:val="002B6A85"/>
    <w:rsid w:val="002C3ADE"/>
    <w:rsid w:val="002E49E4"/>
    <w:rsid w:val="00301D23"/>
    <w:rsid w:val="00311C8C"/>
    <w:rsid w:val="00325B99"/>
    <w:rsid w:val="003612C3"/>
    <w:rsid w:val="00366EE3"/>
    <w:rsid w:val="00367161"/>
    <w:rsid w:val="00373AEC"/>
    <w:rsid w:val="00374D9A"/>
    <w:rsid w:val="00375A97"/>
    <w:rsid w:val="00376F2F"/>
    <w:rsid w:val="003B228D"/>
    <w:rsid w:val="00425015"/>
    <w:rsid w:val="0047252C"/>
    <w:rsid w:val="00494E98"/>
    <w:rsid w:val="004C0721"/>
    <w:rsid w:val="004C53A2"/>
    <w:rsid w:val="005528EF"/>
    <w:rsid w:val="005A3F3A"/>
    <w:rsid w:val="005B7E60"/>
    <w:rsid w:val="00640EEC"/>
    <w:rsid w:val="00645DD7"/>
    <w:rsid w:val="00645F64"/>
    <w:rsid w:val="006617D9"/>
    <w:rsid w:val="00694851"/>
    <w:rsid w:val="00743E2D"/>
    <w:rsid w:val="007941D7"/>
    <w:rsid w:val="00795572"/>
    <w:rsid w:val="008003CB"/>
    <w:rsid w:val="00805877"/>
    <w:rsid w:val="00805F81"/>
    <w:rsid w:val="0081351A"/>
    <w:rsid w:val="008140C6"/>
    <w:rsid w:val="00815263"/>
    <w:rsid w:val="00822DE4"/>
    <w:rsid w:val="00832F4D"/>
    <w:rsid w:val="0084006B"/>
    <w:rsid w:val="00870994"/>
    <w:rsid w:val="008849CD"/>
    <w:rsid w:val="008A6A64"/>
    <w:rsid w:val="008C7C7A"/>
    <w:rsid w:val="008D462A"/>
    <w:rsid w:val="008E0EE5"/>
    <w:rsid w:val="00905AFD"/>
    <w:rsid w:val="00917331"/>
    <w:rsid w:val="00923818"/>
    <w:rsid w:val="00930E59"/>
    <w:rsid w:val="00951D5B"/>
    <w:rsid w:val="009541D2"/>
    <w:rsid w:val="009746C2"/>
    <w:rsid w:val="009B3267"/>
    <w:rsid w:val="009D1EAD"/>
    <w:rsid w:val="009E3833"/>
    <w:rsid w:val="009F5A88"/>
    <w:rsid w:val="00A03560"/>
    <w:rsid w:val="00A109F2"/>
    <w:rsid w:val="00A22BB2"/>
    <w:rsid w:val="00A3228D"/>
    <w:rsid w:val="00A56237"/>
    <w:rsid w:val="00A6081D"/>
    <w:rsid w:val="00A87961"/>
    <w:rsid w:val="00AA0EE5"/>
    <w:rsid w:val="00AA1585"/>
    <w:rsid w:val="00AB3215"/>
    <w:rsid w:val="00AC13A8"/>
    <w:rsid w:val="00B35D2F"/>
    <w:rsid w:val="00B905BE"/>
    <w:rsid w:val="00BB7F94"/>
    <w:rsid w:val="00BD2BAA"/>
    <w:rsid w:val="00BE2FC8"/>
    <w:rsid w:val="00BE35A3"/>
    <w:rsid w:val="00BF3043"/>
    <w:rsid w:val="00BF40B7"/>
    <w:rsid w:val="00BF52D8"/>
    <w:rsid w:val="00C00E0E"/>
    <w:rsid w:val="00C1305C"/>
    <w:rsid w:val="00C63A53"/>
    <w:rsid w:val="00C65B90"/>
    <w:rsid w:val="00C82053"/>
    <w:rsid w:val="00CA1D4C"/>
    <w:rsid w:val="00CA7D7A"/>
    <w:rsid w:val="00CB2A65"/>
    <w:rsid w:val="00CC50D2"/>
    <w:rsid w:val="00CD4964"/>
    <w:rsid w:val="00CF1A44"/>
    <w:rsid w:val="00D3467E"/>
    <w:rsid w:val="00D347D3"/>
    <w:rsid w:val="00D51C35"/>
    <w:rsid w:val="00D548E9"/>
    <w:rsid w:val="00D87203"/>
    <w:rsid w:val="00DB2F6B"/>
    <w:rsid w:val="00DB6FE3"/>
    <w:rsid w:val="00E13538"/>
    <w:rsid w:val="00E1458D"/>
    <w:rsid w:val="00E16079"/>
    <w:rsid w:val="00E163B7"/>
    <w:rsid w:val="00E36ECF"/>
    <w:rsid w:val="00E43BD7"/>
    <w:rsid w:val="00E515FB"/>
    <w:rsid w:val="00E60A46"/>
    <w:rsid w:val="00E66610"/>
    <w:rsid w:val="00E736B3"/>
    <w:rsid w:val="00E91756"/>
    <w:rsid w:val="00EB6B84"/>
    <w:rsid w:val="00ED385F"/>
    <w:rsid w:val="00F0385E"/>
    <w:rsid w:val="00F046BE"/>
    <w:rsid w:val="00F101F3"/>
    <w:rsid w:val="00F12BA9"/>
    <w:rsid w:val="00F31177"/>
    <w:rsid w:val="00F568EA"/>
    <w:rsid w:val="00F60091"/>
    <w:rsid w:val="00F739FC"/>
    <w:rsid w:val="00F878E0"/>
    <w:rsid w:val="00FD33F4"/>
    <w:rsid w:val="00FE624E"/>
  </w:rsids>
  <m:mathPr>
    <m:mathFont m:val="Cambria Math"/>
    <m:brkBin m:val="before"/>
    <m:brkBinSub m:val="--"/>
    <m:smallFrac m:val="0"/>
    <m:dispDef m:val="0"/>
    <m:lMargin m:val="0"/>
    <m:rMargin m:val="0"/>
    <m:defJc m:val="centerGroup"/>
    <m:wrapRight/>
    <m:intLim m:val="subSup"/>
    <m:naryLim m:val="subSup"/>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lsdException w:name="heading 2" w:semiHidden="0" w:uiPriority="9" w:qFormat="1"/>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A17AD"/>
    <w:pPr>
      <w:spacing w:after="120"/>
      <w:jc w:val="both"/>
    </w:pPr>
    <w:rPr>
      <w:rFonts w:ascii="Arial" w:eastAsiaTheme="minorEastAsia" w:hAnsi="Arial" w:cs="Times New Roman"/>
      <w:sz w:val="20"/>
      <w:szCs w:val="20"/>
    </w:rPr>
  </w:style>
  <w:style w:type="paragraph" w:styleId="Heading1">
    <w:name w:val="heading 1"/>
    <w:basedOn w:val="Normal"/>
    <w:next w:val="Normal"/>
    <w:link w:val="Heading1Char"/>
    <w:uiPriority w:val="9"/>
    <w:rsid w:val="001A17AD"/>
    <w:pPr>
      <w:spacing w:before="360" w:after="240"/>
      <w:jc w:val="left"/>
      <w:outlineLvl w:val="0"/>
    </w:pPr>
    <w:rPr>
      <w:b/>
      <w:sz w:val="40"/>
      <w:szCs w:val="52"/>
    </w:rPr>
  </w:style>
  <w:style w:type="paragraph" w:styleId="Heading2">
    <w:name w:val="heading 2"/>
    <w:basedOn w:val="Normal"/>
    <w:next w:val="Normal"/>
    <w:link w:val="Heading2Char"/>
    <w:autoRedefine/>
    <w:uiPriority w:val="9"/>
    <w:unhideWhenUsed/>
    <w:qFormat/>
    <w:rsid w:val="001A17AD"/>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1A17AD"/>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3"/>
    <w:basedOn w:val="Normal"/>
    <w:link w:val="ListParagraphChar"/>
    <w:qFormat/>
    <w:rsid w:val="001A17AD"/>
    <w:pPr>
      <w:numPr>
        <w:numId w:val="45"/>
      </w:numPr>
      <w:spacing w:before="120"/>
      <w:ind w:right="425"/>
      <w:contextualSpacing/>
    </w:pPr>
    <w:rPr>
      <w:rFonts w:eastAsiaTheme="minorHAnsi" w:cs="Arial"/>
      <w:i/>
      <w:iCs/>
      <w:szCs w:val="22"/>
    </w:rPr>
  </w:style>
  <w:style w:type="table" w:styleId="TableGrid">
    <w:name w:val="Table Grid"/>
    <w:basedOn w:val="TableNormal"/>
    <w:uiPriority w:val="59"/>
    <w:rsid w:val="001A17AD"/>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A2619"/>
  </w:style>
  <w:style w:type="paragraph" w:styleId="FootnoteText">
    <w:name w:val="footnote text"/>
    <w:basedOn w:val="Normal"/>
    <w:link w:val="FootnoteTextChar"/>
    <w:uiPriority w:val="99"/>
    <w:unhideWhenUsed/>
    <w:rsid w:val="001A17AD"/>
    <w:pPr>
      <w:spacing w:after="0"/>
    </w:pPr>
    <w:rPr>
      <w:sz w:val="16"/>
      <w:szCs w:val="22"/>
    </w:rPr>
  </w:style>
  <w:style w:type="character" w:customStyle="1" w:styleId="FootnoteTextChar">
    <w:name w:val="Footnote Text Char"/>
    <w:basedOn w:val="DefaultParagraphFont"/>
    <w:link w:val="FootnoteText"/>
    <w:uiPriority w:val="99"/>
    <w:rsid w:val="001A17AD"/>
    <w:rPr>
      <w:rFonts w:ascii="Arial" w:eastAsiaTheme="minorEastAsia" w:hAnsi="Arial" w:cs="Times New Roman"/>
      <w:sz w:val="16"/>
      <w:szCs w:val="22"/>
    </w:rPr>
  </w:style>
  <w:style w:type="character" w:styleId="FootnoteReference">
    <w:name w:val="footnote reference"/>
    <w:basedOn w:val="DefaultParagraphFont"/>
    <w:uiPriority w:val="99"/>
    <w:unhideWhenUsed/>
    <w:rsid w:val="001A17AD"/>
    <w:rPr>
      <w:vertAlign w:val="superscript"/>
    </w:rPr>
  </w:style>
  <w:style w:type="character" w:styleId="CommentReference">
    <w:name w:val="annotation reference"/>
    <w:basedOn w:val="DefaultParagraphFont"/>
    <w:uiPriority w:val="99"/>
    <w:semiHidden/>
    <w:unhideWhenUsed/>
    <w:rsid w:val="001A17AD"/>
    <w:rPr>
      <w:sz w:val="18"/>
      <w:szCs w:val="18"/>
    </w:rPr>
  </w:style>
  <w:style w:type="paragraph" w:styleId="CommentText">
    <w:name w:val="annotation text"/>
    <w:basedOn w:val="Normal"/>
    <w:link w:val="CommentTextChar"/>
    <w:semiHidden/>
    <w:unhideWhenUsed/>
    <w:rsid w:val="009E3833"/>
  </w:style>
  <w:style w:type="character" w:customStyle="1" w:styleId="CommentTextChar">
    <w:name w:val="Comment Text Char"/>
    <w:basedOn w:val="DefaultParagraphFont"/>
    <w:link w:val="CommentText"/>
    <w:semiHidden/>
    <w:rsid w:val="009E3833"/>
    <w:rPr>
      <w:rFonts w:asciiTheme="majorHAnsi" w:eastAsiaTheme="minorEastAsia" w:hAnsiTheme="majorHAnsi" w:cs="ArialMT"/>
      <w:sz w:val="20"/>
      <w:szCs w:val="20"/>
      <w:lang w:val="en-GB"/>
    </w:rPr>
  </w:style>
  <w:style w:type="paragraph" w:styleId="CommentSubject">
    <w:name w:val="annotation subject"/>
    <w:basedOn w:val="Normal"/>
    <w:link w:val="CommentSubjectChar"/>
    <w:uiPriority w:val="99"/>
    <w:semiHidden/>
    <w:unhideWhenUsed/>
    <w:rsid w:val="001A17AD"/>
    <w:rPr>
      <w:b/>
      <w:bCs/>
    </w:rPr>
  </w:style>
  <w:style w:type="character" w:customStyle="1" w:styleId="CommentSubjectChar">
    <w:name w:val="Comment Subject Char"/>
    <w:basedOn w:val="DefaultParagraphFont"/>
    <w:link w:val="CommentSubject"/>
    <w:uiPriority w:val="99"/>
    <w:semiHidden/>
    <w:rsid w:val="001A17AD"/>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1A17A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AD"/>
    <w:rPr>
      <w:rFonts w:ascii="Lucida Grande" w:eastAsiaTheme="minorEastAsia" w:hAnsi="Lucida Grande" w:cs="Lucida Grande"/>
      <w:sz w:val="18"/>
      <w:szCs w:val="18"/>
    </w:rPr>
  </w:style>
  <w:style w:type="paragraph" w:styleId="Revision">
    <w:name w:val="Revision"/>
    <w:hidden/>
    <w:uiPriority w:val="99"/>
    <w:semiHidden/>
    <w:rsid w:val="001A17AD"/>
    <w:rPr>
      <w:rFonts w:ascii="Arial" w:eastAsiaTheme="minorEastAsia" w:hAnsi="Arial" w:cs="Arial"/>
      <w:sz w:val="21"/>
      <w:szCs w:val="21"/>
    </w:rPr>
  </w:style>
  <w:style w:type="paragraph" w:styleId="Header">
    <w:name w:val="header"/>
    <w:basedOn w:val="Normal"/>
    <w:link w:val="HeaderChar"/>
    <w:uiPriority w:val="99"/>
    <w:unhideWhenUsed/>
    <w:rsid w:val="001A17AD"/>
    <w:pPr>
      <w:spacing w:after="0" w:line="288" w:lineRule="auto"/>
      <w:jc w:val="left"/>
    </w:pPr>
    <w:rPr>
      <w:sz w:val="16"/>
    </w:rPr>
  </w:style>
  <w:style w:type="character" w:customStyle="1" w:styleId="HeaderChar">
    <w:name w:val="Header Char"/>
    <w:basedOn w:val="DefaultParagraphFont"/>
    <w:link w:val="Header"/>
    <w:uiPriority w:val="99"/>
    <w:rsid w:val="001A17AD"/>
    <w:rPr>
      <w:rFonts w:ascii="Arial" w:eastAsiaTheme="minorEastAsia" w:hAnsi="Arial" w:cs="Times New Roman"/>
      <w:sz w:val="16"/>
      <w:szCs w:val="20"/>
    </w:rPr>
  </w:style>
  <w:style w:type="paragraph" w:styleId="Footer">
    <w:name w:val="footer"/>
    <w:basedOn w:val="Normal"/>
    <w:link w:val="FooterChar"/>
    <w:uiPriority w:val="99"/>
    <w:unhideWhenUsed/>
    <w:rsid w:val="001A17AD"/>
    <w:pPr>
      <w:spacing w:after="0"/>
      <w:jc w:val="left"/>
    </w:pPr>
    <w:rPr>
      <w:sz w:val="16"/>
      <w:szCs w:val="18"/>
    </w:rPr>
  </w:style>
  <w:style w:type="character" w:customStyle="1" w:styleId="FooterChar">
    <w:name w:val="Footer Char"/>
    <w:basedOn w:val="DefaultParagraphFont"/>
    <w:link w:val="Footer"/>
    <w:uiPriority w:val="99"/>
    <w:rsid w:val="001A17AD"/>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1A17AD"/>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1A17AD"/>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1A17AD"/>
    <w:rPr>
      <w:rFonts w:ascii="Arial" w:eastAsiaTheme="minorEastAsia" w:hAnsi="Arial" w:cs="Times New Roman"/>
      <w:b/>
      <w:sz w:val="22"/>
    </w:rPr>
  </w:style>
  <w:style w:type="character" w:customStyle="1" w:styleId="ListParagraphChar">
    <w:name w:val="List Paragraph Char"/>
    <w:aliases w:val="Bullet 3 Char"/>
    <w:basedOn w:val="DefaultParagraphFont"/>
    <w:link w:val="ListParagraph"/>
    <w:rsid w:val="001A17AD"/>
    <w:rPr>
      <w:rFonts w:ascii="Arial" w:hAnsi="Arial" w:cs="Arial"/>
      <w:i/>
      <w:iCs/>
      <w:sz w:val="20"/>
      <w:szCs w:val="22"/>
    </w:rPr>
  </w:style>
  <w:style w:type="paragraph" w:customStyle="1" w:styleId="Default">
    <w:name w:val="Default"/>
    <w:rsid w:val="001A17AD"/>
    <w:pPr>
      <w:widowControl w:val="0"/>
      <w:autoSpaceDE w:val="0"/>
      <w:autoSpaceDN w:val="0"/>
      <w:adjustRightInd w:val="0"/>
    </w:pPr>
    <w:rPr>
      <w:rFonts w:ascii="Arial" w:eastAsiaTheme="minorEastAsia" w:hAnsi="Arial" w:cs="Arial"/>
      <w:color w:val="000000"/>
    </w:rPr>
  </w:style>
  <w:style w:type="character" w:styleId="PageNumber">
    <w:name w:val="page number"/>
    <w:basedOn w:val="DefaultParagraphFont"/>
    <w:uiPriority w:val="99"/>
    <w:unhideWhenUsed/>
    <w:rsid w:val="001A17AD"/>
    <w:rPr>
      <w:b/>
    </w:rPr>
  </w:style>
  <w:style w:type="character" w:styleId="Hyperlink">
    <w:name w:val="Hyperlink"/>
    <w:basedOn w:val="DefaultParagraphFont"/>
    <w:uiPriority w:val="99"/>
    <w:unhideWhenUsed/>
    <w:rsid w:val="001A17AD"/>
    <w:rPr>
      <w:color w:val="0000FF" w:themeColor="hyperlink"/>
      <w:u w:val="single"/>
    </w:rPr>
  </w:style>
  <w:style w:type="character" w:styleId="FollowedHyperlink">
    <w:name w:val="FollowedHyperlink"/>
    <w:basedOn w:val="DefaultParagraphFont"/>
    <w:uiPriority w:val="99"/>
    <w:unhideWhenUsed/>
    <w:rsid w:val="001A17AD"/>
    <w:rPr>
      <w:color w:val="800080" w:themeColor="followedHyperlink"/>
      <w:u w:val="single"/>
    </w:rPr>
  </w:style>
  <w:style w:type="paragraph" w:customStyle="1" w:styleId="BasicParagraph">
    <w:name w:val="[Basic Paragraph]"/>
    <w:basedOn w:val="Normal"/>
    <w:uiPriority w:val="99"/>
    <w:rsid w:val="001A17A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A17AD"/>
    <w:pPr>
      <w:spacing w:before="360" w:after="240"/>
      <w:jc w:val="left"/>
      <w:outlineLvl w:val="0"/>
    </w:pPr>
    <w:rPr>
      <w:b/>
      <w:sz w:val="40"/>
      <w:szCs w:val="52"/>
    </w:rPr>
  </w:style>
  <w:style w:type="paragraph" w:customStyle="1" w:styleId="Bullet1">
    <w:name w:val="Bullet 1"/>
    <w:basedOn w:val="Normal"/>
    <w:autoRedefine/>
    <w:rsid w:val="001A17AD"/>
    <w:pPr>
      <w:numPr>
        <w:numId w:val="1"/>
      </w:numPr>
      <w:spacing w:before="60"/>
      <w:jc w:val="left"/>
    </w:pPr>
    <w:rPr>
      <w:rFonts w:eastAsia="Times New Roman"/>
      <w:color w:val="000000"/>
    </w:rPr>
  </w:style>
  <w:style w:type="paragraph" w:customStyle="1" w:styleId="RefItem1">
    <w:name w:val="Ref Item 1"/>
    <w:basedOn w:val="Normal"/>
    <w:rsid w:val="001A17AD"/>
    <w:pPr>
      <w:jc w:val="left"/>
    </w:pPr>
    <w:rPr>
      <w:color w:val="000000"/>
      <w:szCs w:val="24"/>
      <w:lang w:eastAsia="it-IT"/>
    </w:rPr>
  </w:style>
  <w:style w:type="paragraph" w:customStyle="1" w:styleId="RefTitre">
    <w:name w:val="Ref Titre"/>
    <w:basedOn w:val="Normal"/>
    <w:rsid w:val="001A17AD"/>
    <w:pPr>
      <w:jc w:val="left"/>
    </w:pPr>
    <w:rPr>
      <w:rFonts w:eastAsia="Times New Roman"/>
      <w:b/>
      <w:bCs/>
      <w:sz w:val="26"/>
      <w:szCs w:val="26"/>
    </w:rPr>
  </w:style>
  <w:style w:type="paragraph" w:customStyle="1" w:styleId="Header1">
    <w:name w:val="Header 1"/>
    <w:basedOn w:val="Header"/>
    <w:rsid w:val="001A17AD"/>
    <w:rPr>
      <w:b/>
      <w:sz w:val="24"/>
      <w:szCs w:val="24"/>
    </w:rPr>
  </w:style>
  <w:style w:type="character" w:customStyle="1" w:styleId="Pantone485">
    <w:name w:val="Pantone 485"/>
    <w:basedOn w:val="DefaultParagraphFont"/>
    <w:uiPriority w:val="1"/>
    <w:qFormat/>
    <w:rsid w:val="001A17AD"/>
    <w:rPr>
      <w:rFonts w:cs="Caecilia-Light"/>
      <w:color w:val="DC281E"/>
      <w:szCs w:val="16"/>
    </w:rPr>
  </w:style>
  <w:style w:type="character" w:customStyle="1" w:styleId="H1Char">
    <w:name w:val="H1 Char"/>
    <w:basedOn w:val="DefaultParagraphFont"/>
    <w:link w:val="H1"/>
    <w:rsid w:val="001A17AD"/>
    <w:rPr>
      <w:rFonts w:ascii="Arial" w:eastAsiaTheme="minorEastAsia" w:hAnsi="Arial" w:cs="Times New Roman"/>
      <w:b/>
      <w:sz w:val="40"/>
      <w:szCs w:val="52"/>
    </w:rPr>
  </w:style>
  <w:style w:type="table" w:customStyle="1" w:styleId="TableGray">
    <w:name w:val="Table Gray"/>
    <w:basedOn w:val="TableNormal"/>
    <w:uiPriority w:val="99"/>
    <w:rsid w:val="001A17AD"/>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A17AD"/>
    <w:pPr>
      <w:numPr>
        <w:numId w:val="2"/>
      </w:numPr>
      <w:tabs>
        <w:tab w:val="left" w:pos="7230"/>
      </w:tabs>
      <w:spacing w:before="240" w:after="240"/>
      <w:ind w:right="0"/>
    </w:pPr>
    <w:rPr>
      <w:i w:val="0"/>
      <w:iCs w:val="0"/>
    </w:rPr>
  </w:style>
  <w:style w:type="paragraph" w:customStyle="1" w:styleId="ListNumber1">
    <w:name w:val="List Number 1"/>
    <w:basedOn w:val="Normal"/>
    <w:rsid w:val="001A17AD"/>
    <w:pPr>
      <w:numPr>
        <w:ilvl w:val="1"/>
        <w:numId w:val="3"/>
      </w:numPr>
      <w:contextualSpacing/>
    </w:pPr>
    <w:rPr>
      <w:rFonts w:eastAsiaTheme="minorHAnsi" w:cstheme="minorHAnsi"/>
      <w:szCs w:val="22"/>
    </w:rPr>
  </w:style>
  <w:style w:type="paragraph" w:customStyle="1" w:styleId="NormalNo">
    <w:name w:val="Normal + No"/>
    <w:basedOn w:val="Normal"/>
    <w:qFormat/>
    <w:rsid w:val="001A17AD"/>
    <w:pPr>
      <w:numPr>
        <w:numId w:val="44"/>
      </w:numPr>
    </w:pPr>
    <w:rPr>
      <w:rFonts w:eastAsia="MS Mincho"/>
      <w:b/>
      <w:sz w:val="22"/>
    </w:rPr>
  </w:style>
  <w:style w:type="paragraph" w:customStyle="1" w:styleId="Indent">
    <w:name w:val="Indent"/>
    <w:basedOn w:val="Normal"/>
    <w:qFormat/>
    <w:rsid w:val="001A17AD"/>
    <w:pPr>
      <w:ind w:left="567"/>
    </w:pPr>
    <w:rPr>
      <w:rFonts w:cs="Arial"/>
      <w:b/>
    </w:rPr>
  </w:style>
  <w:style w:type="paragraph" w:customStyle="1" w:styleId="TitreTableau">
    <w:name w:val="Titre Tableau"/>
    <w:basedOn w:val="Normal"/>
    <w:qFormat/>
    <w:rsid w:val="001A17AD"/>
    <w:pPr>
      <w:spacing w:before="120"/>
      <w:jc w:val="center"/>
    </w:pPr>
    <w:rPr>
      <w:rFonts w:cs="Arial"/>
      <w:b/>
      <w:bCs/>
      <w:color w:val="FFFFFF" w:themeColor="background1"/>
      <w:lang w:val="en-CA"/>
    </w:rPr>
  </w:style>
  <w:style w:type="paragraph" w:customStyle="1" w:styleId="BulletTableau">
    <w:name w:val="Bullet Tableau"/>
    <w:basedOn w:val="Bullet2"/>
    <w:qFormat/>
    <w:rsid w:val="001A17AD"/>
    <w:pPr>
      <w:keepNext/>
      <w:keepLines/>
      <w:framePr w:hSpace="141" w:wrap="around" w:vAnchor="text" w:hAnchor="margin" w:y="402"/>
      <w:numPr>
        <w:numId w:val="46"/>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lsdException w:name="heading 2" w:semiHidden="0" w:uiPriority="9" w:qFormat="1"/>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A17AD"/>
    <w:pPr>
      <w:spacing w:after="120"/>
      <w:jc w:val="both"/>
    </w:pPr>
    <w:rPr>
      <w:rFonts w:ascii="Arial" w:eastAsiaTheme="minorEastAsia" w:hAnsi="Arial" w:cs="Times New Roman"/>
      <w:sz w:val="20"/>
      <w:szCs w:val="20"/>
    </w:rPr>
  </w:style>
  <w:style w:type="paragraph" w:styleId="Heading1">
    <w:name w:val="heading 1"/>
    <w:basedOn w:val="Normal"/>
    <w:next w:val="Normal"/>
    <w:link w:val="Heading1Char"/>
    <w:uiPriority w:val="9"/>
    <w:rsid w:val="001A17AD"/>
    <w:pPr>
      <w:spacing w:before="360" w:after="240"/>
      <w:jc w:val="left"/>
      <w:outlineLvl w:val="0"/>
    </w:pPr>
    <w:rPr>
      <w:b/>
      <w:sz w:val="40"/>
      <w:szCs w:val="52"/>
    </w:rPr>
  </w:style>
  <w:style w:type="paragraph" w:styleId="Heading2">
    <w:name w:val="heading 2"/>
    <w:basedOn w:val="Normal"/>
    <w:next w:val="Normal"/>
    <w:link w:val="Heading2Char"/>
    <w:autoRedefine/>
    <w:uiPriority w:val="9"/>
    <w:unhideWhenUsed/>
    <w:qFormat/>
    <w:rsid w:val="001A17AD"/>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1A17AD"/>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3"/>
    <w:basedOn w:val="Normal"/>
    <w:link w:val="ListParagraphChar"/>
    <w:qFormat/>
    <w:rsid w:val="001A17AD"/>
    <w:pPr>
      <w:numPr>
        <w:numId w:val="45"/>
      </w:numPr>
      <w:spacing w:before="120"/>
      <w:ind w:right="425"/>
      <w:contextualSpacing/>
    </w:pPr>
    <w:rPr>
      <w:rFonts w:eastAsiaTheme="minorHAnsi" w:cs="Arial"/>
      <w:i/>
      <w:iCs/>
      <w:szCs w:val="22"/>
    </w:rPr>
  </w:style>
  <w:style w:type="table" w:styleId="TableGrid">
    <w:name w:val="Table Grid"/>
    <w:basedOn w:val="TableNormal"/>
    <w:uiPriority w:val="59"/>
    <w:rsid w:val="001A17AD"/>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A2619"/>
  </w:style>
  <w:style w:type="paragraph" w:styleId="FootnoteText">
    <w:name w:val="footnote text"/>
    <w:basedOn w:val="Normal"/>
    <w:link w:val="FootnoteTextChar"/>
    <w:uiPriority w:val="99"/>
    <w:unhideWhenUsed/>
    <w:rsid w:val="001A17AD"/>
    <w:pPr>
      <w:spacing w:after="0"/>
    </w:pPr>
    <w:rPr>
      <w:sz w:val="16"/>
      <w:szCs w:val="22"/>
    </w:rPr>
  </w:style>
  <w:style w:type="character" w:customStyle="1" w:styleId="FootnoteTextChar">
    <w:name w:val="Footnote Text Char"/>
    <w:basedOn w:val="DefaultParagraphFont"/>
    <w:link w:val="FootnoteText"/>
    <w:uiPriority w:val="99"/>
    <w:rsid w:val="001A17AD"/>
    <w:rPr>
      <w:rFonts w:ascii="Arial" w:eastAsiaTheme="minorEastAsia" w:hAnsi="Arial" w:cs="Times New Roman"/>
      <w:sz w:val="16"/>
      <w:szCs w:val="22"/>
    </w:rPr>
  </w:style>
  <w:style w:type="character" w:styleId="FootnoteReference">
    <w:name w:val="footnote reference"/>
    <w:basedOn w:val="DefaultParagraphFont"/>
    <w:uiPriority w:val="99"/>
    <w:unhideWhenUsed/>
    <w:rsid w:val="001A17AD"/>
    <w:rPr>
      <w:vertAlign w:val="superscript"/>
    </w:rPr>
  </w:style>
  <w:style w:type="character" w:styleId="CommentReference">
    <w:name w:val="annotation reference"/>
    <w:basedOn w:val="DefaultParagraphFont"/>
    <w:uiPriority w:val="99"/>
    <w:semiHidden/>
    <w:unhideWhenUsed/>
    <w:rsid w:val="001A17AD"/>
    <w:rPr>
      <w:sz w:val="18"/>
      <w:szCs w:val="18"/>
    </w:rPr>
  </w:style>
  <w:style w:type="paragraph" w:styleId="CommentText">
    <w:name w:val="annotation text"/>
    <w:basedOn w:val="Normal"/>
    <w:link w:val="CommentTextChar"/>
    <w:semiHidden/>
    <w:unhideWhenUsed/>
    <w:rsid w:val="009E3833"/>
  </w:style>
  <w:style w:type="character" w:customStyle="1" w:styleId="CommentTextChar">
    <w:name w:val="Comment Text Char"/>
    <w:basedOn w:val="DefaultParagraphFont"/>
    <w:link w:val="CommentText"/>
    <w:semiHidden/>
    <w:rsid w:val="009E3833"/>
    <w:rPr>
      <w:rFonts w:asciiTheme="majorHAnsi" w:eastAsiaTheme="minorEastAsia" w:hAnsiTheme="majorHAnsi" w:cs="ArialMT"/>
      <w:sz w:val="20"/>
      <w:szCs w:val="20"/>
      <w:lang w:val="en-GB"/>
    </w:rPr>
  </w:style>
  <w:style w:type="paragraph" w:styleId="CommentSubject">
    <w:name w:val="annotation subject"/>
    <w:basedOn w:val="Normal"/>
    <w:link w:val="CommentSubjectChar"/>
    <w:uiPriority w:val="99"/>
    <w:semiHidden/>
    <w:unhideWhenUsed/>
    <w:rsid w:val="001A17AD"/>
    <w:rPr>
      <w:b/>
      <w:bCs/>
    </w:rPr>
  </w:style>
  <w:style w:type="character" w:customStyle="1" w:styleId="CommentSubjectChar">
    <w:name w:val="Comment Subject Char"/>
    <w:basedOn w:val="DefaultParagraphFont"/>
    <w:link w:val="CommentSubject"/>
    <w:uiPriority w:val="99"/>
    <w:semiHidden/>
    <w:rsid w:val="001A17AD"/>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1A17A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AD"/>
    <w:rPr>
      <w:rFonts w:ascii="Lucida Grande" w:eastAsiaTheme="minorEastAsia" w:hAnsi="Lucida Grande" w:cs="Lucida Grande"/>
      <w:sz w:val="18"/>
      <w:szCs w:val="18"/>
    </w:rPr>
  </w:style>
  <w:style w:type="paragraph" w:styleId="Revision">
    <w:name w:val="Revision"/>
    <w:hidden/>
    <w:uiPriority w:val="99"/>
    <w:semiHidden/>
    <w:rsid w:val="001A17AD"/>
    <w:rPr>
      <w:rFonts w:ascii="Arial" w:eastAsiaTheme="minorEastAsia" w:hAnsi="Arial" w:cs="Arial"/>
      <w:sz w:val="21"/>
      <w:szCs w:val="21"/>
    </w:rPr>
  </w:style>
  <w:style w:type="paragraph" w:styleId="Header">
    <w:name w:val="header"/>
    <w:basedOn w:val="Normal"/>
    <w:link w:val="HeaderChar"/>
    <w:uiPriority w:val="99"/>
    <w:unhideWhenUsed/>
    <w:rsid w:val="001A17AD"/>
    <w:pPr>
      <w:spacing w:after="0" w:line="288" w:lineRule="auto"/>
      <w:jc w:val="left"/>
    </w:pPr>
    <w:rPr>
      <w:sz w:val="16"/>
    </w:rPr>
  </w:style>
  <w:style w:type="character" w:customStyle="1" w:styleId="HeaderChar">
    <w:name w:val="Header Char"/>
    <w:basedOn w:val="DefaultParagraphFont"/>
    <w:link w:val="Header"/>
    <w:uiPriority w:val="99"/>
    <w:rsid w:val="001A17AD"/>
    <w:rPr>
      <w:rFonts w:ascii="Arial" w:eastAsiaTheme="minorEastAsia" w:hAnsi="Arial" w:cs="Times New Roman"/>
      <w:sz w:val="16"/>
      <w:szCs w:val="20"/>
    </w:rPr>
  </w:style>
  <w:style w:type="paragraph" w:styleId="Footer">
    <w:name w:val="footer"/>
    <w:basedOn w:val="Normal"/>
    <w:link w:val="FooterChar"/>
    <w:uiPriority w:val="99"/>
    <w:unhideWhenUsed/>
    <w:rsid w:val="001A17AD"/>
    <w:pPr>
      <w:spacing w:after="0"/>
      <w:jc w:val="left"/>
    </w:pPr>
    <w:rPr>
      <w:sz w:val="16"/>
      <w:szCs w:val="18"/>
    </w:rPr>
  </w:style>
  <w:style w:type="character" w:customStyle="1" w:styleId="FooterChar">
    <w:name w:val="Footer Char"/>
    <w:basedOn w:val="DefaultParagraphFont"/>
    <w:link w:val="Footer"/>
    <w:uiPriority w:val="99"/>
    <w:rsid w:val="001A17AD"/>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1A17AD"/>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1A17AD"/>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1A17AD"/>
    <w:rPr>
      <w:rFonts w:ascii="Arial" w:eastAsiaTheme="minorEastAsia" w:hAnsi="Arial" w:cs="Times New Roman"/>
      <w:b/>
      <w:sz w:val="22"/>
    </w:rPr>
  </w:style>
  <w:style w:type="character" w:customStyle="1" w:styleId="ListParagraphChar">
    <w:name w:val="List Paragraph Char"/>
    <w:aliases w:val="Bullet 3 Char"/>
    <w:basedOn w:val="DefaultParagraphFont"/>
    <w:link w:val="ListParagraph"/>
    <w:rsid w:val="001A17AD"/>
    <w:rPr>
      <w:rFonts w:ascii="Arial" w:hAnsi="Arial" w:cs="Arial"/>
      <w:i/>
      <w:iCs/>
      <w:sz w:val="20"/>
      <w:szCs w:val="22"/>
    </w:rPr>
  </w:style>
  <w:style w:type="paragraph" w:customStyle="1" w:styleId="Default">
    <w:name w:val="Default"/>
    <w:rsid w:val="001A17AD"/>
    <w:pPr>
      <w:widowControl w:val="0"/>
      <w:autoSpaceDE w:val="0"/>
      <w:autoSpaceDN w:val="0"/>
      <w:adjustRightInd w:val="0"/>
    </w:pPr>
    <w:rPr>
      <w:rFonts w:ascii="Arial" w:eastAsiaTheme="minorEastAsia" w:hAnsi="Arial" w:cs="Arial"/>
      <w:color w:val="000000"/>
    </w:rPr>
  </w:style>
  <w:style w:type="character" w:styleId="PageNumber">
    <w:name w:val="page number"/>
    <w:basedOn w:val="DefaultParagraphFont"/>
    <w:uiPriority w:val="99"/>
    <w:unhideWhenUsed/>
    <w:rsid w:val="001A17AD"/>
    <w:rPr>
      <w:b/>
    </w:rPr>
  </w:style>
  <w:style w:type="character" w:styleId="Hyperlink">
    <w:name w:val="Hyperlink"/>
    <w:basedOn w:val="DefaultParagraphFont"/>
    <w:uiPriority w:val="99"/>
    <w:unhideWhenUsed/>
    <w:rsid w:val="001A17AD"/>
    <w:rPr>
      <w:color w:val="0000FF" w:themeColor="hyperlink"/>
      <w:u w:val="single"/>
    </w:rPr>
  </w:style>
  <w:style w:type="character" w:styleId="FollowedHyperlink">
    <w:name w:val="FollowedHyperlink"/>
    <w:basedOn w:val="DefaultParagraphFont"/>
    <w:uiPriority w:val="99"/>
    <w:unhideWhenUsed/>
    <w:rsid w:val="001A17AD"/>
    <w:rPr>
      <w:color w:val="800080" w:themeColor="followedHyperlink"/>
      <w:u w:val="single"/>
    </w:rPr>
  </w:style>
  <w:style w:type="paragraph" w:customStyle="1" w:styleId="BasicParagraph">
    <w:name w:val="[Basic Paragraph]"/>
    <w:basedOn w:val="Normal"/>
    <w:uiPriority w:val="99"/>
    <w:rsid w:val="001A17A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A17AD"/>
    <w:pPr>
      <w:spacing w:before="360" w:after="240"/>
      <w:jc w:val="left"/>
      <w:outlineLvl w:val="0"/>
    </w:pPr>
    <w:rPr>
      <w:b/>
      <w:sz w:val="40"/>
      <w:szCs w:val="52"/>
    </w:rPr>
  </w:style>
  <w:style w:type="paragraph" w:customStyle="1" w:styleId="Bullet1">
    <w:name w:val="Bullet 1"/>
    <w:basedOn w:val="Normal"/>
    <w:autoRedefine/>
    <w:rsid w:val="001A17AD"/>
    <w:pPr>
      <w:numPr>
        <w:numId w:val="1"/>
      </w:numPr>
      <w:spacing w:before="60"/>
      <w:jc w:val="left"/>
    </w:pPr>
    <w:rPr>
      <w:rFonts w:eastAsia="Times New Roman"/>
      <w:color w:val="000000"/>
    </w:rPr>
  </w:style>
  <w:style w:type="paragraph" w:customStyle="1" w:styleId="RefItem1">
    <w:name w:val="Ref Item 1"/>
    <w:basedOn w:val="Normal"/>
    <w:rsid w:val="001A17AD"/>
    <w:pPr>
      <w:jc w:val="left"/>
    </w:pPr>
    <w:rPr>
      <w:color w:val="000000"/>
      <w:szCs w:val="24"/>
      <w:lang w:eastAsia="it-IT"/>
    </w:rPr>
  </w:style>
  <w:style w:type="paragraph" w:customStyle="1" w:styleId="RefTitre">
    <w:name w:val="Ref Titre"/>
    <w:basedOn w:val="Normal"/>
    <w:rsid w:val="001A17AD"/>
    <w:pPr>
      <w:jc w:val="left"/>
    </w:pPr>
    <w:rPr>
      <w:rFonts w:eastAsia="Times New Roman"/>
      <w:b/>
      <w:bCs/>
      <w:sz w:val="26"/>
      <w:szCs w:val="26"/>
    </w:rPr>
  </w:style>
  <w:style w:type="paragraph" w:customStyle="1" w:styleId="Header1">
    <w:name w:val="Header 1"/>
    <w:basedOn w:val="Header"/>
    <w:rsid w:val="001A17AD"/>
    <w:rPr>
      <w:b/>
      <w:sz w:val="24"/>
      <w:szCs w:val="24"/>
    </w:rPr>
  </w:style>
  <w:style w:type="character" w:customStyle="1" w:styleId="Pantone485">
    <w:name w:val="Pantone 485"/>
    <w:basedOn w:val="DefaultParagraphFont"/>
    <w:uiPriority w:val="1"/>
    <w:qFormat/>
    <w:rsid w:val="001A17AD"/>
    <w:rPr>
      <w:rFonts w:cs="Caecilia-Light"/>
      <w:color w:val="DC281E"/>
      <w:szCs w:val="16"/>
    </w:rPr>
  </w:style>
  <w:style w:type="character" w:customStyle="1" w:styleId="H1Char">
    <w:name w:val="H1 Char"/>
    <w:basedOn w:val="DefaultParagraphFont"/>
    <w:link w:val="H1"/>
    <w:rsid w:val="001A17AD"/>
    <w:rPr>
      <w:rFonts w:ascii="Arial" w:eastAsiaTheme="minorEastAsia" w:hAnsi="Arial" w:cs="Times New Roman"/>
      <w:b/>
      <w:sz w:val="40"/>
      <w:szCs w:val="52"/>
    </w:rPr>
  </w:style>
  <w:style w:type="table" w:customStyle="1" w:styleId="TableGray">
    <w:name w:val="Table Gray"/>
    <w:basedOn w:val="TableNormal"/>
    <w:uiPriority w:val="99"/>
    <w:rsid w:val="001A17AD"/>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A17AD"/>
    <w:pPr>
      <w:numPr>
        <w:numId w:val="2"/>
      </w:numPr>
      <w:tabs>
        <w:tab w:val="left" w:pos="7230"/>
      </w:tabs>
      <w:spacing w:before="240" w:after="240"/>
      <w:ind w:right="0"/>
    </w:pPr>
    <w:rPr>
      <w:i w:val="0"/>
      <w:iCs w:val="0"/>
    </w:rPr>
  </w:style>
  <w:style w:type="paragraph" w:customStyle="1" w:styleId="ListNumber1">
    <w:name w:val="List Number 1"/>
    <w:basedOn w:val="Normal"/>
    <w:rsid w:val="001A17AD"/>
    <w:pPr>
      <w:numPr>
        <w:ilvl w:val="1"/>
        <w:numId w:val="3"/>
      </w:numPr>
      <w:contextualSpacing/>
    </w:pPr>
    <w:rPr>
      <w:rFonts w:eastAsiaTheme="minorHAnsi" w:cstheme="minorHAnsi"/>
      <w:szCs w:val="22"/>
    </w:rPr>
  </w:style>
  <w:style w:type="paragraph" w:customStyle="1" w:styleId="NormalNo">
    <w:name w:val="Normal + No"/>
    <w:basedOn w:val="Normal"/>
    <w:qFormat/>
    <w:rsid w:val="001A17AD"/>
    <w:pPr>
      <w:numPr>
        <w:numId w:val="44"/>
      </w:numPr>
    </w:pPr>
    <w:rPr>
      <w:rFonts w:eastAsia="MS Mincho"/>
      <w:b/>
      <w:sz w:val="22"/>
    </w:rPr>
  </w:style>
  <w:style w:type="paragraph" w:customStyle="1" w:styleId="Indent">
    <w:name w:val="Indent"/>
    <w:basedOn w:val="Normal"/>
    <w:qFormat/>
    <w:rsid w:val="001A17AD"/>
    <w:pPr>
      <w:ind w:left="567"/>
    </w:pPr>
    <w:rPr>
      <w:rFonts w:cs="Arial"/>
      <w:b/>
    </w:rPr>
  </w:style>
  <w:style w:type="paragraph" w:customStyle="1" w:styleId="TitreTableau">
    <w:name w:val="Titre Tableau"/>
    <w:basedOn w:val="Normal"/>
    <w:qFormat/>
    <w:rsid w:val="001A17AD"/>
    <w:pPr>
      <w:spacing w:before="120"/>
      <w:jc w:val="center"/>
    </w:pPr>
    <w:rPr>
      <w:rFonts w:cs="Arial"/>
      <w:b/>
      <w:bCs/>
      <w:color w:val="FFFFFF" w:themeColor="background1"/>
      <w:lang w:val="en-CA"/>
    </w:rPr>
  </w:style>
  <w:style w:type="paragraph" w:customStyle="1" w:styleId="BulletTableau">
    <w:name w:val="Bullet Tableau"/>
    <w:basedOn w:val="Bullet2"/>
    <w:qFormat/>
    <w:rsid w:val="001A17AD"/>
    <w:pPr>
      <w:keepNext/>
      <w:keepLines/>
      <w:framePr w:hSpace="141" w:wrap="around" w:vAnchor="text" w:hAnchor="margin" w:y="402"/>
      <w:numPr>
        <w:numId w:val="4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0056">
      <w:bodyDiv w:val="1"/>
      <w:marLeft w:val="0"/>
      <w:marRight w:val="0"/>
      <w:marTop w:val="0"/>
      <w:marBottom w:val="0"/>
      <w:divBdr>
        <w:top w:val="none" w:sz="0" w:space="0" w:color="auto"/>
        <w:left w:val="none" w:sz="0" w:space="0" w:color="auto"/>
        <w:bottom w:val="none" w:sz="0" w:space="0" w:color="auto"/>
        <w:right w:val="none" w:sz="0" w:space="0" w:color="auto"/>
      </w:divBdr>
    </w:div>
    <w:div w:id="221063431">
      <w:bodyDiv w:val="1"/>
      <w:marLeft w:val="0"/>
      <w:marRight w:val="0"/>
      <w:marTop w:val="0"/>
      <w:marBottom w:val="0"/>
      <w:divBdr>
        <w:top w:val="none" w:sz="0" w:space="0" w:color="auto"/>
        <w:left w:val="none" w:sz="0" w:space="0" w:color="auto"/>
        <w:bottom w:val="none" w:sz="0" w:space="0" w:color="auto"/>
        <w:right w:val="none" w:sz="0" w:space="0" w:color="auto"/>
      </w:divBdr>
      <w:divsChild>
        <w:div w:id="2122020359">
          <w:marLeft w:val="0"/>
          <w:marRight w:val="0"/>
          <w:marTop w:val="0"/>
          <w:marBottom w:val="0"/>
          <w:divBdr>
            <w:top w:val="none" w:sz="0" w:space="0" w:color="auto"/>
            <w:left w:val="none" w:sz="0" w:space="0" w:color="auto"/>
            <w:bottom w:val="none" w:sz="0" w:space="0" w:color="auto"/>
            <w:right w:val="none" w:sz="0" w:space="0" w:color="auto"/>
          </w:divBdr>
          <w:divsChild>
            <w:div w:id="15444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69617">
      <w:bodyDiv w:val="1"/>
      <w:marLeft w:val="0"/>
      <w:marRight w:val="0"/>
      <w:marTop w:val="0"/>
      <w:marBottom w:val="0"/>
      <w:divBdr>
        <w:top w:val="none" w:sz="0" w:space="0" w:color="auto"/>
        <w:left w:val="none" w:sz="0" w:space="0" w:color="auto"/>
        <w:bottom w:val="none" w:sz="0" w:space="0" w:color="auto"/>
        <w:right w:val="none" w:sz="0" w:space="0" w:color="auto"/>
      </w:divBdr>
    </w:div>
    <w:div w:id="1059204394">
      <w:bodyDiv w:val="1"/>
      <w:marLeft w:val="0"/>
      <w:marRight w:val="0"/>
      <w:marTop w:val="0"/>
      <w:marBottom w:val="0"/>
      <w:divBdr>
        <w:top w:val="none" w:sz="0" w:space="0" w:color="auto"/>
        <w:left w:val="none" w:sz="0" w:space="0" w:color="auto"/>
        <w:bottom w:val="none" w:sz="0" w:space="0" w:color="auto"/>
        <w:right w:val="none" w:sz="0" w:space="0" w:color="auto"/>
      </w:divBdr>
    </w:div>
    <w:div w:id="1603873689">
      <w:bodyDiv w:val="1"/>
      <w:marLeft w:val="0"/>
      <w:marRight w:val="0"/>
      <w:marTop w:val="0"/>
      <w:marBottom w:val="0"/>
      <w:divBdr>
        <w:top w:val="none" w:sz="0" w:space="0" w:color="auto"/>
        <w:left w:val="none" w:sz="0" w:space="0" w:color="auto"/>
        <w:bottom w:val="none" w:sz="0" w:space="0" w:color="auto"/>
        <w:right w:val="none" w:sz="0" w:space="0" w:color="auto"/>
      </w:divBdr>
      <w:divsChild>
        <w:div w:id="1656564698">
          <w:marLeft w:val="0"/>
          <w:marRight w:val="0"/>
          <w:marTop w:val="0"/>
          <w:marBottom w:val="0"/>
          <w:divBdr>
            <w:top w:val="none" w:sz="0" w:space="0" w:color="auto"/>
            <w:left w:val="none" w:sz="0" w:space="0" w:color="auto"/>
            <w:bottom w:val="none" w:sz="0" w:space="0" w:color="auto"/>
            <w:right w:val="none" w:sz="0" w:space="0" w:color="auto"/>
          </w:divBdr>
          <w:divsChild>
            <w:div w:id="17009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utionscenter.nethope.org/assets/collaterals/USAID_NetHope_ePayments_Toolkit_FRENCH.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shlearning.org/resources/library/390-e-transfers-in-emergencies-implementation-support-guideline"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cashlearning.org/resources/library/34-working-with-banks-a-field-guide-to-negotiating-with-banks-in-cash-transfer-programming-screen-vers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497</TotalTime>
  <Pages>3</Pages>
  <Words>1118</Words>
  <Characters>6373</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Independent Consultant</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Creti Pantaleo</dc:creator>
  <cp:lastModifiedBy>Florence MAROT</cp:lastModifiedBy>
  <cp:revision>37</cp:revision>
  <cp:lastPrinted>2015-11-16T09:14:00Z</cp:lastPrinted>
  <dcterms:created xsi:type="dcterms:W3CDTF">2015-09-08T21:23:00Z</dcterms:created>
  <dcterms:modified xsi:type="dcterms:W3CDTF">2016-04-05T16:13:00Z</dcterms:modified>
</cp:coreProperties>
</file>