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7281" w14:textId="527D3161" w:rsidR="00310F7F" w:rsidRPr="004D4CC7" w:rsidRDefault="004D4CC7" w:rsidP="009F7A36">
      <w:pPr>
        <w:pStyle w:val="H1"/>
        <w:rPr>
          <w:lang w:val="es-ES"/>
        </w:rPr>
      </w:pPr>
      <w:r w:rsidRPr="004D4CC7">
        <w:rPr>
          <w:lang w:val="es-ES"/>
        </w:rPr>
        <w:t>Hoja de ruta para la planificación de monitoreo y evaluaci</w:t>
      </w:r>
      <w:r>
        <w:rPr>
          <w:lang w:val="es-ES"/>
        </w:rPr>
        <w:t xml:space="preserve">ón </w:t>
      </w:r>
    </w:p>
    <w:p w14:paraId="62AADDA6" w14:textId="03A5316B" w:rsidR="00E66A9A" w:rsidRPr="00F22602" w:rsidRDefault="00E66A9A" w:rsidP="009F7A36">
      <w:pPr>
        <w:pStyle w:val="Heading2"/>
        <w:rPr>
          <w:lang w:val="es-ES"/>
        </w:rPr>
      </w:pPr>
      <w:r w:rsidRPr="00F22602">
        <w:rPr>
          <w:lang w:val="es-ES"/>
        </w:rPr>
        <w:t>INTRODUC</w:t>
      </w:r>
      <w:r w:rsidR="004D4CC7" w:rsidRPr="00F22602">
        <w:rPr>
          <w:lang w:val="es-ES"/>
        </w:rPr>
        <w:t xml:space="preserve">CIÓN </w:t>
      </w:r>
    </w:p>
    <w:p w14:paraId="356C9BCF" w14:textId="5652F51B" w:rsidR="004D4CC7" w:rsidRPr="004D4CC7" w:rsidRDefault="004D4CC7" w:rsidP="004D4CC7">
      <w:pPr>
        <w:rPr>
          <w:lang w:val="es-ES"/>
        </w:rPr>
      </w:pPr>
      <w:r w:rsidRPr="004D4CC7">
        <w:rPr>
          <w:lang w:val="es-ES"/>
        </w:rPr>
        <w:t>Esta hoja de ruta gu</w:t>
      </w:r>
      <w:r>
        <w:rPr>
          <w:lang w:val="es-ES"/>
        </w:rPr>
        <w:t>ía</w:t>
      </w:r>
      <w:r w:rsidRPr="004D4CC7">
        <w:rPr>
          <w:lang w:val="es-ES"/>
        </w:rPr>
        <w:t xml:space="preserve"> a través del proceso de planificación para el seguimiento y evaluación de programa</w:t>
      </w:r>
      <w:r>
        <w:rPr>
          <w:lang w:val="es-ES"/>
        </w:rPr>
        <w:t xml:space="preserve">s con </w:t>
      </w:r>
      <w:r w:rsidRPr="004D4CC7">
        <w:rPr>
          <w:lang w:val="es-ES"/>
        </w:rPr>
        <w:t>transferencia</w:t>
      </w:r>
      <w:r>
        <w:rPr>
          <w:lang w:val="es-ES"/>
        </w:rPr>
        <w:t>s</w:t>
      </w:r>
      <w:r w:rsidRPr="004D4CC7">
        <w:rPr>
          <w:lang w:val="es-ES"/>
        </w:rPr>
        <w:t xml:space="preserve"> de dinero en efectivo. Este proceso implica el desarrollo de una estrategia global de seguimiento y evaluación (incluyendo un plan de actividades de tra</w:t>
      </w:r>
      <w:r>
        <w:rPr>
          <w:lang w:val="es-ES"/>
        </w:rPr>
        <w:t xml:space="preserve">bajo detallado y una matriz de </w:t>
      </w:r>
      <w:r w:rsidR="00C97DB6">
        <w:rPr>
          <w:lang w:val="es-ES"/>
        </w:rPr>
        <w:t xml:space="preserve">monitoreo </w:t>
      </w:r>
      <w:r w:rsidR="00C97DB6" w:rsidRPr="004D4CC7">
        <w:rPr>
          <w:lang w:val="es-ES"/>
        </w:rPr>
        <w:t>y</w:t>
      </w:r>
      <w:r>
        <w:rPr>
          <w:lang w:val="es-ES"/>
        </w:rPr>
        <w:t xml:space="preserve"> evaluación </w:t>
      </w:r>
      <w:r w:rsidRPr="004D4CC7">
        <w:rPr>
          <w:lang w:val="es-ES"/>
        </w:rPr>
        <w:t>con los indicado</w:t>
      </w:r>
      <w:r>
        <w:rPr>
          <w:lang w:val="es-ES"/>
        </w:rPr>
        <w:t xml:space="preserve">res y medios de verificación), así como capacitar a los </w:t>
      </w:r>
      <w:r w:rsidR="00C97DB6">
        <w:rPr>
          <w:lang w:val="es-ES"/>
        </w:rPr>
        <w:t>voluntarios y a</w:t>
      </w:r>
      <w:r w:rsidRPr="004D4CC7">
        <w:rPr>
          <w:lang w:val="es-ES"/>
        </w:rPr>
        <w:t>l personal.</w:t>
      </w:r>
    </w:p>
    <w:p w14:paraId="22A22619" w14:textId="47731FA1" w:rsidR="004D4CC7" w:rsidRPr="004D4CC7" w:rsidRDefault="004D4CC7" w:rsidP="004D4CC7">
      <w:pPr>
        <w:rPr>
          <w:lang w:val="es-ES"/>
        </w:rPr>
      </w:pPr>
      <w:r w:rsidRPr="004D4CC7">
        <w:rPr>
          <w:lang w:val="es-ES"/>
        </w:rPr>
        <w:t xml:space="preserve">Además, la hoja de ruta ofrece sugerencias sobre qué herramientas </w:t>
      </w:r>
      <w:r w:rsidR="00C97DB6">
        <w:rPr>
          <w:lang w:val="es-ES"/>
        </w:rPr>
        <w:t xml:space="preserve">son más útiles para esta etapa </w:t>
      </w:r>
      <w:r w:rsidRPr="004D4CC7">
        <w:rPr>
          <w:lang w:val="es-ES"/>
        </w:rPr>
        <w:t>y sub-</w:t>
      </w:r>
      <w:r w:rsidR="00C97DB6">
        <w:rPr>
          <w:lang w:val="es-ES"/>
        </w:rPr>
        <w:t>etapas</w:t>
      </w:r>
      <w:r w:rsidRPr="004D4CC7">
        <w:rPr>
          <w:lang w:val="es-ES"/>
        </w:rPr>
        <w:t>. Las herra</w:t>
      </w:r>
      <w:r w:rsidR="00C97DB6">
        <w:rPr>
          <w:lang w:val="es-ES"/>
        </w:rPr>
        <w:t>mientas tendrán que ser adaptadas a las necesidades y a</w:t>
      </w:r>
      <w:r w:rsidRPr="004D4CC7">
        <w:rPr>
          <w:lang w:val="es-ES"/>
        </w:rPr>
        <w:t>l contexto.</w:t>
      </w:r>
    </w:p>
    <w:p w14:paraId="419C5503" w14:textId="2941A855" w:rsidR="004D4CC7" w:rsidRPr="004D4CC7" w:rsidRDefault="004D4CC7" w:rsidP="004D4CC7">
      <w:pPr>
        <w:rPr>
          <w:lang w:val="es-ES"/>
        </w:rPr>
      </w:pPr>
      <w:r w:rsidRPr="004D4CC7">
        <w:rPr>
          <w:lang w:val="es-ES"/>
        </w:rPr>
        <w:t>Siempre se debe tratar de cumplir con las normas mínimas que figuran en esta etapa, ya que esto contribui</w:t>
      </w:r>
      <w:r w:rsidR="00C97DB6">
        <w:rPr>
          <w:lang w:val="es-ES"/>
        </w:rPr>
        <w:t xml:space="preserve">rá a la calidad de su intervención con PTE. </w:t>
      </w:r>
    </w:p>
    <w:p w14:paraId="25763C51" w14:textId="31D5C125" w:rsidR="004D4CC7" w:rsidRPr="004D4CC7" w:rsidRDefault="00C97DB6" w:rsidP="004D4CC7">
      <w:pPr>
        <w:rPr>
          <w:lang w:val="es-ES"/>
        </w:rPr>
      </w:pPr>
      <w:r>
        <w:rPr>
          <w:lang w:val="es-ES"/>
        </w:rPr>
        <w:t xml:space="preserve">A medida que la </w:t>
      </w:r>
      <w:r w:rsidRPr="004D4CC7">
        <w:rPr>
          <w:lang w:val="es-ES"/>
        </w:rPr>
        <w:t xml:space="preserve">información y los procesos se </w:t>
      </w:r>
      <w:r>
        <w:rPr>
          <w:lang w:val="es-ES"/>
        </w:rPr>
        <w:t>vayan completando, e</w:t>
      </w:r>
      <w:r w:rsidR="004D4CC7" w:rsidRPr="004D4CC7">
        <w:rPr>
          <w:lang w:val="es-ES"/>
        </w:rPr>
        <w:t>s p</w:t>
      </w:r>
      <w:r>
        <w:rPr>
          <w:lang w:val="es-ES"/>
        </w:rPr>
        <w:t xml:space="preserve">osible </w:t>
      </w:r>
      <w:r w:rsidR="004D4CC7" w:rsidRPr="004D4CC7">
        <w:rPr>
          <w:lang w:val="es-ES"/>
        </w:rPr>
        <w:t xml:space="preserve">que </w:t>
      </w:r>
      <w:r>
        <w:rPr>
          <w:lang w:val="es-ES"/>
        </w:rPr>
        <w:t xml:space="preserve">se tenga </w:t>
      </w:r>
      <w:r w:rsidR="004D4CC7" w:rsidRPr="004D4CC7">
        <w:rPr>
          <w:lang w:val="es-ES"/>
        </w:rPr>
        <w:t>que avanzar y retroceder entre las dif</w:t>
      </w:r>
      <w:r>
        <w:rPr>
          <w:lang w:val="es-ES"/>
        </w:rPr>
        <w:t>erentes sub-etapas a la hora de guiar la</w:t>
      </w:r>
      <w:r w:rsidR="004D4CC7" w:rsidRPr="004D4CC7">
        <w:rPr>
          <w:lang w:val="es-ES"/>
        </w:rPr>
        <w:t xml:space="preserve"> toma de decisiones</w:t>
      </w:r>
      <w:r>
        <w:rPr>
          <w:lang w:val="es-ES"/>
        </w:rPr>
        <w:t xml:space="preserve">, ya que las etapas se retroalimentan entre ellas. </w:t>
      </w:r>
    </w:p>
    <w:p w14:paraId="73658287" w14:textId="44D14198" w:rsidR="004D4CC7" w:rsidRPr="004D4CC7" w:rsidRDefault="00C97DB6" w:rsidP="004D4CC7">
      <w:pPr>
        <w:rPr>
          <w:lang w:val="es-ES"/>
        </w:rPr>
      </w:pPr>
      <w:r>
        <w:rPr>
          <w:lang w:val="es-ES"/>
        </w:rPr>
        <w:t xml:space="preserve">Si necesita orientaciones </w:t>
      </w:r>
      <w:r w:rsidR="004D4CC7" w:rsidRPr="004D4CC7">
        <w:rPr>
          <w:lang w:val="es-ES"/>
        </w:rPr>
        <w:t xml:space="preserve">más detallada sobre </w:t>
      </w:r>
      <w:r>
        <w:rPr>
          <w:lang w:val="es-ES"/>
        </w:rPr>
        <w:t xml:space="preserve">la </w:t>
      </w:r>
      <w:r w:rsidRPr="004D4CC7">
        <w:rPr>
          <w:lang w:val="es-ES"/>
        </w:rPr>
        <w:t xml:space="preserve">planificación </w:t>
      </w:r>
      <w:r>
        <w:rPr>
          <w:lang w:val="es-ES"/>
        </w:rPr>
        <w:t>d</w:t>
      </w:r>
      <w:r w:rsidR="004D4CC7" w:rsidRPr="004D4CC7">
        <w:rPr>
          <w:lang w:val="es-ES"/>
        </w:rPr>
        <w:t xml:space="preserve">el seguimiento y </w:t>
      </w:r>
      <w:r>
        <w:rPr>
          <w:lang w:val="es-ES"/>
        </w:rPr>
        <w:t xml:space="preserve">de </w:t>
      </w:r>
      <w:r w:rsidR="004D4CC7" w:rsidRPr="004D4CC7">
        <w:rPr>
          <w:lang w:val="es-ES"/>
        </w:rPr>
        <w:t>la evaluación, consulte los documentos de referencia sugeridos al final de esta hoja de ruta.</w:t>
      </w:r>
    </w:p>
    <w:p w14:paraId="0514A444" w14:textId="77777777" w:rsidR="004D4CC7" w:rsidRPr="004D4CC7" w:rsidRDefault="004D4CC7" w:rsidP="004D4CC7">
      <w:pPr>
        <w:rPr>
          <w:lang w:val="es-ES"/>
        </w:rPr>
      </w:pPr>
    </w:p>
    <w:p w14:paraId="4F7A5FFD" w14:textId="6B541059" w:rsidR="00E66A9A" w:rsidRPr="007E00C6" w:rsidRDefault="00F22602" w:rsidP="009F7A36">
      <w:pPr>
        <w:pStyle w:val="Heading2"/>
      </w:pPr>
      <w:r>
        <w:t>ESTÁ</w:t>
      </w:r>
      <w:r w:rsidRPr="007E00C6">
        <w:t>NDAR</w:t>
      </w:r>
      <w:r>
        <w:t>e</w:t>
      </w:r>
      <w:r w:rsidRPr="007E00C6">
        <w:t xml:space="preserve">S </w:t>
      </w:r>
      <w:r>
        <w:t>MÍNIMos</w:t>
      </w:r>
      <w:r w:rsidR="00E66A9A" w:rsidRPr="007E00C6">
        <w:t xml:space="preserve"> </w:t>
      </w:r>
    </w:p>
    <w:p w14:paraId="3F53D16A" w14:textId="33E1D519" w:rsidR="00F22602" w:rsidRPr="00F22602" w:rsidRDefault="00F22602" w:rsidP="00F22602">
      <w:pPr>
        <w:pStyle w:val="Bullet1"/>
        <w:rPr>
          <w:lang w:val="es-ES"/>
        </w:rPr>
      </w:pPr>
      <w:r>
        <w:rPr>
          <w:lang w:val="es-ES"/>
        </w:rPr>
        <w:t xml:space="preserve">La </w:t>
      </w:r>
      <w:r w:rsidRPr="00F22602">
        <w:rPr>
          <w:lang w:val="es-ES"/>
        </w:rPr>
        <w:t>planificación</w:t>
      </w:r>
      <w:r>
        <w:rPr>
          <w:lang w:val="es-ES"/>
        </w:rPr>
        <w:t xml:space="preserve"> del monitoreo y la evaluación</w:t>
      </w:r>
      <w:r w:rsidRPr="00F22602">
        <w:rPr>
          <w:lang w:val="es-ES"/>
        </w:rPr>
        <w:t xml:space="preserve"> debe ocurrir en la fase de diseño del programa</w:t>
      </w:r>
    </w:p>
    <w:p w14:paraId="0D95ABBF" w14:textId="62864A31" w:rsidR="00F22602" w:rsidRPr="00F22602" w:rsidRDefault="00F22602" w:rsidP="00F22602">
      <w:pPr>
        <w:pStyle w:val="Bullet1"/>
        <w:rPr>
          <w:lang w:val="es-ES"/>
        </w:rPr>
      </w:pPr>
      <w:r>
        <w:rPr>
          <w:lang w:val="es-ES"/>
        </w:rPr>
        <w:t xml:space="preserve">El monitoreo y la evaluación </w:t>
      </w:r>
      <w:r w:rsidRPr="00F22602">
        <w:rPr>
          <w:lang w:val="es-ES"/>
        </w:rPr>
        <w:t>deben basarse en indicadores de programas y fuentes de verificación establecidos en el marco lógico</w:t>
      </w:r>
    </w:p>
    <w:p w14:paraId="41EA88DE" w14:textId="737A8389" w:rsidR="00F22602" w:rsidRPr="00F22602" w:rsidRDefault="00F22602" w:rsidP="00F22602">
      <w:pPr>
        <w:pStyle w:val="Bullet1"/>
        <w:rPr>
          <w:lang w:val="es-ES"/>
        </w:rPr>
      </w:pPr>
      <w:r>
        <w:rPr>
          <w:lang w:val="es-ES"/>
        </w:rPr>
        <w:t>Los indicadores del p</w:t>
      </w:r>
      <w:r w:rsidRPr="00F22602">
        <w:rPr>
          <w:lang w:val="es-ES"/>
        </w:rPr>
        <w:t xml:space="preserve">rograma deben permitir </w:t>
      </w:r>
      <w:r>
        <w:rPr>
          <w:lang w:val="es-ES"/>
        </w:rPr>
        <w:t xml:space="preserve">responder, aunque sea </w:t>
      </w:r>
      <w:r w:rsidR="005B1DE3" w:rsidRPr="00F22602">
        <w:rPr>
          <w:lang w:val="es-ES"/>
        </w:rPr>
        <w:t>mínimamente, a</w:t>
      </w:r>
      <w:r w:rsidRPr="00F22602">
        <w:rPr>
          <w:lang w:val="es-ES"/>
        </w:rPr>
        <w:t xml:space="preserve"> las siguientes preguntas:</w:t>
      </w:r>
    </w:p>
    <w:p w14:paraId="02B48C35" w14:textId="77777777" w:rsidR="00085CC2" w:rsidRDefault="00085CC2" w:rsidP="00085CC2">
      <w:pPr>
        <w:pStyle w:val="Bullet1"/>
        <w:numPr>
          <w:ilvl w:val="0"/>
          <w:numId w:val="0"/>
        </w:numPr>
        <w:ind w:left="720" w:firstLine="360"/>
        <w:rPr>
          <w:lang w:val="es-ES"/>
        </w:rPr>
      </w:pPr>
      <w:r w:rsidRPr="00085CC2">
        <w:rPr>
          <w:lang w:val="es-ES"/>
        </w:rPr>
        <w:t xml:space="preserve">o </w:t>
      </w:r>
      <w:proofErr w:type="gramStart"/>
      <w:r w:rsidRPr="00085CC2">
        <w:rPr>
          <w:lang w:val="es-ES"/>
        </w:rPr>
        <w:t xml:space="preserve">   </w:t>
      </w:r>
      <w:r w:rsidR="00D27DA1">
        <w:rPr>
          <w:lang w:val="es-ES"/>
        </w:rPr>
        <w:t>¿</w:t>
      </w:r>
      <w:proofErr w:type="gramEnd"/>
      <w:r w:rsidR="00D27DA1">
        <w:rPr>
          <w:lang w:val="es-ES"/>
        </w:rPr>
        <w:t>L</w:t>
      </w:r>
      <w:r w:rsidR="00F22602">
        <w:rPr>
          <w:lang w:val="es-ES"/>
        </w:rPr>
        <w:t>os b</w:t>
      </w:r>
      <w:r w:rsidR="00F22602" w:rsidRPr="00F22602">
        <w:rPr>
          <w:lang w:val="es-ES"/>
        </w:rPr>
        <w:t>eneficiarios</w:t>
      </w:r>
      <w:r w:rsidR="00F22602">
        <w:rPr>
          <w:lang w:val="es-ES"/>
        </w:rPr>
        <w:t xml:space="preserve"> </w:t>
      </w:r>
      <w:r w:rsidR="00F22602" w:rsidRPr="00F22602">
        <w:rPr>
          <w:lang w:val="es-ES"/>
        </w:rPr>
        <w:t xml:space="preserve">recibieron </w:t>
      </w:r>
      <w:r w:rsidR="00F22602">
        <w:rPr>
          <w:lang w:val="es-ES"/>
        </w:rPr>
        <w:t xml:space="preserve">el montante total de </w:t>
      </w:r>
      <w:r w:rsidR="00F22602" w:rsidRPr="00F22602">
        <w:rPr>
          <w:lang w:val="es-ES"/>
        </w:rPr>
        <w:t xml:space="preserve">la transferencia en </w:t>
      </w:r>
      <w:r w:rsidR="00F22602">
        <w:rPr>
          <w:lang w:val="es-ES"/>
        </w:rPr>
        <w:t xml:space="preserve">los </w:t>
      </w:r>
      <w:r w:rsidR="00F22602" w:rsidRPr="00F22602">
        <w:rPr>
          <w:lang w:val="es-ES"/>
        </w:rPr>
        <w:t xml:space="preserve">intervalos </w:t>
      </w:r>
    </w:p>
    <w:p w14:paraId="5D917541" w14:textId="7DF6DE21" w:rsidR="00F22602" w:rsidRPr="00F22602" w:rsidRDefault="00F22602" w:rsidP="00085CC2">
      <w:pPr>
        <w:pStyle w:val="Bullet1"/>
        <w:numPr>
          <w:ilvl w:val="0"/>
          <w:numId w:val="0"/>
        </w:numPr>
        <w:ind w:left="720" w:firstLine="360"/>
        <w:rPr>
          <w:lang w:val="es-ES"/>
        </w:rPr>
      </w:pPr>
      <w:r w:rsidRPr="00F22602">
        <w:rPr>
          <w:lang w:val="es-ES"/>
        </w:rPr>
        <w:t>acordados?</w:t>
      </w:r>
    </w:p>
    <w:p w14:paraId="304C18D4" w14:textId="4301BB0C" w:rsidR="00F22602" w:rsidRPr="00F22602" w:rsidRDefault="00F22602" w:rsidP="00F22602">
      <w:pPr>
        <w:pStyle w:val="Bullet1"/>
        <w:numPr>
          <w:ilvl w:val="0"/>
          <w:numId w:val="0"/>
        </w:numPr>
        <w:ind w:left="1080"/>
        <w:rPr>
          <w:lang w:val="es-ES"/>
        </w:rPr>
      </w:pPr>
      <w:r w:rsidRPr="00F22602">
        <w:rPr>
          <w:lang w:val="es-ES"/>
        </w:rPr>
        <w:t xml:space="preserve">o </w:t>
      </w:r>
      <w:proofErr w:type="gramStart"/>
      <w:r>
        <w:rPr>
          <w:lang w:val="es-ES"/>
        </w:rPr>
        <w:t xml:space="preserve">   ¿</w:t>
      </w:r>
      <w:proofErr w:type="gramEnd"/>
      <w:r w:rsidRPr="00F22602">
        <w:rPr>
          <w:lang w:val="es-ES"/>
        </w:rPr>
        <w:t xml:space="preserve">Cómo fue gastado el dinero </w:t>
      </w:r>
      <w:r>
        <w:rPr>
          <w:lang w:val="es-ES"/>
        </w:rPr>
        <w:t>por parte de los hogares</w:t>
      </w:r>
      <w:r w:rsidRPr="00F22602">
        <w:rPr>
          <w:lang w:val="es-ES"/>
        </w:rPr>
        <w:t>?</w:t>
      </w:r>
    </w:p>
    <w:p w14:paraId="72614B2A" w14:textId="21BE71A2" w:rsidR="00F22602" w:rsidRPr="00F22602" w:rsidRDefault="00F22602" w:rsidP="00F22602">
      <w:pPr>
        <w:pStyle w:val="Bullet1"/>
        <w:numPr>
          <w:ilvl w:val="0"/>
          <w:numId w:val="0"/>
        </w:numPr>
        <w:ind w:left="1080"/>
        <w:rPr>
          <w:lang w:val="es-ES"/>
        </w:rPr>
      </w:pPr>
      <w:r w:rsidRPr="00F22602">
        <w:rPr>
          <w:lang w:val="es-ES"/>
        </w:rPr>
        <w:t xml:space="preserve">o </w:t>
      </w:r>
      <w:proofErr w:type="gramStart"/>
      <w:r>
        <w:rPr>
          <w:lang w:val="es-ES"/>
        </w:rPr>
        <w:t xml:space="preserve">   </w:t>
      </w:r>
      <w:r w:rsidR="00D27DA1">
        <w:rPr>
          <w:lang w:val="es-ES"/>
        </w:rPr>
        <w:t>¿</w:t>
      </w:r>
      <w:proofErr w:type="gramEnd"/>
      <w:r w:rsidR="00D27DA1">
        <w:rPr>
          <w:lang w:val="es-ES"/>
        </w:rPr>
        <w:t xml:space="preserve">Han </w:t>
      </w:r>
      <w:r w:rsidRPr="00F22602">
        <w:rPr>
          <w:lang w:val="es-ES"/>
        </w:rPr>
        <w:t>ocurri</w:t>
      </w:r>
      <w:r w:rsidR="00D27DA1">
        <w:rPr>
          <w:lang w:val="es-ES"/>
        </w:rPr>
        <w:t xml:space="preserve">do cambios </w:t>
      </w:r>
      <w:r w:rsidRPr="00F22602">
        <w:rPr>
          <w:lang w:val="es-ES"/>
        </w:rPr>
        <w:t>que pueden haber afectado a la idoneidad de la modalidad de respuesta elegida (por ejemplo, la calidad de los productos básicos, los problemas de seguridad, la violencia contra las mujeres y las niñas, el tra</w:t>
      </w:r>
      <w:r w:rsidR="00D27DA1">
        <w:rPr>
          <w:lang w:val="es-ES"/>
        </w:rPr>
        <w:t>bajo infantil, las tasas de mal</w:t>
      </w:r>
      <w:r w:rsidRPr="00F22602">
        <w:rPr>
          <w:lang w:val="es-ES"/>
        </w:rPr>
        <w:t>nutrición, etc.)?</w:t>
      </w:r>
    </w:p>
    <w:p w14:paraId="3BCB6B9D" w14:textId="2D714598" w:rsidR="00A22FB8" w:rsidRPr="002B1145" w:rsidRDefault="00D27DA1" w:rsidP="00D27DA1">
      <w:pPr>
        <w:pStyle w:val="Bullet1"/>
      </w:pPr>
      <w:r>
        <w:rPr>
          <w:lang w:val="es-ES"/>
        </w:rPr>
        <w:t xml:space="preserve">El </w:t>
      </w:r>
      <w:r w:rsidR="00F22602" w:rsidRPr="00D27DA1">
        <w:rPr>
          <w:lang w:val="es-ES"/>
        </w:rPr>
        <w:t xml:space="preserve">equipo de monitoreo debe estar capacitado y </w:t>
      </w:r>
      <w:r>
        <w:rPr>
          <w:lang w:val="es-ES"/>
        </w:rPr>
        <w:t xml:space="preserve">las herramientas se deben haber testado previamente </w:t>
      </w:r>
    </w:p>
    <w:p w14:paraId="17555BE7" w14:textId="674EA8D3" w:rsidR="00A22FB8" w:rsidRPr="00D27DA1" w:rsidRDefault="00A22FB8" w:rsidP="009F7A36">
      <w:pPr>
        <w:pStyle w:val="Heading2"/>
        <w:rPr>
          <w:lang w:val="es-ES"/>
        </w:rPr>
      </w:pPr>
      <w:r w:rsidRPr="00D27DA1">
        <w:rPr>
          <w:lang w:val="es-ES"/>
        </w:rPr>
        <w:t>S</w:t>
      </w:r>
      <w:r w:rsidR="00D27DA1" w:rsidRPr="00D27DA1">
        <w:rPr>
          <w:lang w:val="es-ES"/>
        </w:rPr>
        <w:t>UB-ETAPAS Y HERRAMIENTAS</w:t>
      </w:r>
    </w:p>
    <w:p w14:paraId="6E9E871A" w14:textId="14D66763" w:rsidR="00E66A9A" w:rsidRPr="00D27DA1" w:rsidRDefault="00B43B9E" w:rsidP="00397132">
      <w:pPr>
        <w:pStyle w:val="Heading3"/>
        <w:rPr>
          <w:lang w:val="es-ES"/>
        </w:rPr>
      </w:pPr>
      <w:r w:rsidRPr="00D27DA1">
        <w:rPr>
          <w:lang w:val="es-ES"/>
        </w:rPr>
        <w:t>De</w:t>
      </w:r>
      <w:r w:rsidR="00D27DA1" w:rsidRPr="00D27DA1">
        <w:rPr>
          <w:lang w:val="es-ES"/>
        </w:rPr>
        <w:t>sarrollar una estrategia de monitoreo y evaluaci</w:t>
      </w:r>
      <w:r w:rsidR="00D27DA1">
        <w:rPr>
          <w:lang w:val="es-ES"/>
        </w:rPr>
        <w:t xml:space="preserve">ón </w:t>
      </w:r>
    </w:p>
    <w:p w14:paraId="147DB989" w14:textId="71F41F59" w:rsidR="00D27DA1" w:rsidRPr="00D27DA1" w:rsidRDefault="00D27DA1" w:rsidP="00D27DA1">
      <w:pPr>
        <w:rPr>
          <w:lang w:val="es-ES"/>
        </w:rPr>
      </w:pPr>
      <w:r>
        <w:rPr>
          <w:lang w:val="es-ES"/>
        </w:rPr>
        <w:t xml:space="preserve">Los </w:t>
      </w:r>
      <w:r w:rsidR="009B0FA9">
        <w:rPr>
          <w:lang w:val="es-ES"/>
        </w:rPr>
        <w:t>i</w:t>
      </w:r>
      <w:r w:rsidRPr="00D27DA1">
        <w:rPr>
          <w:lang w:val="es-ES"/>
        </w:rPr>
        <w:t xml:space="preserve">ndicadores </w:t>
      </w:r>
      <w:r>
        <w:rPr>
          <w:lang w:val="es-ES"/>
        </w:rPr>
        <w:t>específicos de la intervención</w:t>
      </w:r>
      <w:r w:rsidRPr="00D27DA1">
        <w:rPr>
          <w:lang w:val="es-ES"/>
        </w:rPr>
        <w:t xml:space="preserve"> (indicadores de </w:t>
      </w:r>
      <w:r w:rsidR="009B0FA9">
        <w:rPr>
          <w:lang w:val="es-ES"/>
        </w:rPr>
        <w:t>objetivos</w:t>
      </w:r>
      <w:r w:rsidRPr="00D27DA1">
        <w:rPr>
          <w:lang w:val="es-ES"/>
        </w:rPr>
        <w:t xml:space="preserve">, indicadores de resultados, indicadores de </w:t>
      </w:r>
      <w:r w:rsidR="009B0FA9">
        <w:rPr>
          <w:lang w:val="es-ES"/>
        </w:rPr>
        <w:t>actividades</w:t>
      </w:r>
      <w:r w:rsidRPr="00D27DA1">
        <w:rPr>
          <w:lang w:val="es-ES"/>
        </w:rPr>
        <w:t>) se han d</w:t>
      </w:r>
      <w:r w:rsidR="009B0FA9">
        <w:rPr>
          <w:lang w:val="es-ES"/>
        </w:rPr>
        <w:t xml:space="preserve">esarrollado durante el diseño </w:t>
      </w:r>
      <w:r w:rsidRPr="00D27DA1">
        <w:rPr>
          <w:lang w:val="es-ES"/>
        </w:rPr>
        <w:t>de</w:t>
      </w:r>
      <w:r w:rsidR="009B0FA9">
        <w:rPr>
          <w:lang w:val="es-ES"/>
        </w:rPr>
        <w:t>l</w:t>
      </w:r>
      <w:r w:rsidRPr="00D27DA1">
        <w:rPr>
          <w:lang w:val="es-ES"/>
        </w:rPr>
        <w:t xml:space="preserve"> programa para el marco lógico. En las herramientas de </w:t>
      </w:r>
      <w:r w:rsidR="009B0FA9">
        <w:rPr>
          <w:lang w:val="es-ES"/>
        </w:rPr>
        <w:t xml:space="preserve">las </w:t>
      </w:r>
      <w:r w:rsidRPr="00D27DA1">
        <w:rPr>
          <w:lang w:val="es-ES"/>
        </w:rPr>
        <w:t>sub-</w:t>
      </w:r>
      <w:r w:rsidR="009B0FA9">
        <w:rPr>
          <w:lang w:val="es-ES"/>
        </w:rPr>
        <w:t>etapas</w:t>
      </w:r>
      <w:r w:rsidRPr="00D27DA1">
        <w:rPr>
          <w:lang w:val="es-ES"/>
        </w:rPr>
        <w:t xml:space="preserve">, </w:t>
      </w:r>
      <w:r w:rsidR="00A51164">
        <w:rPr>
          <w:lang w:val="es-ES"/>
        </w:rPr>
        <w:t xml:space="preserve">se </w:t>
      </w:r>
      <w:r w:rsidRPr="00D27DA1">
        <w:rPr>
          <w:lang w:val="es-ES"/>
        </w:rPr>
        <w:t>enc</w:t>
      </w:r>
      <w:r w:rsidR="00A51164">
        <w:rPr>
          <w:lang w:val="es-ES"/>
        </w:rPr>
        <w:t xml:space="preserve">uentra </w:t>
      </w:r>
      <w:r w:rsidRPr="00D27DA1">
        <w:rPr>
          <w:lang w:val="es-ES"/>
        </w:rPr>
        <w:t xml:space="preserve">un marco lógico y una lista de </w:t>
      </w:r>
      <w:r w:rsidR="00A51164">
        <w:rPr>
          <w:lang w:val="es-ES"/>
        </w:rPr>
        <w:t xml:space="preserve">verificación </w:t>
      </w:r>
      <w:r w:rsidRPr="00D27DA1">
        <w:rPr>
          <w:lang w:val="es-ES"/>
        </w:rPr>
        <w:t xml:space="preserve">de los elementos clave a tener en cuenta al supervisar el proceso y el impacto de un </w:t>
      </w:r>
      <w:r w:rsidR="00A51164">
        <w:rPr>
          <w:lang w:val="es-ES"/>
        </w:rPr>
        <w:t>PTE</w:t>
      </w:r>
      <w:r w:rsidRPr="00D27DA1">
        <w:rPr>
          <w:lang w:val="es-ES"/>
        </w:rPr>
        <w:t>.</w:t>
      </w:r>
    </w:p>
    <w:p w14:paraId="3643866D" w14:textId="200329BF" w:rsidR="00D27DA1" w:rsidRPr="00D27DA1" w:rsidRDefault="00A51164" w:rsidP="00D27DA1">
      <w:pPr>
        <w:rPr>
          <w:lang w:val="es-ES"/>
        </w:rPr>
      </w:pPr>
      <w:r>
        <w:rPr>
          <w:lang w:val="es-ES"/>
        </w:rPr>
        <w:t xml:space="preserve">Basándose </w:t>
      </w:r>
      <w:r w:rsidR="00D27DA1" w:rsidRPr="00D27DA1">
        <w:rPr>
          <w:lang w:val="es-ES"/>
        </w:rPr>
        <w:t xml:space="preserve">en el marco lógico, </w:t>
      </w:r>
      <w:r w:rsidR="00085CC2">
        <w:rPr>
          <w:lang w:val="es-ES"/>
        </w:rPr>
        <w:t xml:space="preserve">se </w:t>
      </w:r>
      <w:r w:rsidR="00D27DA1" w:rsidRPr="00D27DA1">
        <w:rPr>
          <w:lang w:val="es-ES"/>
        </w:rPr>
        <w:t>debe desarrollar:</w:t>
      </w:r>
    </w:p>
    <w:p w14:paraId="5788CC47" w14:textId="77777777" w:rsidR="00D27DA1" w:rsidRPr="00D27DA1" w:rsidRDefault="00D27DA1" w:rsidP="00D27DA1">
      <w:pPr>
        <w:rPr>
          <w:lang w:val="es-ES"/>
        </w:rPr>
      </w:pPr>
    </w:p>
    <w:p w14:paraId="3611A0FA" w14:textId="77777777" w:rsidR="00D27DA1" w:rsidRPr="00D27DA1" w:rsidRDefault="00D27DA1" w:rsidP="00D27DA1">
      <w:pPr>
        <w:rPr>
          <w:lang w:val="es-ES"/>
        </w:rPr>
      </w:pPr>
    </w:p>
    <w:p w14:paraId="5D5960D9" w14:textId="77777777" w:rsidR="00D27DA1" w:rsidRPr="00D27DA1" w:rsidRDefault="00D27DA1" w:rsidP="00D27DA1">
      <w:pPr>
        <w:rPr>
          <w:lang w:val="es-ES"/>
        </w:rPr>
      </w:pPr>
    </w:p>
    <w:p w14:paraId="48E5505B" w14:textId="77777777" w:rsidR="00D27DA1" w:rsidRPr="00D27DA1" w:rsidRDefault="00D27DA1" w:rsidP="00D27DA1">
      <w:pPr>
        <w:rPr>
          <w:lang w:val="es-ES"/>
        </w:rPr>
      </w:pPr>
    </w:p>
    <w:p w14:paraId="55604E6D" w14:textId="4BD7E549" w:rsidR="00A51164" w:rsidRPr="00A51164" w:rsidRDefault="00A51164" w:rsidP="00A51164">
      <w:pPr>
        <w:pStyle w:val="Bullet2"/>
        <w:rPr>
          <w:lang w:val="es-ES"/>
        </w:rPr>
      </w:pPr>
      <w:r w:rsidRPr="00A51164">
        <w:rPr>
          <w:lang w:val="es-ES"/>
        </w:rPr>
        <w:t xml:space="preserve">Un plan de trabajo de </w:t>
      </w:r>
      <w:r>
        <w:rPr>
          <w:lang w:val="es-ES"/>
        </w:rPr>
        <w:t>monitoreo y evaluación</w:t>
      </w:r>
      <w:r w:rsidRPr="00A51164">
        <w:rPr>
          <w:lang w:val="es-ES"/>
        </w:rPr>
        <w:t>, que detalla todas las actividades necesarias para garantizar un proceso de</w:t>
      </w:r>
      <w:r>
        <w:rPr>
          <w:lang w:val="es-ES"/>
        </w:rPr>
        <w:t xml:space="preserve"> seguimiento y evaluación fluida</w:t>
      </w:r>
      <w:r w:rsidRPr="00A51164">
        <w:rPr>
          <w:lang w:val="es-ES"/>
        </w:rPr>
        <w:t xml:space="preserve">, y proporcionar una indicación clara de quién es responsable de cada actividad, con </w:t>
      </w:r>
      <w:r>
        <w:rPr>
          <w:lang w:val="es-ES"/>
        </w:rPr>
        <w:t xml:space="preserve">quién se </w:t>
      </w:r>
      <w:r w:rsidRPr="00A51164">
        <w:rPr>
          <w:lang w:val="es-ES"/>
        </w:rPr>
        <w:t>debe coordinar la persona responsable, y cu</w:t>
      </w:r>
      <w:r>
        <w:rPr>
          <w:lang w:val="es-ES"/>
        </w:rPr>
        <w:t>á</w:t>
      </w:r>
      <w:r w:rsidRPr="00A51164">
        <w:rPr>
          <w:lang w:val="es-ES"/>
        </w:rPr>
        <w:t>ndo se debe realizar cada actividad.</w:t>
      </w:r>
    </w:p>
    <w:p w14:paraId="1762653B" w14:textId="1816A730" w:rsidR="00A51164" w:rsidRDefault="00A51164" w:rsidP="00A51164">
      <w:pPr>
        <w:pStyle w:val="Bullet2"/>
        <w:rPr>
          <w:lang w:val="es-ES"/>
        </w:rPr>
      </w:pPr>
      <w:r w:rsidRPr="00A51164">
        <w:rPr>
          <w:lang w:val="es-ES"/>
        </w:rPr>
        <w:t xml:space="preserve">Una matriz de </w:t>
      </w:r>
      <w:r>
        <w:rPr>
          <w:lang w:val="es-ES"/>
        </w:rPr>
        <w:t>monitoreo y evaluación que incluya</w:t>
      </w:r>
      <w:r w:rsidRPr="00A51164">
        <w:rPr>
          <w:lang w:val="es-ES"/>
        </w:rPr>
        <w:t xml:space="preserve"> todos los indicadores </w:t>
      </w:r>
      <w:r>
        <w:rPr>
          <w:lang w:val="es-ES"/>
        </w:rPr>
        <w:t xml:space="preserve">que deben </w:t>
      </w:r>
      <w:r w:rsidRPr="00A51164">
        <w:rPr>
          <w:lang w:val="es-ES"/>
        </w:rPr>
        <w:t xml:space="preserve">ser monitoreados. Para cada indicador, la matriz debe enumerar: </w:t>
      </w:r>
      <w:r w:rsidR="009009DE">
        <w:rPr>
          <w:lang w:val="es-ES"/>
        </w:rPr>
        <w:t xml:space="preserve">qué </w:t>
      </w:r>
      <w:r w:rsidR="009009DE" w:rsidRPr="00A51164">
        <w:rPr>
          <w:lang w:val="es-ES"/>
        </w:rPr>
        <w:t>fuentes de</w:t>
      </w:r>
      <w:r w:rsidR="009009DE">
        <w:rPr>
          <w:lang w:val="es-ES"/>
        </w:rPr>
        <w:t xml:space="preserve"> información </w:t>
      </w:r>
      <w:r w:rsidR="009009DE" w:rsidRPr="00A51164">
        <w:rPr>
          <w:lang w:val="es-ES"/>
        </w:rPr>
        <w:t>y métodos de recolección se</w:t>
      </w:r>
      <w:r w:rsidRPr="00A51164">
        <w:rPr>
          <w:lang w:val="es-ES"/>
        </w:rPr>
        <w:t xml:space="preserve"> deben utilizar, con qué frecuencia se deben recoger los datos y por quién, y cómo se utilizarán los datos de seguimiento. </w:t>
      </w:r>
      <w:r w:rsidR="009009DE">
        <w:rPr>
          <w:lang w:val="es-ES"/>
        </w:rPr>
        <w:t>L</w:t>
      </w:r>
      <w:r w:rsidR="009009DE" w:rsidRPr="00A51164">
        <w:rPr>
          <w:lang w:val="es-ES"/>
        </w:rPr>
        <w:t xml:space="preserve">os métodos más comúnmente utilizados en el monitoreo </w:t>
      </w:r>
      <w:r w:rsidR="009009DE">
        <w:rPr>
          <w:lang w:val="es-ES"/>
        </w:rPr>
        <w:t xml:space="preserve">de PTE son los diálogos </w:t>
      </w:r>
      <w:r w:rsidRPr="00A51164">
        <w:rPr>
          <w:lang w:val="es-ES"/>
        </w:rPr>
        <w:t xml:space="preserve">en grupos focales, </w:t>
      </w:r>
      <w:r w:rsidR="009009DE">
        <w:rPr>
          <w:lang w:val="es-ES"/>
        </w:rPr>
        <w:t xml:space="preserve">las </w:t>
      </w:r>
      <w:r w:rsidRPr="00A51164">
        <w:rPr>
          <w:lang w:val="es-ES"/>
        </w:rPr>
        <w:t xml:space="preserve">entrevistas a informantes clave y </w:t>
      </w:r>
      <w:r w:rsidR="009009DE">
        <w:rPr>
          <w:lang w:val="es-ES"/>
        </w:rPr>
        <w:t xml:space="preserve">las </w:t>
      </w:r>
      <w:r w:rsidRPr="00A51164">
        <w:rPr>
          <w:lang w:val="es-ES"/>
        </w:rPr>
        <w:t xml:space="preserve">encuestas de hogares. Como regla general, </w:t>
      </w:r>
      <w:r w:rsidR="009009DE">
        <w:rPr>
          <w:lang w:val="es-ES"/>
        </w:rPr>
        <w:t xml:space="preserve">se deben </w:t>
      </w:r>
      <w:r w:rsidRPr="00A51164">
        <w:rPr>
          <w:lang w:val="es-ES"/>
        </w:rPr>
        <w:t xml:space="preserve">incluir componentes cuantitativos y cualitativos, y </w:t>
      </w:r>
      <w:r w:rsidR="00085CC2">
        <w:rPr>
          <w:lang w:val="es-ES"/>
        </w:rPr>
        <w:t>se debe</w:t>
      </w:r>
      <w:r w:rsidR="009009DE">
        <w:rPr>
          <w:lang w:val="es-ES"/>
        </w:rPr>
        <w:t xml:space="preserve"> triangular la información que lo requiera. Se debe tener </w:t>
      </w:r>
      <w:r w:rsidRPr="00A51164">
        <w:rPr>
          <w:lang w:val="es-ES"/>
        </w:rPr>
        <w:t xml:space="preserve">en cuenta que el uso de una variedad de métodos y una gama de encuestados (por ejemplo, los beneficiarios y no beneficiarios, hombres y mujeres, etc.) </w:t>
      </w:r>
      <w:r w:rsidR="009009DE">
        <w:rPr>
          <w:lang w:val="es-ES"/>
        </w:rPr>
        <w:t xml:space="preserve"> permite</w:t>
      </w:r>
      <w:r w:rsidRPr="00A51164">
        <w:rPr>
          <w:lang w:val="es-ES"/>
        </w:rPr>
        <w:t xml:space="preserve"> cruzar </w:t>
      </w:r>
      <w:r w:rsidR="009009DE">
        <w:rPr>
          <w:lang w:val="es-ES"/>
        </w:rPr>
        <w:t xml:space="preserve">la información </w:t>
      </w:r>
      <w:r w:rsidR="005B1DE3">
        <w:rPr>
          <w:lang w:val="es-ES"/>
        </w:rPr>
        <w:t>y,</w:t>
      </w:r>
      <w:r w:rsidR="009009DE">
        <w:rPr>
          <w:lang w:val="es-ES"/>
        </w:rPr>
        <w:t xml:space="preserve"> por lo tanto, </w:t>
      </w:r>
      <w:r w:rsidRPr="00A51164">
        <w:rPr>
          <w:lang w:val="es-ES"/>
        </w:rPr>
        <w:t>tener una mayor confianza en los resultados</w:t>
      </w:r>
      <w:r w:rsidR="00EA1366">
        <w:rPr>
          <w:lang w:val="es-ES"/>
        </w:rPr>
        <w:t>.</w:t>
      </w:r>
    </w:p>
    <w:p w14:paraId="64F20089" w14:textId="60CCE9C7" w:rsidR="00EA1366" w:rsidRPr="00EA1366" w:rsidRDefault="00EA1366" w:rsidP="00EA1366">
      <w:pPr>
        <w:rPr>
          <w:lang w:val="es-ES"/>
        </w:rPr>
      </w:pPr>
      <w:r w:rsidRPr="00EA1366">
        <w:rPr>
          <w:lang w:val="es-ES"/>
        </w:rPr>
        <w:t xml:space="preserve">En las herramientas de </w:t>
      </w:r>
      <w:r>
        <w:rPr>
          <w:lang w:val="es-ES"/>
        </w:rPr>
        <w:t xml:space="preserve">las </w:t>
      </w:r>
      <w:r w:rsidRPr="00EA1366">
        <w:rPr>
          <w:lang w:val="es-ES"/>
        </w:rPr>
        <w:t>sub-</w:t>
      </w:r>
      <w:r>
        <w:rPr>
          <w:lang w:val="es-ES"/>
        </w:rPr>
        <w:t xml:space="preserve">etapas </w:t>
      </w:r>
      <w:r w:rsidRPr="00EA1366">
        <w:rPr>
          <w:lang w:val="es-ES"/>
        </w:rPr>
        <w:t xml:space="preserve">se encuentra un plan de trabajo de </w:t>
      </w:r>
      <w:r>
        <w:rPr>
          <w:lang w:val="es-ES"/>
        </w:rPr>
        <w:t xml:space="preserve">monitoreo y evaluación </w:t>
      </w:r>
      <w:r w:rsidRPr="00EA1366">
        <w:rPr>
          <w:lang w:val="es-ES"/>
        </w:rPr>
        <w:t>y las plantillas de la matriz.</w:t>
      </w:r>
    </w:p>
    <w:p w14:paraId="24400AC8" w14:textId="6A4308FE" w:rsidR="00EA1366" w:rsidRPr="00EA1366" w:rsidRDefault="00EA1366" w:rsidP="00EA1366">
      <w:pPr>
        <w:rPr>
          <w:lang w:val="es-ES"/>
        </w:rPr>
      </w:pPr>
      <w:r>
        <w:rPr>
          <w:lang w:val="es-ES"/>
        </w:rPr>
        <w:t xml:space="preserve">El muestreo es una </w:t>
      </w:r>
      <w:r w:rsidRPr="00EA1366">
        <w:rPr>
          <w:lang w:val="es-ES"/>
        </w:rPr>
        <w:t>inform</w:t>
      </w:r>
      <w:r w:rsidR="00085CC2">
        <w:rPr>
          <w:lang w:val="es-ES"/>
        </w:rPr>
        <w:t>ación clave que no está incluida</w:t>
      </w:r>
      <w:r w:rsidRPr="00EA1366">
        <w:rPr>
          <w:lang w:val="es-ES"/>
        </w:rPr>
        <w:t xml:space="preserve"> en la matriz de </w:t>
      </w:r>
      <w:r>
        <w:rPr>
          <w:lang w:val="es-ES"/>
        </w:rPr>
        <w:t>monitoreo y evaluación</w:t>
      </w:r>
      <w:r w:rsidRPr="00EA1366">
        <w:rPr>
          <w:lang w:val="es-ES"/>
        </w:rPr>
        <w:t xml:space="preserve">, pero </w:t>
      </w:r>
      <w:r>
        <w:rPr>
          <w:lang w:val="es-ES"/>
        </w:rPr>
        <w:t xml:space="preserve">que </w:t>
      </w:r>
      <w:r w:rsidR="00085CC2">
        <w:rPr>
          <w:lang w:val="es-ES"/>
        </w:rPr>
        <w:t>debe ser definida</w:t>
      </w:r>
      <w:r w:rsidRPr="00EA1366">
        <w:rPr>
          <w:lang w:val="es-ES"/>
        </w:rPr>
        <w:t xml:space="preserve"> antes de la recogida de datos. El muestreo se refiere al número de personas, tiendas, comerciantes, representantes de proveedores de servicios, etc., que se van a </w:t>
      </w:r>
      <w:r>
        <w:rPr>
          <w:lang w:val="es-ES"/>
        </w:rPr>
        <w:t xml:space="preserve">monitorear </w:t>
      </w:r>
      <w:r w:rsidRPr="00EA1366">
        <w:rPr>
          <w:lang w:val="es-ES"/>
        </w:rPr>
        <w:t>por mes, y/o el número de sitios de distribución/de cobro a ser visitado</w:t>
      </w:r>
      <w:r>
        <w:rPr>
          <w:lang w:val="es-ES"/>
        </w:rPr>
        <w:t>s</w:t>
      </w:r>
      <w:r w:rsidRPr="00EA1366">
        <w:rPr>
          <w:lang w:val="es-ES"/>
        </w:rPr>
        <w:t xml:space="preserve"> para el seguimiento de cada mes. En las herramientas de </w:t>
      </w:r>
      <w:r>
        <w:rPr>
          <w:lang w:val="es-ES"/>
        </w:rPr>
        <w:t xml:space="preserve">las </w:t>
      </w:r>
      <w:r w:rsidRPr="00EA1366">
        <w:rPr>
          <w:lang w:val="es-ES"/>
        </w:rPr>
        <w:t>sub-</w:t>
      </w:r>
      <w:r>
        <w:rPr>
          <w:lang w:val="es-ES"/>
        </w:rPr>
        <w:t xml:space="preserve">etapas </w:t>
      </w:r>
      <w:r w:rsidRPr="00EA1366">
        <w:rPr>
          <w:lang w:val="es-ES"/>
        </w:rPr>
        <w:t>encontrará una calculadora muestra de la encuesta y una breve orientaci</w:t>
      </w:r>
      <w:r w:rsidR="00756CE0">
        <w:rPr>
          <w:lang w:val="es-ES"/>
        </w:rPr>
        <w:t>ón sobre</w:t>
      </w:r>
      <w:r w:rsidRPr="00EA1366">
        <w:rPr>
          <w:lang w:val="es-ES"/>
        </w:rPr>
        <w:t xml:space="preserve"> muestreo. Estas herramientas pueden ayudarle a establecer objetivos de verificación física.</w:t>
      </w:r>
    </w:p>
    <w:p w14:paraId="404D1F84" w14:textId="15074E61" w:rsidR="00E66A9A" w:rsidRPr="00756CE0" w:rsidRDefault="00756CE0" w:rsidP="00397132">
      <w:pPr>
        <w:pStyle w:val="Heading3"/>
        <w:rPr>
          <w:lang w:val="es-ES"/>
        </w:rPr>
      </w:pPr>
      <w:r>
        <w:rPr>
          <w:lang w:val="es-ES"/>
        </w:rPr>
        <w:t>Aumentar la capacidad del personal</w:t>
      </w:r>
    </w:p>
    <w:p w14:paraId="69732D98" w14:textId="5E1438DF" w:rsidR="00756CE0" w:rsidRPr="005B1DE3" w:rsidRDefault="00756CE0" w:rsidP="00756CE0">
      <w:pPr>
        <w:spacing w:after="360"/>
        <w:rPr>
          <w:lang w:val="es-ES"/>
        </w:rPr>
      </w:pPr>
      <w:r w:rsidRPr="00756CE0">
        <w:rPr>
          <w:lang w:val="es-ES"/>
        </w:rPr>
        <w:t xml:space="preserve">La calidad y la fiabilidad de los resultados del monitoreo y </w:t>
      </w:r>
      <w:r>
        <w:rPr>
          <w:lang w:val="es-ES"/>
        </w:rPr>
        <w:t xml:space="preserve">las </w:t>
      </w:r>
      <w:r w:rsidRPr="00756CE0">
        <w:rPr>
          <w:lang w:val="es-ES"/>
        </w:rPr>
        <w:t xml:space="preserve">recomendaciones dependen en gran medida de la capacidad del equipo de </w:t>
      </w:r>
      <w:r>
        <w:rPr>
          <w:lang w:val="es-ES"/>
        </w:rPr>
        <w:t xml:space="preserve">monitoreo y evaluación. </w:t>
      </w:r>
      <w:r w:rsidRPr="00756CE0">
        <w:rPr>
          <w:lang w:val="es-ES"/>
        </w:rPr>
        <w:t xml:space="preserve">Por lo tanto, los voluntarios y el personal que van a participar en la recolección y </w:t>
      </w:r>
      <w:r>
        <w:rPr>
          <w:lang w:val="es-ES"/>
        </w:rPr>
        <w:t xml:space="preserve">el </w:t>
      </w:r>
      <w:r w:rsidRPr="00756CE0">
        <w:rPr>
          <w:lang w:val="es-ES"/>
        </w:rPr>
        <w:t xml:space="preserve">análisis de datos deben ser </w:t>
      </w:r>
      <w:r>
        <w:rPr>
          <w:lang w:val="es-ES"/>
        </w:rPr>
        <w:t xml:space="preserve">capacitados. </w:t>
      </w:r>
      <w:r w:rsidRPr="00756CE0">
        <w:rPr>
          <w:lang w:val="es-ES"/>
        </w:rPr>
        <w:t xml:space="preserve">En las herramientas de </w:t>
      </w:r>
      <w:r>
        <w:rPr>
          <w:lang w:val="es-ES"/>
        </w:rPr>
        <w:t xml:space="preserve">las </w:t>
      </w:r>
      <w:r w:rsidRPr="00756CE0">
        <w:rPr>
          <w:lang w:val="es-ES"/>
        </w:rPr>
        <w:t>sub-</w:t>
      </w:r>
      <w:r>
        <w:rPr>
          <w:lang w:val="es-ES"/>
        </w:rPr>
        <w:t xml:space="preserve">etapas </w:t>
      </w:r>
      <w:r w:rsidRPr="00756CE0">
        <w:rPr>
          <w:lang w:val="es-ES"/>
        </w:rPr>
        <w:t>se encuentra una presentación de Pow</w:t>
      </w:r>
      <w:r>
        <w:rPr>
          <w:lang w:val="es-ES"/>
        </w:rPr>
        <w:t>erPoint introductoria</w:t>
      </w:r>
      <w:r w:rsidR="00085CC2">
        <w:rPr>
          <w:lang w:val="es-ES"/>
        </w:rPr>
        <w:t>,</w:t>
      </w:r>
      <w:r>
        <w:rPr>
          <w:lang w:val="es-ES"/>
        </w:rPr>
        <w:t xml:space="preserve"> acompañada</w:t>
      </w:r>
      <w:r w:rsidRPr="00756CE0">
        <w:rPr>
          <w:lang w:val="es-ES"/>
        </w:rPr>
        <w:t xml:space="preserve"> de las no</w:t>
      </w:r>
      <w:r w:rsidR="005B1DE3">
        <w:rPr>
          <w:lang w:val="es-ES"/>
        </w:rPr>
        <w:t>tas del facilitador</w:t>
      </w:r>
      <w:r w:rsidR="00085CC2">
        <w:rPr>
          <w:lang w:val="es-ES"/>
        </w:rPr>
        <w:t>,</w:t>
      </w:r>
      <w:bookmarkStart w:id="0" w:name="_GoBack"/>
      <w:bookmarkEnd w:id="0"/>
      <w:r w:rsidR="005B1DE3">
        <w:rPr>
          <w:lang w:val="es-ES"/>
        </w:rPr>
        <w:t xml:space="preserve"> dirigida</w:t>
      </w:r>
      <w:r w:rsidRPr="00756CE0">
        <w:rPr>
          <w:lang w:val="es-ES"/>
        </w:rPr>
        <w:t xml:space="preserve">s a personal técnico y </w:t>
      </w:r>
      <w:r w:rsidR="005B1DE3">
        <w:rPr>
          <w:lang w:val="es-ES"/>
        </w:rPr>
        <w:t xml:space="preserve">cuadros intermedios </w:t>
      </w:r>
      <w:r w:rsidRPr="00756CE0">
        <w:rPr>
          <w:lang w:val="es-ES"/>
        </w:rPr>
        <w:t xml:space="preserve">de gestión. </w:t>
      </w:r>
      <w:r w:rsidR="005B1DE3" w:rsidRPr="005B1DE3">
        <w:rPr>
          <w:lang w:val="es-ES"/>
        </w:rPr>
        <w:t xml:space="preserve">Además, se </w:t>
      </w:r>
      <w:r w:rsidR="005B1DE3">
        <w:rPr>
          <w:lang w:val="es-ES"/>
        </w:rPr>
        <w:t>encue</w:t>
      </w:r>
      <w:r w:rsidRPr="005B1DE3">
        <w:rPr>
          <w:lang w:val="es-ES"/>
        </w:rPr>
        <w:t xml:space="preserve">ntra </w:t>
      </w:r>
      <w:r w:rsidR="005B1DE3">
        <w:rPr>
          <w:lang w:val="es-ES"/>
        </w:rPr>
        <w:t xml:space="preserve">una </w:t>
      </w:r>
      <w:r w:rsidRPr="005B1DE3">
        <w:rPr>
          <w:lang w:val="es-ES"/>
        </w:rPr>
        <w:t xml:space="preserve">breve orientación sobre cómo llevar a cabo </w:t>
      </w:r>
      <w:r w:rsidR="005B1DE3" w:rsidRPr="005B1DE3">
        <w:rPr>
          <w:lang w:val="es-ES"/>
        </w:rPr>
        <w:t xml:space="preserve">entrevistas </w:t>
      </w:r>
      <w:r w:rsidR="005B1DE3">
        <w:rPr>
          <w:lang w:val="es-ES"/>
        </w:rPr>
        <w:t>y diálogos con</w:t>
      </w:r>
      <w:r w:rsidRPr="005B1DE3">
        <w:rPr>
          <w:lang w:val="es-ES"/>
        </w:rPr>
        <w:t xml:space="preserve"> grupos focales.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632"/>
      </w:tblGrid>
      <w:tr w:rsidR="00397132" w:rsidRPr="003A4129" w14:paraId="23518081" w14:textId="77777777" w:rsidTr="005B1DE3">
        <w:tc>
          <w:tcPr>
            <w:tcW w:w="9632" w:type="dxa"/>
          </w:tcPr>
          <w:p w14:paraId="2FEAF070" w14:textId="6CAF567D" w:rsidR="00397132" w:rsidRPr="00B23B74" w:rsidRDefault="005B1DE3" w:rsidP="00397132">
            <w:pPr>
              <w:pStyle w:val="RefTitre"/>
            </w:pPr>
            <w:r>
              <w:t xml:space="preserve">HERRAMIENTAS DE </w:t>
            </w:r>
            <w:r w:rsidR="00397132" w:rsidRPr="00B23B74">
              <w:t>REFERENC</w:t>
            </w:r>
            <w:r>
              <w:t xml:space="preserve">IA </w:t>
            </w:r>
          </w:p>
          <w:p w14:paraId="6316B6FD" w14:textId="7D562958" w:rsidR="00397132" w:rsidRPr="00B23B74" w:rsidRDefault="00397132" w:rsidP="00397132">
            <w:pPr>
              <w:pStyle w:val="RefItem1"/>
            </w:pPr>
            <w:r w:rsidRPr="00B23B74">
              <w:t>ICRC measuring</w:t>
            </w:r>
            <w:r>
              <w:t xml:space="preserve"> </w:t>
            </w:r>
            <w:r w:rsidRPr="00B23B74">
              <w:t xml:space="preserve">results 2009. </w:t>
            </w:r>
            <w:hyperlink r:id="rId7" w:history="1">
              <w:r w:rsidR="007841D1">
                <w:rPr>
                  <w:rStyle w:val="Hyperlink"/>
                  <w:rFonts w:ascii="Calibri" w:eastAsia="Times New Roman" w:hAnsi="Calibri"/>
                  <w:sz w:val="22"/>
                  <w:szCs w:val="22"/>
                </w:rPr>
                <w:t>http://www.icrc.org/eng/resources/documents/publication/p0995.htm</w:t>
              </w:r>
            </w:hyperlink>
          </w:p>
          <w:p w14:paraId="607C8043" w14:textId="5198561B" w:rsidR="00397132" w:rsidRPr="00397132" w:rsidRDefault="00397132" w:rsidP="00397132">
            <w:pPr>
              <w:pStyle w:val="RefItem1"/>
              <w:rPr>
                <w:sz w:val="22"/>
                <w:lang w:val="fr-FR"/>
              </w:rPr>
            </w:pPr>
            <w:r w:rsidRPr="00B23B74">
              <w:t xml:space="preserve">Non-food items and emergency shelter cluster guidelines on post-distribution monitoring. </w:t>
            </w:r>
            <w:r w:rsidRPr="00EE263E">
              <w:rPr>
                <w:lang w:val="fr-FR"/>
              </w:rPr>
              <w:t xml:space="preserve">IOM 2012. </w:t>
            </w:r>
            <w:hyperlink r:id="rId8" w:history="1">
              <w:r w:rsidRPr="007841D1">
                <w:rPr>
                  <w:rStyle w:val="Hyperlink"/>
                  <w:rFonts w:ascii="Calibri" w:eastAsia="Times New Roman" w:hAnsi="Calibri"/>
                  <w:sz w:val="22"/>
                  <w:szCs w:val="22"/>
                  <w:lang w:val="fr-FR"/>
                </w:rPr>
                <w:t>http://www.foodsecurity.nrc-handbooks.org/assets/NFI_ES_cluster_PDM_guidelines_July_2012-copy.pdf</w:t>
              </w:r>
            </w:hyperlink>
          </w:p>
        </w:tc>
      </w:tr>
    </w:tbl>
    <w:p w14:paraId="090F8191" w14:textId="77777777" w:rsidR="00B23B74" w:rsidRPr="00EE263E" w:rsidRDefault="00B23B74" w:rsidP="00397132">
      <w:pPr>
        <w:rPr>
          <w:sz w:val="22"/>
          <w:lang w:val="fr-FR"/>
        </w:rPr>
      </w:pPr>
    </w:p>
    <w:sectPr w:rsidR="00B23B74" w:rsidRPr="00EE263E" w:rsidSect="009F7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D373" w14:textId="77777777" w:rsidR="001509DB" w:rsidRDefault="001509DB">
      <w:r>
        <w:separator/>
      </w:r>
    </w:p>
  </w:endnote>
  <w:endnote w:type="continuationSeparator" w:id="0">
    <w:p w14:paraId="1F4C9D53" w14:textId="77777777" w:rsidR="001509DB" w:rsidRDefault="001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A721" w14:textId="77777777" w:rsidR="005B1DE3" w:rsidRDefault="005B1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A869" w14:textId="67728A3D" w:rsidR="00044658" w:rsidRPr="00B45C74" w:rsidRDefault="0004465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85CC2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AA4B789" w14:textId="7596E5C5" w:rsidR="00044658" w:rsidRPr="00044658" w:rsidRDefault="005B1DE3" w:rsidP="00ED1B2B">
    <w:pPr>
      <w:pStyle w:val="Footer"/>
    </w:pPr>
    <w:proofErr w:type="spellStart"/>
    <w:r>
      <w:rPr>
        <w:b/>
      </w:rPr>
      <w:t>Módulo</w:t>
    </w:r>
    <w:proofErr w:type="spellEnd"/>
    <w:r>
      <w:rPr>
        <w:b/>
      </w:rPr>
      <w:t xml:space="preserve"> </w:t>
    </w:r>
    <w:r w:rsidR="00044658">
      <w:rPr>
        <w:b/>
      </w:rPr>
      <w:t>1</w:t>
    </w:r>
    <w:r w:rsidR="00044658" w:rsidRPr="00107E15">
      <w:rPr>
        <w:b/>
      </w:rPr>
      <w:t>.</w:t>
    </w:r>
    <w:r w:rsidR="00044658" w:rsidRPr="00107E15">
      <w:t xml:space="preserve"> </w:t>
    </w:r>
    <w:proofErr w:type="spellStart"/>
    <w:r>
      <w:t>Etapa</w:t>
    </w:r>
    <w:proofErr w:type="spellEnd"/>
    <w:r>
      <w:t xml:space="preserve"> </w:t>
    </w:r>
    <w:r w:rsidR="00044658">
      <w:t>2</w:t>
    </w:r>
    <w:r w:rsidR="00044658" w:rsidRPr="00107E15">
      <w:t>.</w:t>
    </w:r>
    <w:r w:rsidR="00044658">
      <w:t xml:space="preserve"> Sub-</w:t>
    </w:r>
    <w:proofErr w:type="spellStart"/>
    <w:r>
      <w:t>etapa</w:t>
    </w:r>
    <w:proofErr w:type="spellEnd"/>
    <w:r>
      <w:t xml:space="preserve"> </w:t>
    </w:r>
    <w:r w:rsidR="00044658">
      <w:t xml:space="preserve">8. </w:t>
    </w:r>
    <w:fldSimple w:instr=" STYLEREF  H1 \t  \* MERGEFORMAT ">
      <w:r w:rsidR="00085CC2" w:rsidRPr="00085CC2">
        <w:rPr>
          <w:bCs/>
          <w:noProof/>
        </w:rPr>
        <w:t>Hoja de ruta para la planificación de monitoreo y</w:t>
      </w:r>
      <w:r w:rsidR="00085CC2">
        <w:rPr>
          <w:noProof/>
        </w:rPr>
        <w:t xml:space="preserve"> evaluación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A1DF" w14:textId="77777777" w:rsidR="005B1DE3" w:rsidRDefault="005B1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5BCBB" w14:textId="77777777" w:rsidR="001509DB" w:rsidRDefault="001509DB">
      <w:r>
        <w:separator/>
      </w:r>
    </w:p>
  </w:footnote>
  <w:footnote w:type="continuationSeparator" w:id="0">
    <w:p w14:paraId="49721453" w14:textId="77777777" w:rsidR="001509DB" w:rsidRDefault="0015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9602" w14:textId="77777777" w:rsidR="005B1DE3" w:rsidRDefault="005B1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C9CC" w14:textId="77777777" w:rsidR="00EA3DB2" w:rsidRPr="00C746A5" w:rsidRDefault="00EA3DB2" w:rsidP="00EA3DB2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  <w:p w14:paraId="2B1240FF" w14:textId="77777777" w:rsidR="00EA3DB2" w:rsidRPr="00116760" w:rsidRDefault="00EA3DB2" w:rsidP="00EA3DB2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D1F8" w14:textId="77777777" w:rsidR="005B1DE3" w:rsidRDefault="005B1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78E508B"/>
    <w:multiLevelType w:val="hybridMultilevel"/>
    <w:tmpl w:val="BDAAD446"/>
    <w:lvl w:ilvl="0" w:tplc="1FFA0070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D1CE0"/>
    <w:multiLevelType w:val="hybridMultilevel"/>
    <w:tmpl w:val="CA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37"/>
  </w:num>
  <w:num w:numId="5">
    <w:abstractNumId w:val="11"/>
  </w:num>
  <w:num w:numId="6">
    <w:abstractNumId w:val="25"/>
  </w:num>
  <w:num w:numId="7">
    <w:abstractNumId w:val="34"/>
  </w:num>
  <w:num w:numId="8">
    <w:abstractNumId w:val="15"/>
  </w:num>
  <w:num w:numId="9">
    <w:abstractNumId w:val="28"/>
  </w:num>
  <w:num w:numId="10">
    <w:abstractNumId w:val="43"/>
  </w:num>
  <w:num w:numId="11">
    <w:abstractNumId w:val="26"/>
  </w:num>
  <w:num w:numId="12">
    <w:abstractNumId w:val="32"/>
  </w:num>
  <w:num w:numId="13">
    <w:abstractNumId w:val="21"/>
  </w:num>
  <w:num w:numId="14">
    <w:abstractNumId w:val="45"/>
  </w:num>
  <w:num w:numId="15">
    <w:abstractNumId w:val="35"/>
  </w:num>
  <w:num w:numId="16">
    <w:abstractNumId w:val="36"/>
  </w:num>
  <w:num w:numId="17">
    <w:abstractNumId w:val="40"/>
  </w:num>
  <w:num w:numId="18">
    <w:abstractNumId w:val="42"/>
  </w:num>
  <w:num w:numId="19">
    <w:abstractNumId w:val="41"/>
  </w:num>
  <w:num w:numId="20">
    <w:abstractNumId w:val="14"/>
  </w:num>
  <w:num w:numId="21">
    <w:abstractNumId w:val="13"/>
  </w:num>
  <w:num w:numId="22">
    <w:abstractNumId w:val="44"/>
  </w:num>
  <w:num w:numId="23">
    <w:abstractNumId w:val="31"/>
  </w:num>
  <w:num w:numId="24">
    <w:abstractNumId w:val="22"/>
  </w:num>
  <w:num w:numId="25">
    <w:abstractNumId w:val="16"/>
  </w:num>
  <w:num w:numId="26">
    <w:abstractNumId w:val="23"/>
  </w:num>
  <w:num w:numId="27">
    <w:abstractNumId w:val="29"/>
  </w:num>
  <w:num w:numId="28">
    <w:abstractNumId w:val="18"/>
  </w:num>
  <w:num w:numId="29">
    <w:abstractNumId w:val="24"/>
  </w:num>
  <w:num w:numId="30">
    <w:abstractNumId w:val="46"/>
  </w:num>
  <w:num w:numId="31">
    <w:abstractNumId w:val="10"/>
  </w:num>
  <w:num w:numId="32">
    <w:abstractNumId w:val="30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7"/>
  </w:num>
  <w:num w:numId="45">
    <w:abstractNumId w:val="17"/>
  </w:num>
  <w:num w:numId="46">
    <w:abstractNumId w:val="33"/>
  </w:num>
  <w:num w:numId="47">
    <w:abstractNumId w:val="19"/>
  </w:num>
  <w:num w:numId="48">
    <w:abstractNumId w:val="37"/>
  </w:num>
  <w:num w:numId="49">
    <w:abstractNumId w:val="39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embedSystemFonts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7F"/>
    <w:rsid w:val="00021B5F"/>
    <w:rsid w:val="00044658"/>
    <w:rsid w:val="00062E11"/>
    <w:rsid w:val="00085CC2"/>
    <w:rsid w:val="0013608D"/>
    <w:rsid w:val="00136C29"/>
    <w:rsid w:val="001509DB"/>
    <w:rsid w:val="001603B0"/>
    <w:rsid w:val="00174519"/>
    <w:rsid w:val="00197804"/>
    <w:rsid w:val="00273676"/>
    <w:rsid w:val="002B1145"/>
    <w:rsid w:val="002C223B"/>
    <w:rsid w:val="002E0557"/>
    <w:rsid w:val="00310F7F"/>
    <w:rsid w:val="00345330"/>
    <w:rsid w:val="00361570"/>
    <w:rsid w:val="00397132"/>
    <w:rsid w:val="003A4129"/>
    <w:rsid w:val="003A73B2"/>
    <w:rsid w:val="004652A5"/>
    <w:rsid w:val="004D4CC7"/>
    <w:rsid w:val="004F2AC8"/>
    <w:rsid w:val="004F5983"/>
    <w:rsid w:val="005620EB"/>
    <w:rsid w:val="005B1DE3"/>
    <w:rsid w:val="005C38D8"/>
    <w:rsid w:val="006E099E"/>
    <w:rsid w:val="006E73ED"/>
    <w:rsid w:val="00756CE0"/>
    <w:rsid w:val="007841D1"/>
    <w:rsid w:val="007E0454"/>
    <w:rsid w:val="00806C0B"/>
    <w:rsid w:val="008517A1"/>
    <w:rsid w:val="00865F32"/>
    <w:rsid w:val="00873FE0"/>
    <w:rsid w:val="009009DE"/>
    <w:rsid w:val="00901BDF"/>
    <w:rsid w:val="009B0FA9"/>
    <w:rsid w:val="009D600D"/>
    <w:rsid w:val="009E4609"/>
    <w:rsid w:val="009F7A36"/>
    <w:rsid w:val="00A22FB8"/>
    <w:rsid w:val="00A3431A"/>
    <w:rsid w:val="00A51164"/>
    <w:rsid w:val="00A7225D"/>
    <w:rsid w:val="00A9221E"/>
    <w:rsid w:val="00A942B0"/>
    <w:rsid w:val="00B23B74"/>
    <w:rsid w:val="00B30398"/>
    <w:rsid w:val="00B43B9E"/>
    <w:rsid w:val="00C6084E"/>
    <w:rsid w:val="00C9455F"/>
    <w:rsid w:val="00C97DB6"/>
    <w:rsid w:val="00CC55CC"/>
    <w:rsid w:val="00D27DA1"/>
    <w:rsid w:val="00D90668"/>
    <w:rsid w:val="00E5591C"/>
    <w:rsid w:val="00E66A9A"/>
    <w:rsid w:val="00EA1366"/>
    <w:rsid w:val="00EA3DB2"/>
    <w:rsid w:val="00EE263E"/>
    <w:rsid w:val="00F22602"/>
    <w:rsid w:val="00F67C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8508A"/>
  <w15:docId w15:val="{1FAB723D-4B22-4027-9622-AD2BF28C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1C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5591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559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9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591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E5591C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591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91C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5591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591C"/>
    <w:rPr>
      <w:rFonts w:ascii="Arial" w:hAnsi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E559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591C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591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5591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5591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591C"/>
    <w:rPr>
      <w:rFonts w:ascii="Arial" w:eastAsiaTheme="minorEastAsia" w:hAnsi="Arial" w:cs="Times New Roman"/>
      <w:sz w:val="16"/>
      <w:szCs w:val="18"/>
    </w:rPr>
  </w:style>
  <w:style w:type="paragraph" w:customStyle="1" w:styleId="Default">
    <w:name w:val="Default"/>
    <w:rsid w:val="00E559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5591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5591C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591C"/>
    <w:rPr>
      <w:rFonts w:ascii="Arial" w:eastAsiaTheme="minorEastAsia" w:hAnsi="Arial" w:cs="Times New Roman"/>
      <w:b/>
      <w:sz w:val="22"/>
    </w:rPr>
  </w:style>
  <w:style w:type="character" w:styleId="CommentReference">
    <w:name w:val="annotation reference"/>
    <w:basedOn w:val="DefaultParagraphFont"/>
    <w:uiPriority w:val="99"/>
    <w:unhideWhenUsed/>
    <w:rsid w:val="00E5591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7A36"/>
  </w:style>
  <w:style w:type="character" w:customStyle="1" w:styleId="CommentTextChar">
    <w:name w:val="Comment Text Char"/>
    <w:basedOn w:val="DefaultParagraphFont"/>
    <w:link w:val="CommentText"/>
    <w:rsid w:val="009F7A36"/>
    <w:rPr>
      <w:rFonts w:ascii="Arial" w:eastAsiaTheme="minorEastAsia" w:hAnsi="Arial" w:cs="Arial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unhideWhenUsed/>
    <w:rsid w:val="00E5591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E5591C"/>
    <w:rPr>
      <w:rFonts w:ascii="Arial" w:eastAsiaTheme="minorEastAsia" w:hAnsi="Arial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E5591C"/>
    <w:rPr>
      <w:b/>
    </w:rPr>
  </w:style>
  <w:style w:type="character" w:styleId="Hyperlink">
    <w:name w:val="Hyperlink"/>
    <w:basedOn w:val="DefaultParagraphFont"/>
    <w:uiPriority w:val="99"/>
    <w:unhideWhenUsed/>
    <w:rsid w:val="00E559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5591C"/>
    <w:rPr>
      <w:color w:val="800080" w:themeColor="followedHyperlink"/>
      <w:u w:val="single"/>
    </w:rPr>
  </w:style>
  <w:style w:type="paragraph" w:styleId="Revision">
    <w:name w:val="Revision"/>
    <w:hidden/>
    <w:uiPriority w:val="99"/>
    <w:rsid w:val="00E5591C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559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559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F22602"/>
    <w:pPr>
      <w:numPr>
        <w:numId w:val="3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559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559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5591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5591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5591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5591C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5591C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5591C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5591C"/>
    <w:pPr>
      <w:numPr>
        <w:numId w:val="4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5591C"/>
    <w:pPr>
      <w:numPr>
        <w:numId w:val="4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5591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559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5591C"/>
    <w:pPr>
      <w:keepNext/>
      <w:keepLines/>
      <w:framePr w:hSpace="141" w:wrap="around" w:vAnchor="text" w:hAnchor="margin" w:y="402"/>
      <w:numPr>
        <w:numId w:val="5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security.nrc-handbooks.org/assets/NFI_ES_cluster_PDM_guidelines_July_2012-copy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crc.org/eng/resources/documents/publication/p099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64</TotalTime>
  <Pages>2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Creti Pantaleo</dc:creator>
  <cp:lastModifiedBy>Ines DALMAU i GUTSENS</cp:lastModifiedBy>
  <cp:revision>6</cp:revision>
  <cp:lastPrinted>2015-09-08T22:38:00Z</cp:lastPrinted>
  <dcterms:created xsi:type="dcterms:W3CDTF">2016-01-27T09:15:00Z</dcterms:created>
  <dcterms:modified xsi:type="dcterms:W3CDTF">2016-02-10T20:10:00Z</dcterms:modified>
</cp:coreProperties>
</file>